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2D0" w:rsidRPr="00605771" w:rsidRDefault="00FE72D0" w:rsidP="00605771">
      <w:pPr>
        <w:pStyle w:val="DecHCase"/>
      </w:pPr>
      <w:bookmarkStart w:id="0" w:name="_GoBack"/>
      <w:bookmarkEnd w:id="0"/>
    </w:p>
    <w:p w:rsidR="00E77CB3" w:rsidRPr="00605771" w:rsidRDefault="00F61333" w:rsidP="00605771">
      <w:pPr>
        <w:pStyle w:val="DecHCase"/>
      </w:pPr>
      <w:r w:rsidRPr="00605771">
        <w:t>PREMIÈRE SECTION</w:t>
      </w:r>
    </w:p>
    <w:p w:rsidR="00E77CB3" w:rsidRPr="00605771" w:rsidRDefault="00E77CB3" w:rsidP="00605771">
      <w:pPr>
        <w:pStyle w:val="JuTitle"/>
      </w:pPr>
      <w:bookmarkStart w:id="1" w:name="To"/>
      <w:r w:rsidRPr="00605771">
        <w:t xml:space="preserve">AFFAIRE </w:t>
      </w:r>
      <w:bookmarkEnd w:id="1"/>
      <w:r w:rsidR="00F61333" w:rsidRPr="00605771">
        <w:t>T.I. ET AUTRES c. GRÈCE</w:t>
      </w:r>
    </w:p>
    <w:p w:rsidR="00E77CB3" w:rsidRPr="00605771" w:rsidRDefault="00E77CB3" w:rsidP="00605771">
      <w:pPr>
        <w:pStyle w:val="Title4"/>
        <w:rPr>
          <w:szCs w:val="24"/>
          <w:u w:val="single"/>
        </w:rPr>
      </w:pPr>
      <w:r w:rsidRPr="00605771">
        <w:t>(</w:t>
      </w:r>
      <w:r w:rsidR="00F61333" w:rsidRPr="00605771">
        <w:t>Requête n</w:t>
      </w:r>
      <w:r w:rsidR="00F61333" w:rsidRPr="00605771">
        <w:rPr>
          <w:vertAlign w:val="superscript"/>
        </w:rPr>
        <w:t>o</w:t>
      </w:r>
      <w:r w:rsidR="00F61333" w:rsidRPr="00605771">
        <w:t xml:space="preserve"> 40311/10</w:t>
      </w:r>
      <w:r w:rsidRPr="00605771">
        <w:t>)</w:t>
      </w:r>
    </w:p>
    <w:p w:rsidR="002C7F5B" w:rsidRPr="00605771" w:rsidRDefault="002C7F5B" w:rsidP="00605771">
      <w:pPr>
        <w:pStyle w:val="DecHCase"/>
      </w:pPr>
    </w:p>
    <w:p w:rsidR="002C7F5B" w:rsidRPr="00605771" w:rsidRDefault="002C7F5B" w:rsidP="00605771">
      <w:pPr>
        <w:pStyle w:val="DecHCase"/>
      </w:pPr>
    </w:p>
    <w:p w:rsidR="002C7F5B" w:rsidRPr="00605771" w:rsidRDefault="002C7F5B" w:rsidP="00605771">
      <w:pPr>
        <w:pStyle w:val="DecHCase"/>
      </w:pPr>
    </w:p>
    <w:p w:rsidR="002C7F5B" w:rsidRPr="00605771" w:rsidRDefault="002C7F5B" w:rsidP="00605771">
      <w:pPr>
        <w:pStyle w:val="DecHCase"/>
      </w:pPr>
    </w:p>
    <w:p w:rsidR="002C7F5B" w:rsidRPr="00605771" w:rsidRDefault="002C7F5B" w:rsidP="00605771">
      <w:pPr>
        <w:pStyle w:val="DecHCase"/>
      </w:pPr>
    </w:p>
    <w:p w:rsidR="002C7F5B" w:rsidRPr="00605771" w:rsidRDefault="002C7F5B" w:rsidP="00605771">
      <w:pPr>
        <w:pStyle w:val="DecHCase"/>
      </w:pPr>
    </w:p>
    <w:p w:rsidR="002C7F5B" w:rsidRPr="00605771" w:rsidRDefault="00E25874" w:rsidP="00605771">
      <w:pPr>
        <w:pStyle w:val="DecHCase"/>
      </w:pPr>
      <w:r w:rsidRPr="00605771">
        <w:t>ARR</w:t>
      </w:r>
      <w:r w:rsidRPr="00605771">
        <w:rPr>
          <w:rFonts w:cstheme="minorHAnsi"/>
        </w:rPr>
        <w:t>Ê</w:t>
      </w:r>
      <w:r w:rsidR="002C7F5B" w:rsidRPr="00605771">
        <w:t>T</w:t>
      </w:r>
    </w:p>
    <w:p w:rsidR="002C7F5B" w:rsidRPr="00605771" w:rsidRDefault="002C7F5B" w:rsidP="00605771">
      <w:pPr>
        <w:pStyle w:val="DecHCase"/>
      </w:pPr>
      <w:r w:rsidRPr="00605771">
        <w:t>STRASBOURG</w:t>
      </w:r>
    </w:p>
    <w:p w:rsidR="002C7F5B" w:rsidRPr="00605771" w:rsidRDefault="003C2867" w:rsidP="00605771">
      <w:pPr>
        <w:pStyle w:val="DecHCase"/>
      </w:pPr>
      <w:r w:rsidRPr="00605771">
        <w:t xml:space="preserve">18 </w:t>
      </w:r>
      <w:r w:rsidR="00595367" w:rsidRPr="00605771">
        <w:t>juillet 2019</w:t>
      </w:r>
    </w:p>
    <w:p w:rsidR="002C7F5B" w:rsidRPr="00605771" w:rsidRDefault="002C7F5B" w:rsidP="00605771">
      <w:pPr>
        <w:pStyle w:val="DecHCase"/>
      </w:pPr>
    </w:p>
    <w:p w:rsidR="002C7F5B" w:rsidRPr="00605771" w:rsidRDefault="002C7F5B" w:rsidP="00605771">
      <w:pPr>
        <w:pStyle w:val="JuPara"/>
        <w:ind w:firstLine="0"/>
        <w:jc w:val="left"/>
        <w:rPr>
          <w:i/>
          <w:sz w:val="22"/>
        </w:rPr>
      </w:pPr>
      <w:r w:rsidRPr="00605771">
        <w:rPr>
          <w:i/>
          <w:sz w:val="22"/>
        </w:rPr>
        <w:t>Cet arrêt deviendra définitif dans les conditions définies à l</w:t>
      </w:r>
      <w:r w:rsidR="00605771" w:rsidRPr="00605771">
        <w:rPr>
          <w:i/>
          <w:sz w:val="22"/>
        </w:rPr>
        <w:t>’</w:t>
      </w:r>
      <w:r w:rsidRPr="00605771">
        <w:rPr>
          <w:i/>
          <w:sz w:val="22"/>
        </w:rPr>
        <w:t>article 44 § 2 de la Convention. Il peut subir des retouches de forme.</w:t>
      </w:r>
    </w:p>
    <w:p w:rsidR="00595367" w:rsidRPr="00605771" w:rsidRDefault="00595367" w:rsidP="00605771">
      <w:pPr>
        <w:pStyle w:val="JuPara"/>
        <w:ind w:firstLine="0"/>
        <w:sectPr w:rsidR="00595367" w:rsidRPr="00605771" w:rsidSect="002C7F5B">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605771" w:rsidRDefault="00E77CB3" w:rsidP="00605771">
      <w:pPr>
        <w:pStyle w:val="JuCase"/>
      </w:pPr>
      <w:r w:rsidRPr="00605771">
        <w:lastRenderedPageBreak/>
        <w:t>En l</w:t>
      </w:r>
      <w:r w:rsidR="00605771" w:rsidRPr="00605771">
        <w:t>’</w:t>
      </w:r>
      <w:r w:rsidRPr="00605771">
        <w:t xml:space="preserve">affaire </w:t>
      </w:r>
      <w:r w:rsidR="00F61333" w:rsidRPr="00605771">
        <w:t>T.I. et autres c. Grèce</w:t>
      </w:r>
      <w:r w:rsidRPr="00605771">
        <w:t>,</w:t>
      </w:r>
    </w:p>
    <w:p w:rsidR="00E77CB3" w:rsidRPr="00605771" w:rsidRDefault="00E77CB3" w:rsidP="00605771">
      <w:pPr>
        <w:pStyle w:val="JuPara"/>
      </w:pPr>
      <w:r w:rsidRPr="00605771">
        <w:t>La Cour européenne des droits de l</w:t>
      </w:r>
      <w:r w:rsidR="00605771" w:rsidRPr="00605771">
        <w:t>’</w:t>
      </w:r>
      <w:r w:rsidRPr="00605771">
        <w:t>homme (</w:t>
      </w:r>
      <w:r w:rsidR="00F61333" w:rsidRPr="00605771">
        <w:t>première section</w:t>
      </w:r>
      <w:r w:rsidRPr="00605771">
        <w:t xml:space="preserve">), siégeant en </w:t>
      </w:r>
      <w:r w:rsidR="00F61333" w:rsidRPr="00605771">
        <w:t>une chambre composée</w:t>
      </w:r>
      <w:r w:rsidRPr="00605771">
        <w:t xml:space="preserve"> de :</w:t>
      </w:r>
    </w:p>
    <w:p w:rsidR="00E77CB3" w:rsidRPr="00605771" w:rsidRDefault="002C7F5B" w:rsidP="00605771">
      <w:pPr>
        <w:pStyle w:val="JuJudges"/>
      </w:pPr>
      <w:r w:rsidRPr="00605771">
        <w:tab/>
        <w:t>Ksenija Turković,</w:t>
      </w:r>
      <w:r w:rsidRPr="00605771">
        <w:rPr>
          <w:i/>
        </w:rPr>
        <w:t xml:space="preserve"> présidente,</w:t>
      </w:r>
      <w:r w:rsidRPr="00605771">
        <w:rPr>
          <w:i/>
        </w:rPr>
        <w:br/>
      </w:r>
      <w:r w:rsidRPr="00605771">
        <w:tab/>
        <w:t>Linos-Alexandre Sicilianos,</w:t>
      </w:r>
      <w:r w:rsidRPr="00605771">
        <w:rPr>
          <w:i/>
        </w:rPr>
        <w:br/>
      </w:r>
      <w:r w:rsidRPr="00605771">
        <w:tab/>
        <w:t>Aleš Pejchal,</w:t>
      </w:r>
      <w:r w:rsidRPr="00605771">
        <w:rPr>
          <w:i/>
        </w:rPr>
        <w:br/>
      </w:r>
      <w:r w:rsidRPr="00605771">
        <w:tab/>
        <w:t>Pauliine Koskelo,</w:t>
      </w:r>
      <w:r w:rsidRPr="00605771">
        <w:rPr>
          <w:i/>
        </w:rPr>
        <w:br/>
      </w:r>
      <w:r w:rsidRPr="00605771">
        <w:tab/>
        <w:t>Tim Eicke,</w:t>
      </w:r>
      <w:r w:rsidRPr="00605771">
        <w:rPr>
          <w:i/>
        </w:rPr>
        <w:br/>
      </w:r>
      <w:r w:rsidRPr="00605771">
        <w:tab/>
        <w:t>Jovan Ilievski,</w:t>
      </w:r>
      <w:r w:rsidRPr="00605771">
        <w:rPr>
          <w:i/>
        </w:rPr>
        <w:br/>
      </w:r>
      <w:r w:rsidRPr="00605771">
        <w:tab/>
        <w:t>Raffaele Sabato,</w:t>
      </w:r>
      <w:r w:rsidRPr="00605771">
        <w:rPr>
          <w:i/>
        </w:rPr>
        <w:t xml:space="preserve"> juges,</w:t>
      </w:r>
      <w:r w:rsidR="002756C1" w:rsidRPr="00605771">
        <w:t xml:space="preserve"> </w:t>
      </w:r>
      <w:r w:rsidR="00E77CB3" w:rsidRPr="00605771">
        <w:br/>
        <w:t xml:space="preserve">et de </w:t>
      </w:r>
      <w:r w:rsidR="00F61333" w:rsidRPr="00605771">
        <w:t>Abel Campos</w:t>
      </w:r>
      <w:r w:rsidR="00E77CB3" w:rsidRPr="00605771">
        <w:t xml:space="preserve">, </w:t>
      </w:r>
      <w:r w:rsidR="00F61333" w:rsidRPr="00605771">
        <w:rPr>
          <w:i/>
        </w:rPr>
        <w:t>greffier</w:t>
      </w:r>
      <w:r w:rsidR="00F61333" w:rsidRPr="00605771">
        <w:rPr>
          <w:iCs/>
        </w:rPr>
        <w:t xml:space="preserve"> </w:t>
      </w:r>
      <w:r w:rsidR="00F61333" w:rsidRPr="00605771">
        <w:rPr>
          <w:i/>
          <w:iCs/>
        </w:rPr>
        <w:t>d</w:t>
      </w:r>
      <w:r w:rsidR="00F61333" w:rsidRPr="00605771">
        <w:rPr>
          <w:i/>
        </w:rPr>
        <w:t>e section</w:t>
      </w:r>
      <w:r w:rsidR="00E77CB3" w:rsidRPr="00605771">
        <w:t>,</w:t>
      </w:r>
    </w:p>
    <w:p w:rsidR="00E77CB3" w:rsidRPr="00605771" w:rsidRDefault="00E77CB3" w:rsidP="00605771">
      <w:pPr>
        <w:pStyle w:val="JuPara"/>
      </w:pPr>
      <w:r w:rsidRPr="00605771">
        <w:t xml:space="preserve">Après en avoir délibéré en chambre du conseil le </w:t>
      </w:r>
      <w:r w:rsidR="009B1308" w:rsidRPr="00605771">
        <w:t>25 juin 2019</w:t>
      </w:r>
      <w:r w:rsidRPr="00605771">
        <w:t>,</w:t>
      </w:r>
    </w:p>
    <w:p w:rsidR="00E77CB3" w:rsidRPr="00605771" w:rsidRDefault="00E77CB3" w:rsidP="00605771">
      <w:pPr>
        <w:pStyle w:val="JuPara"/>
      </w:pPr>
      <w:r w:rsidRPr="00605771">
        <w:t>Rend l</w:t>
      </w:r>
      <w:r w:rsidR="00605771" w:rsidRPr="00605771">
        <w:t>’</w:t>
      </w:r>
      <w:r w:rsidRPr="00605771">
        <w:t>arrêt que voici, adopté à cette date :</w:t>
      </w:r>
    </w:p>
    <w:p w:rsidR="00E77CB3" w:rsidRPr="00605771" w:rsidRDefault="00E77CB3" w:rsidP="00605771">
      <w:pPr>
        <w:pStyle w:val="JuHHead"/>
      </w:pPr>
      <w:r w:rsidRPr="00605771">
        <w:t>PROCÉDURE</w:t>
      </w:r>
    </w:p>
    <w:p w:rsidR="00E77CB3" w:rsidRPr="00605771" w:rsidRDefault="00F61333"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w:t>
      </w:r>
      <w:r w:rsidRPr="00605771">
        <w:fldChar w:fldCharType="end"/>
      </w:r>
      <w:r w:rsidR="00E77CB3" w:rsidRPr="00605771">
        <w:t>.  À l</w:t>
      </w:r>
      <w:r w:rsidR="00605771" w:rsidRPr="00605771">
        <w:t>’</w:t>
      </w:r>
      <w:r w:rsidR="00E77CB3" w:rsidRPr="00605771">
        <w:t>origine de l</w:t>
      </w:r>
      <w:r w:rsidR="00605771" w:rsidRPr="00605771">
        <w:t>’</w:t>
      </w:r>
      <w:r w:rsidR="00E77CB3" w:rsidRPr="00605771">
        <w:t xml:space="preserve">affaire </w:t>
      </w:r>
      <w:r w:rsidRPr="00605771">
        <w:t>se trouve une requête (n</w:t>
      </w:r>
      <w:r w:rsidR="00D34A96" w:rsidRPr="00605771">
        <w:rPr>
          <w:vertAlign w:val="superscript"/>
        </w:rPr>
        <w:t>o</w:t>
      </w:r>
      <w:r w:rsidRPr="00605771">
        <w:t xml:space="preserve"> 40311/10) dirigée</w:t>
      </w:r>
      <w:r w:rsidR="00E77CB3" w:rsidRPr="00605771">
        <w:t xml:space="preserve"> contre </w:t>
      </w:r>
      <w:r w:rsidRPr="00605771">
        <w:t>la République hellénique</w:t>
      </w:r>
      <w:r w:rsidR="00E77CB3" w:rsidRPr="00605771">
        <w:t xml:space="preserve"> et dont </w:t>
      </w:r>
      <w:r w:rsidR="00D75F46" w:rsidRPr="00605771">
        <w:t xml:space="preserve">trois ressortissantes </w:t>
      </w:r>
      <w:r w:rsidRPr="00605771">
        <w:t>russe</w:t>
      </w:r>
      <w:r w:rsidR="00D75F46" w:rsidRPr="00605771">
        <w:t xml:space="preserve">s, </w:t>
      </w:r>
      <w:r w:rsidRPr="00605771">
        <w:t>M</w:t>
      </w:r>
      <w:r w:rsidRPr="00605771">
        <w:rPr>
          <w:vertAlign w:val="superscript"/>
        </w:rPr>
        <w:t>mes</w:t>
      </w:r>
      <w:r w:rsidR="00A93869" w:rsidRPr="00605771">
        <w:t> </w:t>
      </w:r>
      <w:r w:rsidRPr="00605771">
        <w:t>T.I.</w:t>
      </w:r>
      <w:r w:rsidR="00A93869" w:rsidRPr="00605771">
        <w:t xml:space="preserve"> (« la première requérante »)</w:t>
      </w:r>
      <w:r w:rsidR="00D75F46" w:rsidRPr="00605771">
        <w:t xml:space="preserve">, T.A. </w:t>
      </w:r>
      <w:r w:rsidR="00A93869" w:rsidRPr="00605771">
        <w:t xml:space="preserve">(« la deuxième requérante ») </w:t>
      </w:r>
      <w:r w:rsidR="00D75F46" w:rsidRPr="00605771">
        <w:t>et V.K.</w:t>
      </w:r>
      <w:r w:rsidRPr="00605771">
        <w:t xml:space="preserve"> </w:t>
      </w:r>
      <w:r w:rsidR="00A93869" w:rsidRPr="00605771">
        <w:t>(« la troisième requérante</w:t>
      </w:r>
      <w:r w:rsidRPr="00605771">
        <w:t> »), ont saisi la Cour le 28 juin 2010</w:t>
      </w:r>
      <w:r w:rsidR="00E77CB3" w:rsidRPr="00605771">
        <w:t xml:space="preserve"> en vertu de </w:t>
      </w:r>
      <w:r w:rsidRPr="00605771">
        <w:t>l</w:t>
      </w:r>
      <w:r w:rsidR="00605771" w:rsidRPr="00605771">
        <w:t>’</w:t>
      </w:r>
      <w:r w:rsidR="00CE58D4" w:rsidRPr="00605771">
        <w:t>article </w:t>
      </w:r>
      <w:r w:rsidRPr="00605771">
        <w:t>34</w:t>
      </w:r>
      <w:r w:rsidR="00E77CB3" w:rsidRPr="00605771">
        <w:t xml:space="preserve"> de la Convention de sauvegarde des droits de l</w:t>
      </w:r>
      <w:r w:rsidR="00605771" w:rsidRPr="00605771">
        <w:t>’</w:t>
      </w:r>
      <w:r w:rsidR="00E77CB3" w:rsidRPr="00605771">
        <w:t>homme et des libertés fondamentales (« la Convention »).</w:t>
      </w:r>
      <w:r w:rsidRPr="00605771">
        <w:t xml:space="preserve"> </w:t>
      </w:r>
      <w:r w:rsidR="00713B9F" w:rsidRPr="00605771">
        <w:t>Le 6 septembre 2016 l</w:t>
      </w:r>
      <w:r w:rsidRPr="00605771">
        <w:t>a vice-présidente de la section a accédé à la demande de non-divulgation de leur identité formulée par les requérantes (article 47 § 4 du règlement</w:t>
      </w:r>
      <w:r w:rsidR="009807CE" w:rsidRPr="00605771">
        <w:t xml:space="preserve"> de la Cour</w:t>
      </w:r>
      <w:r w:rsidRPr="00605771">
        <w:t>).</w:t>
      </w:r>
    </w:p>
    <w:p w:rsidR="00F61333" w:rsidRPr="00605771" w:rsidRDefault="00F61333" w:rsidP="00605771">
      <w:pPr>
        <w:pStyle w:val="JuPara"/>
      </w:pPr>
      <w:r w:rsidRPr="00605771">
        <w:rPr>
          <w:lang w:val="pt-BR"/>
        </w:rPr>
        <w:fldChar w:fldCharType="begin"/>
      </w:r>
      <w:r w:rsidRPr="00605771">
        <w:instrText xml:space="preserve"> SEQ level0 \*arabic </w:instrText>
      </w:r>
      <w:r w:rsidRPr="00605771">
        <w:rPr>
          <w:lang w:val="pt-BR"/>
        </w:rPr>
        <w:fldChar w:fldCharType="separate"/>
      </w:r>
      <w:r w:rsidR="00605771" w:rsidRPr="00605771">
        <w:rPr>
          <w:noProof/>
        </w:rPr>
        <w:t>2</w:t>
      </w:r>
      <w:r w:rsidRPr="00605771">
        <w:rPr>
          <w:lang w:val="pt-BR"/>
        </w:rPr>
        <w:fldChar w:fldCharType="end"/>
      </w:r>
      <w:r w:rsidR="00E77CB3" w:rsidRPr="00605771">
        <w:t>.  </w:t>
      </w:r>
      <w:r w:rsidRPr="00605771">
        <w:t xml:space="preserve">Les requérantes ont été représentées par </w:t>
      </w:r>
      <w:r w:rsidR="00DB1446" w:rsidRPr="00605771">
        <w:t xml:space="preserve">le Moniteur grec Helsinki, une organisation non gouvernementale ayant son siège à Glyka Nera (Athènes). </w:t>
      </w:r>
      <w:r w:rsidR="00E77CB3" w:rsidRPr="00605771">
        <w:t xml:space="preserve">Le gouvernement </w:t>
      </w:r>
      <w:r w:rsidRPr="00605771">
        <w:t>grec</w:t>
      </w:r>
      <w:r w:rsidR="00E77CB3" w:rsidRPr="00605771">
        <w:t xml:space="preserve"> </w:t>
      </w:r>
      <w:r w:rsidR="00CE58D4" w:rsidRPr="00605771">
        <w:t>(«</w:t>
      </w:r>
      <w:r w:rsidR="00E77CB3" w:rsidRPr="00605771">
        <w:t xml:space="preserve"> le Gouvernement ») a été représenté par </w:t>
      </w:r>
      <w:r w:rsidR="00DB1446" w:rsidRPr="00605771">
        <w:t>les dél</w:t>
      </w:r>
      <w:r w:rsidR="000D411B" w:rsidRPr="00605771">
        <w:t>é</w:t>
      </w:r>
      <w:r w:rsidR="00DB1446" w:rsidRPr="00605771">
        <w:t xml:space="preserve">guées de </w:t>
      </w:r>
      <w:r w:rsidR="00E77CB3" w:rsidRPr="00605771">
        <w:t xml:space="preserve">son agent, </w:t>
      </w:r>
      <w:r w:rsidR="00DB1446" w:rsidRPr="00605771">
        <w:t>M</w:t>
      </w:r>
      <w:r w:rsidR="00DB1446" w:rsidRPr="00605771">
        <w:rPr>
          <w:vertAlign w:val="superscript"/>
        </w:rPr>
        <w:t>me</w:t>
      </w:r>
      <w:r w:rsidR="00DB1446" w:rsidRPr="00605771">
        <w:t xml:space="preserve"> S. Charitaki, </w:t>
      </w:r>
      <w:r w:rsidR="00181CA7" w:rsidRPr="00605771">
        <w:t xml:space="preserve">conseillère </w:t>
      </w:r>
      <w:r w:rsidR="00DB1446" w:rsidRPr="00605771">
        <w:t>auprès du Conseil juridique de l</w:t>
      </w:r>
      <w:r w:rsidR="00605771" w:rsidRPr="00605771">
        <w:t>’</w:t>
      </w:r>
      <w:r w:rsidR="00DB1446" w:rsidRPr="00605771">
        <w:t>État</w:t>
      </w:r>
      <w:r w:rsidR="00E77CB3" w:rsidRPr="00605771">
        <w:t xml:space="preserve">, </w:t>
      </w:r>
      <w:r w:rsidR="00181CA7" w:rsidRPr="00605771">
        <w:t>et M</w:t>
      </w:r>
      <w:r w:rsidR="00181CA7" w:rsidRPr="00605771">
        <w:rPr>
          <w:vertAlign w:val="superscript"/>
        </w:rPr>
        <w:t>me</w:t>
      </w:r>
      <w:r w:rsidR="00181CA7" w:rsidRPr="00605771">
        <w:t xml:space="preserve"> S. Papaioannou, </w:t>
      </w:r>
      <w:r w:rsidR="002756C1" w:rsidRPr="00605771">
        <w:t>auditrice auprès du Conseil juridique de l</w:t>
      </w:r>
      <w:r w:rsidR="00605771" w:rsidRPr="00605771">
        <w:t>’</w:t>
      </w:r>
      <w:r w:rsidR="002756C1" w:rsidRPr="00605771">
        <w:t>État</w:t>
      </w:r>
      <w:r w:rsidR="007C5300" w:rsidRPr="00605771">
        <w:t>.</w:t>
      </w:r>
      <w:r w:rsidR="00D75F46" w:rsidRPr="00605771">
        <w:t xml:space="preserve"> </w:t>
      </w:r>
      <w:r w:rsidR="00102DE6" w:rsidRPr="00605771">
        <w:t xml:space="preserve">Le </w:t>
      </w:r>
      <w:r w:rsidR="007D3C54" w:rsidRPr="00605771">
        <w:t>g</w:t>
      </w:r>
      <w:r w:rsidR="00102DE6" w:rsidRPr="00605771">
        <w:t>ouvernement russe a exercé son droit d</w:t>
      </w:r>
      <w:r w:rsidR="00605771" w:rsidRPr="00605771">
        <w:t>’</w:t>
      </w:r>
      <w:r w:rsidR="00102DE6" w:rsidRPr="00605771">
        <w:t>intervention (article 36</w:t>
      </w:r>
      <w:r w:rsidR="00227932" w:rsidRPr="00605771">
        <w:t> </w:t>
      </w:r>
      <w:r w:rsidR="00102DE6" w:rsidRPr="00605771">
        <w:t>§</w:t>
      </w:r>
      <w:r w:rsidR="00227932" w:rsidRPr="00605771">
        <w:t> </w:t>
      </w:r>
      <w:r w:rsidR="00102DE6" w:rsidRPr="00605771">
        <w:t xml:space="preserve">1 de la Convention et </w:t>
      </w:r>
      <w:r w:rsidR="007D3C54" w:rsidRPr="00605771">
        <w:t xml:space="preserve">article </w:t>
      </w:r>
      <w:r w:rsidR="00102DE6" w:rsidRPr="00605771">
        <w:t>44 § 1 a) du règlement</w:t>
      </w:r>
      <w:r w:rsidR="009807CE" w:rsidRPr="00605771">
        <w:t xml:space="preserve"> de la Cour</w:t>
      </w:r>
      <w:r w:rsidR="00102DE6" w:rsidRPr="00605771">
        <w:t>).</w:t>
      </w:r>
    </w:p>
    <w:p w:rsidR="00E77CB3" w:rsidRPr="00605771" w:rsidRDefault="00F61333"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3</w:t>
      </w:r>
      <w:r w:rsidRPr="00605771">
        <w:fldChar w:fldCharType="end"/>
      </w:r>
      <w:r w:rsidRPr="00605771">
        <w:t xml:space="preserve">.  Les requérantes </w:t>
      </w:r>
      <w:r w:rsidR="002756C1" w:rsidRPr="00605771">
        <w:t>alléguaient en particu</w:t>
      </w:r>
      <w:r w:rsidR="00E25874" w:rsidRPr="00605771">
        <w:t>lier une violation des articles </w:t>
      </w:r>
      <w:r w:rsidR="002756C1" w:rsidRPr="00605771">
        <w:t>4, 6 et 13 de la Convention.</w:t>
      </w:r>
    </w:p>
    <w:p w:rsidR="00E77CB3" w:rsidRPr="00605771" w:rsidRDefault="00F61333" w:rsidP="00605771">
      <w:pPr>
        <w:pStyle w:val="JuPara"/>
        <w:rPr>
          <w:szCs w:val="24"/>
          <w:lang w:eastAsia="en-GB"/>
        </w:rPr>
      </w:pPr>
      <w:r w:rsidRPr="00605771">
        <w:fldChar w:fldCharType="begin"/>
      </w:r>
      <w:r w:rsidRPr="00605771">
        <w:instrText xml:space="preserve"> SEQ level0 \*arabic </w:instrText>
      </w:r>
      <w:r w:rsidRPr="00605771">
        <w:fldChar w:fldCharType="separate"/>
      </w:r>
      <w:r w:rsidR="00605771" w:rsidRPr="00605771">
        <w:rPr>
          <w:noProof/>
        </w:rPr>
        <w:t>4</w:t>
      </w:r>
      <w:r w:rsidRPr="00605771">
        <w:fldChar w:fldCharType="end"/>
      </w:r>
      <w:r w:rsidR="00E77CB3" w:rsidRPr="00605771">
        <w:t>.  </w:t>
      </w:r>
      <w:r w:rsidRPr="00605771">
        <w:t xml:space="preserve">Le </w:t>
      </w:r>
      <w:r w:rsidRPr="00605771">
        <w:rPr>
          <w:szCs w:val="24"/>
        </w:rPr>
        <w:t>6 septembre 2016</w:t>
      </w:r>
      <w:r w:rsidR="00E77CB3" w:rsidRPr="00605771">
        <w:t xml:space="preserve">, </w:t>
      </w:r>
      <w:r w:rsidRPr="00605771">
        <w:t>la requête a été communiquée au Gouvernement</w:t>
      </w:r>
      <w:r w:rsidR="00646454" w:rsidRPr="00605771">
        <w:t>.</w:t>
      </w:r>
    </w:p>
    <w:p w:rsidR="00E77CB3" w:rsidRPr="00605771" w:rsidRDefault="00E77CB3" w:rsidP="00605771">
      <w:pPr>
        <w:pStyle w:val="JuHHead"/>
        <w:tabs>
          <w:tab w:val="left" w:pos="5387"/>
        </w:tabs>
      </w:pPr>
      <w:r w:rsidRPr="00605771">
        <w:t>EN FAIT</w:t>
      </w:r>
    </w:p>
    <w:p w:rsidR="00E77CB3" w:rsidRPr="00605771" w:rsidRDefault="00E77CB3" w:rsidP="00605771">
      <w:pPr>
        <w:pStyle w:val="JuHIRoman"/>
      </w:pPr>
      <w:r w:rsidRPr="00605771">
        <w:t>LES CIRCONSTANCES DE L</w:t>
      </w:r>
      <w:r w:rsidR="00605771" w:rsidRPr="00605771">
        <w:t>’</w:t>
      </w:r>
      <w:r w:rsidRPr="00605771">
        <w:t>ESPÈCE</w:t>
      </w:r>
    </w:p>
    <w:p w:rsidR="00E77CB3" w:rsidRPr="00605771" w:rsidRDefault="00F61333"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5</w:t>
      </w:r>
      <w:r w:rsidRPr="00605771">
        <w:fldChar w:fldCharType="end"/>
      </w:r>
      <w:r w:rsidR="00E77CB3" w:rsidRPr="00605771">
        <w:t>.  </w:t>
      </w:r>
      <w:r w:rsidRPr="00605771">
        <w:t>Les requérantes sont nées respectivement en 1979</w:t>
      </w:r>
      <w:r w:rsidR="00D75F46" w:rsidRPr="00605771">
        <w:t xml:space="preserve">, </w:t>
      </w:r>
      <w:r w:rsidR="00652081" w:rsidRPr="00605771">
        <w:t xml:space="preserve">en </w:t>
      </w:r>
      <w:r w:rsidR="00D75F46" w:rsidRPr="00605771">
        <w:t xml:space="preserve">1981 et </w:t>
      </w:r>
      <w:r w:rsidR="00652081" w:rsidRPr="00605771">
        <w:t xml:space="preserve">en </w:t>
      </w:r>
      <w:r w:rsidR="00D75F46" w:rsidRPr="00605771">
        <w:t>1978.</w:t>
      </w:r>
    </w:p>
    <w:p w:rsidR="00DB1446"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6</w:t>
      </w:r>
      <w:r w:rsidRPr="00605771">
        <w:fldChar w:fldCharType="end"/>
      </w:r>
      <w:r w:rsidRPr="00605771">
        <w:t>.  Les faits de la cause, tels qu</w:t>
      </w:r>
      <w:r w:rsidR="00605771" w:rsidRPr="00605771">
        <w:t>’</w:t>
      </w:r>
      <w:r w:rsidRPr="00605771">
        <w:t>ils ont été exposés par les parties, peuvent se résumer comme suit.</w:t>
      </w:r>
    </w:p>
    <w:p w:rsidR="00DB1446"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7</w:t>
      </w:r>
      <w:r w:rsidRPr="00605771">
        <w:fldChar w:fldCharType="end"/>
      </w:r>
      <w:r w:rsidRPr="00605771">
        <w:t>.  </w:t>
      </w:r>
      <w:r w:rsidR="00652081" w:rsidRPr="00605771">
        <w:rPr>
          <w:rFonts w:cstheme="minorHAnsi"/>
        </w:rPr>
        <w:t>À</w:t>
      </w:r>
      <w:r w:rsidR="00652081" w:rsidRPr="00605771">
        <w:t xml:space="preserve"> différentes dates, à savoir le 19 juin 2003 (pour la deuxième requérante), le 25 juillet 2003 (pour la troisième requérante) et le</w:t>
      </w:r>
      <w:r w:rsidRPr="00605771">
        <w:t xml:space="preserve"> 15 oct</w:t>
      </w:r>
      <w:r w:rsidR="004A27CC" w:rsidRPr="00605771">
        <w:t>obre</w:t>
      </w:r>
      <w:r w:rsidR="00652081" w:rsidRPr="00605771">
        <w:t xml:space="preserve"> </w:t>
      </w:r>
      <w:r w:rsidR="00652081" w:rsidRPr="00605771">
        <w:lastRenderedPageBreak/>
        <w:t>2003</w:t>
      </w:r>
      <w:r w:rsidR="004A27CC" w:rsidRPr="00605771">
        <w:t xml:space="preserve"> (</w:t>
      </w:r>
      <w:r w:rsidR="00652081" w:rsidRPr="00605771">
        <w:t xml:space="preserve">pour la </w:t>
      </w:r>
      <w:r w:rsidR="004A27CC" w:rsidRPr="00605771">
        <w:t>première requérante)</w:t>
      </w:r>
      <w:r w:rsidRPr="00605771">
        <w:t xml:space="preserve">, </w:t>
      </w:r>
      <w:r w:rsidR="007E48DE" w:rsidRPr="00605771">
        <w:t>des demandes de visa furent déposées auprès du consulat général de Grèce à Moscou (</w:t>
      </w:r>
      <w:r w:rsidR="007E48DE" w:rsidRPr="00605771">
        <w:rPr>
          <w:i/>
          <w:lang w:val="el-GR"/>
        </w:rPr>
        <w:t>Γενικό</w:t>
      </w:r>
      <w:r w:rsidR="007E48DE" w:rsidRPr="00605771">
        <w:rPr>
          <w:i/>
        </w:rPr>
        <w:t xml:space="preserve"> </w:t>
      </w:r>
      <w:r w:rsidR="007E48DE" w:rsidRPr="00605771">
        <w:rPr>
          <w:i/>
          <w:lang w:val="el-GR"/>
        </w:rPr>
        <w:t>προξενείο</w:t>
      </w:r>
      <w:r w:rsidR="007E48DE" w:rsidRPr="00605771">
        <w:rPr>
          <w:i/>
        </w:rPr>
        <w:t xml:space="preserve"> </w:t>
      </w:r>
      <w:r w:rsidR="007E48DE" w:rsidRPr="00605771">
        <w:rPr>
          <w:i/>
          <w:lang w:val="el-GR"/>
        </w:rPr>
        <w:t>της</w:t>
      </w:r>
      <w:r w:rsidR="007E48DE" w:rsidRPr="00605771">
        <w:rPr>
          <w:i/>
        </w:rPr>
        <w:t xml:space="preserve"> </w:t>
      </w:r>
      <w:r w:rsidR="007E48DE" w:rsidRPr="00605771">
        <w:rPr>
          <w:i/>
          <w:lang w:val="el-GR"/>
        </w:rPr>
        <w:t>Ελλάδας</w:t>
      </w:r>
      <w:r w:rsidR="007E48DE" w:rsidRPr="00605771">
        <w:rPr>
          <w:i/>
        </w:rPr>
        <w:t xml:space="preserve"> </w:t>
      </w:r>
      <w:r w:rsidR="007E48DE" w:rsidRPr="00605771">
        <w:rPr>
          <w:i/>
          <w:lang w:val="el-GR"/>
        </w:rPr>
        <w:t>στη</w:t>
      </w:r>
      <w:r w:rsidR="007E48DE" w:rsidRPr="00605771">
        <w:rPr>
          <w:i/>
        </w:rPr>
        <w:t xml:space="preserve"> </w:t>
      </w:r>
      <w:r w:rsidR="007E48DE" w:rsidRPr="00605771">
        <w:rPr>
          <w:i/>
          <w:lang w:val="el-GR"/>
        </w:rPr>
        <w:t>Μόσχα</w:t>
      </w:r>
      <w:r w:rsidR="007E48DE" w:rsidRPr="00605771">
        <w:t xml:space="preserve">) (« le consulat »), au nom des requérantes, par </w:t>
      </w:r>
      <w:r w:rsidRPr="00605771">
        <w:t xml:space="preserve">des agences de voyage russes. </w:t>
      </w:r>
      <w:r w:rsidR="009E00EC" w:rsidRPr="00605771">
        <w:t>Après s</w:t>
      </w:r>
      <w:r w:rsidR="00605771" w:rsidRPr="00605771">
        <w:t>’</w:t>
      </w:r>
      <w:r w:rsidR="009E00EC" w:rsidRPr="00605771">
        <w:t>être vu délivrer d</w:t>
      </w:r>
      <w:r w:rsidRPr="00605771">
        <w:t>es visas</w:t>
      </w:r>
      <w:r w:rsidR="00CE58D4" w:rsidRPr="00605771">
        <w:t xml:space="preserve"> par les employés du c</w:t>
      </w:r>
      <w:r w:rsidRPr="00605771">
        <w:t>onsulat</w:t>
      </w:r>
      <w:r w:rsidR="009E00EC" w:rsidRPr="00605771">
        <w:t>,</w:t>
      </w:r>
      <w:r w:rsidRPr="00605771">
        <w:t xml:space="preserve"> les requérantes arrivèrent en Grèce.</w:t>
      </w:r>
    </w:p>
    <w:p w:rsidR="00DB1446"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8</w:t>
      </w:r>
      <w:r w:rsidRPr="00605771">
        <w:fldChar w:fldCharType="end"/>
      </w:r>
      <w:r w:rsidRPr="00605771">
        <w:t>.  Selon les allégations de</w:t>
      </w:r>
      <w:r w:rsidR="009E00EC" w:rsidRPr="00605771">
        <w:t xml:space="preserve"> ces dernières</w:t>
      </w:r>
      <w:r w:rsidR="00CE58D4" w:rsidRPr="00605771">
        <w:t>, des employés du c</w:t>
      </w:r>
      <w:r w:rsidRPr="00605771">
        <w:t>onsulat avaient été soudoyés par des trafiquants russes et avaient établi des visas pour les faire entrer en Grèce à des fins d</w:t>
      </w:r>
      <w:r w:rsidR="00605771" w:rsidRPr="00605771">
        <w:t>’</w:t>
      </w:r>
      <w:r w:rsidRPr="00605771">
        <w:t>exploitation</w:t>
      </w:r>
      <w:r w:rsidR="00897226" w:rsidRPr="00605771">
        <w:t xml:space="preserve"> sexuelle</w:t>
      </w:r>
      <w:r w:rsidRPr="00605771">
        <w:t>.</w:t>
      </w:r>
    </w:p>
    <w:p w:rsidR="002C7F5B"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9</w:t>
      </w:r>
      <w:r w:rsidRPr="00605771">
        <w:fldChar w:fldCharType="end"/>
      </w:r>
      <w:r w:rsidRPr="00605771">
        <w:t xml:space="preserve">.  Les 14 novembre et 21 décembre 2003, les requérantes furent reconnues comme « victimes de </w:t>
      </w:r>
      <w:r w:rsidR="00B0167F" w:rsidRPr="00605771">
        <w:t xml:space="preserve">la </w:t>
      </w:r>
      <w:r w:rsidRPr="00605771">
        <w:t xml:space="preserve">traite des êtres humains », selon les dispositions de la législation </w:t>
      </w:r>
      <w:r w:rsidR="00CF3F24" w:rsidRPr="00605771">
        <w:t xml:space="preserve">interne </w:t>
      </w:r>
      <w:r w:rsidRPr="00605771">
        <w:t>pertinente.</w:t>
      </w:r>
    </w:p>
    <w:p w:rsidR="002C7F5B"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10</w:t>
      </w:r>
      <w:r w:rsidRPr="00605771">
        <w:fldChar w:fldCharType="end"/>
      </w:r>
      <w:r w:rsidRPr="00605771">
        <w:t xml:space="preserve">.  Les autorités </w:t>
      </w:r>
      <w:r w:rsidR="009E00EC" w:rsidRPr="00605771">
        <w:t>engagèrent</w:t>
      </w:r>
      <w:r w:rsidRPr="00605771">
        <w:t xml:space="preserve"> deux procédures </w:t>
      </w:r>
      <w:r w:rsidR="009E00EC" w:rsidRPr="00605771">
        <w:t xml:space="preserve">pénales </w:t>
      </w:r>
      <w:r w:rsidRPr="00605771">
        <w:t xml:space="preserve">contre les </w:t>
      </w:r>
      <w:r w:rsidR="00A23420" w:rsidRPr="00605771">
        <w:t>personnes qui avaient</w:t>
      </w:r>
      <w:r w:rsidRPr="00605771">
        <w:t xml:space="preserve"> directement exploité les requérantes, ainsi qu</w:t>
      </w:r>
      <w:r w:rsidR="00E3752C" w:rsidRPr="00605771">
        <w:t>e des</w:t>
      </w:r>
      <w:r w:rsidRPr="00605771">
        <w:t xml:space="preserve"> procédure</w:t>
      </w:r>
      <w:r w:rsidR="00646D3D" w:rsidRPr="00605771">
        <w:t>s portant sur</w:t>
      </w:r>
      <w:r w:rsidRPr="00605771">
        <w:t xml:space="preserve"> la délivrance des visas.</w:t>
      </w:r>
    </w:p>
    <w:p w:rsidR="00DB1446" w:rsidRPr="00605771" w:rsidRDefault="00DB1446" w:rsidP="00605771">
      <w:pPr>
        <w:pStyle w:val="JuHA"/>
      </w:pPr>
      <w:r w:rsidRPr="00605771">
        <w:t xml:space="preserve">La procédure pénale </w:t>
      </w:r>
      <w:r w:rsidR="003A71AA" w:rsidRPr="00605771">
        <w:t>relative aux faits d</w:t>
      </w:r>
      <w:r w:rsidR="00605771" w:rsidRPr="00605771">
        <w:t>’</w:t>
      </w:r>
      <w:r w:rsidR="003A71AA" w:rsidRPr="00605771">
        <w:t>exploitation concernant</w:t>
      </w:r>
      <w:r w:rsidRPr="00605771">
        <w:t xml:space="preserve"> la troisième requérante</w:t>
      </w:r>
    </w:p>
    <w:bookmarkStart w:id="2" w:name="troisreqavantprocès"/>
    <w:p w:rsidR="002C7F5B" w:rsidRPr="00605771" w:rsidRDefault="00001EDA"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11</w:t>
      </w:r>
      <w:r w:rsidRPr="00605771">
        <w:fldChar w:fldCharType="end"/>
      </w:r>
      <w:bookmarkEnd w:id="2"/>
      <w:r w:rsidRPr="00605771">
        <w:t>.  </w:t>
      </w:r>
      <w:r w:rsidR="00AD6994" w:rsidRPr="00605771">
        <w:t xml:space="preserve">Le 18 septembre 2003, la troisième requérante fut arrêtée </w:t>
      </w:r>
      <w:r w:rsidR="0021347C" w:rsidRPr="00605771">
        <w:t xml:space="preserve">pour violation </w:t>
      </w:r>
      <w:r w:rsidR="0086768A" w:rsidRPr="00605771">
        <w:t>de la loi n</w:t>
      </w:r>
      <w:r w:rsidR="0086768A" w:rsidRPr="00605771">
        <w:rPr>
          <w:vertAlign w:val="superscript"/>
        </w:rPr>
        <w:t>o</w:t>
      </w:r>
      <w:r w:rsidR="0086768A" w:rsidRPr="00605771">
        <w:t xml:space="preserve"> 2734/1999 sur la prostitution. </w:t>
      </w:r>
      <w:r w:rsidR="00E3752C" w:rsidRPr="00605771">
        <w:t>Cette</w:t>
      </w:r>
      <w:r w:rsidR="007F0E5E" w:rsidRPr="00605771">
        <w:t xml:space="preserve"> requérante allègue qu</w:t>
      </w:r>
      <w:r w:rsidR="00605771" w:rsidRPr="00605771">
        <w:t>’</w:t>
      </w:r>
      <w:r w:rsidR="007F0E5E" w:rsidRPr="00605771">
        <w:t xml:space="preserve">elle </w:t>
      </w:r>
      <w:r w:rsidR="009E00EC" w:rsidRPr="00605771">
        <w:t>a été</w:t>
      </w:r>
      <w:r w:rsidR="007F0E5E" w:rsidRPr="00605771">
        <w:t xml:space="preserve"> détenue dans de mauvaises conditions et que les autorités ne l</w:t>
      </w:r>
      <w:r w:rsidR="00605771" w:rsidRPr="00605771">
        <w:t>’</w:t>
      </w:r>
      <w:r w:rsidR="007F0E5E" w:rsidRPr="00605771">
        <w:t>ont pas informé</w:t>
      </w:r>
      <w:r w:rsidR="003C08E6" w:rsidRPr="00605771">
        <w:t>e</w:t>
      </w:r>
      <w:r w:rsidR="007F0E5E" w:rsidRPr="00605771">
        <w:t xml:space="preserve"> </w:t>
      </w:r>
      <w:r w:rsidR="005E5CF8" w:rsidRPr="00605771">
        <w:t>sur la législation protégeant les victimes de la traite des êtres humains</w:t>
      </w:r>
      <w:r w:rsidR="0003168F" w:rsidRPr="00605771">
        <w:t xml:space="preserve"> avant </w:t>
      </w:r>
      <w:r w:rsidR="00897226" w:rsidRPr="00605771">
        <w:t>le début du</w:t>
      </w:r>
      <w:r w:rsidR="0003168F" w:rsidRPr="00605771">
        <w:t xml:space="preserve"> procès </w:t>
      </w:r>
      <w:r w:rsidR="009E00EC" w:rsidRPr="00605771">
        <w:t xml:space="preserve">dirigé </w:t>
      </w:r>
      <w:r w:rsidR="0003168F" w:rsidRPr="00605771">
        <w:t>contre elle</w:t>
      </w:r>
      <w:r w:rsidR="005E5CF8" w:rsidRPr="00605771">
        <w:t xml:space="preserve">. </w:t>
      </w:r>
      <w:r w:rsidR="00E86D06" w:rsidRPr="00605771">
        <w:t>Elle ajoute qu</w:t>
      </w:r>
      <w:r w:rsidR="00E3752C" w:rsidRPr="00605771">
        <w:t xml:space="preserve">e, lors de son appréhension, </w:t>
      </w:r>
      <w:r w:rsidR="00E86D06" w:rsidRPr="00605771">
        <w:t>elle a appelé sa</w:t>
      </w:r>
      <w:r w:rsidR="003C08E6" w:rsidRPr="00605771">
        <w:t xml:space="preserve"> proxénète depuis </w:t>
      </w:r>
      <w:r w:rsidR="009E00EC" w:rsidRPr="00605771">
        <w:t>le véhicule</w:t>
      </w:r>
      <w:r w:rsidR="003C08E6" w:rsidRPr="00605771">
        <w:t xml:space="preserve"> de police</w:t>
      </w:r>
      <w:r w:rsidR="001F3DA9" w:rsidRPr="00605771">
        <w:t>,</w:t>
      </w:r>
      <w:r w:rsidR="003C08E6" w:rsidRPr="00605771">
        <w:t xml:space="preserve"> mais qu</w:t>
      </w:r>
      <w:r w:rsidR="00605771" w:rsidRPr="00605771">
        <w:t>’</w:t>
      </w:r>
      <w:r w:rsidR="003C08E6" w:rsidRPr="00605771">
        <w:t>aucun effort n</w:t>
      </w:r>
      <w:r w:rsidR="00605771" w:rsidRPr="00605771">
        <w:t>’</w:t>
      </w:r>
      <w:r w:rsidR="003C08E6" w:rsidRPr="00605771">
        <w:t xml:space="preserve">a été fait par </w:t>
      </w:r>
      <w:r w:rsidR="009E00EC" w:rsidRPr="00605771">
        <w:t>les agents de</w:t>
      </w:r>
      <w:r w:rsidR="003C08E6" w:rsidRPr="00605771">
        <w:t xml:space="preserve"> police </w:t>
      </w:r>
      <w:r w:rsidR="009E00EC" w:rsidRPr="00605771">
        <w:t>pour</w:t>
      </w:r>
      <w:r w:rsidR="003C08E6" w:rsidRPr="00605771">
        <w:t xml:space="preserve"> localiser</w:t>
      </w:r>
      <w:r w:rsidR="009E00EC" w:rsidRPr="00605771">
        <w:t xml:space="preserve"> cette dernière</w:t>
      </w:r>
      <w:r w:rsidR="003C08E6" w:rsidRPr="00605771">
        <w:t>.</w:t>
      </w:r>
    </w:p>
    <w:p w:rsidR="002C7F5B" w:rsidRPr="00605771" w:rsidRDefault="00962963"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12</w:t>
      </w:r>
      <w:r w:rsidRPr="00605771">
        <w:fldChar w:fldCharType="end"/>
      </w:r>
      <w:r w:rsidRPr="00605771">
        <w:t xml:space="preserve">.  Le 19 septembre 2003, </w:t>
      </w:r>
      <w:r w:rsidR="00982192" w:rsidRPr="00605771">
        <w:t>par le</w:t>
      </w:r>
      <w:r w:rsidR="0021347C" w:rsidRPr="00605771">
        <w:t xml:space="preserve"> jugement n</w:t>
      </w:r>
      <w:r w:rsidR="0086768A" w:rsidRPr="00605771">
        <w:rPr>
          <w:vertAlign w:val="superscript"/>
        </w:rPr>
        <w:t>o</w:t>
      </w:r>
      <w:r w:rsidR="0021347C" w:rsidRPr="00605771">
        <w:t> </w:t>
      </w:r>
      <w:r w:rsidR="0086768A" w:rsidRPr="00605771">
        <w:t>46811/2003</w:t>
      </w:r>
      <w:r w:rsidR="00982192" w:rsidRPr="00605771">
        <w:t>, le tribunal correctionnel de Thessalonique</w:t>
      </w:r>
      <w:r w:rsidR="0021347C" w:rsidRPr="00605771">
        <w:t xml:space="preserve"> </w:t>
      </w:r>
      <w:r w:rsidR="00982192" w:rsidRPr="00605771">
        <w:t>condamna</w:t>
      </w:r>
      <w:r w:rsidR="0021347C" w:rsidRPr="00605771">
        <w:t xml:space="preserve"> </w:t>
      </w:r>
      <w:r w:rsidR="004F1C4F" w:rsidRPr="00605771">
        <w:t>la troisième requérante</w:t>
      </w:r>
      <w:r w:rsidR="0021347C" w:rsidRPr="00605771">
        <w:t xml:space="preserve"> </w:t>
      </w:r>
      <w:r w:rsidR="0039767A" w:rsidRPr="00605771">
        <w:t>à une peine d</w:t>
      </w:r>
      <w:r w:rsidR="00605771" w:rsidRPr="00605771">
        <w:t>’</w:t>
      </w:r>
      <w:r w:rsidR="0039767A" w:rsidRPr="00605771">
        <w:t xml:space="preserve">emprisonnement de </w:t>
      </w:r>
      <w:r w:rsidR="004F1C4F" w:rsidRPr="00605771">
        <w:t>quarante</w:t>
      </w:r>
      <w:r w:rsidR="0039767A" w:rsidRPr="00605771">
        <w:t xml:space="preserve"> jours </w:t>
      </w:r>
      <w:r w:rsidR="00CF3F24" w:rsidRPr="00605771">
        <w:t xml:space="preserve">avec sursis </w:t>
      </w:r>
      <w:r w:rsidR="0039767A" w:rsidRPr="00605771">
        <w:t>ainsi qu</w:t>
      </w:r>
      <w:r w:rsidR="00605771" w:rsidRPr="00605771">
        <w:t>’</w:t>
      </w:r>
      <w:r w:rsidR="0039767A" w:rsidRPr="00605771">
        <w:t xml:space="preserve">à une </w:t>
      </w:r>
      <w:r w:rsidR="00A23420" w:rsidRPr="00605771">
        <w:t>sanction pécuniaire</w:t>
      </w:r>
      <w:r w:rsidR="0039767A" w:rsidRPr="00605771">
        <w:t xml:space="preserve"> de 200</w:t>
      </w:r>
      <w:r w:rsidR="00D4235F" w:rsidRPr="00605771">
        <w:t> </w:t>
      </w:r>
      <w:r w:rsidR="0039767A" w:rsidRPr="00605771">
        <w:t xml:space="preserve">euros </w:t>
      </w:r>
      <w:r w:rsidR="000B1B14" w:rsidRPr="00605771">
        <w:t>(EUR)</w:t>
      </w:r>
      <w:r w:rsidR="0039767A" w:rsidRPr="00605771">
        <w:t>.</w:t>
      </w:r>
    </w:p>
    <w:bookmarkStart w:id="3" w:name="troisreqdeclvictime"/>
    <w:p w:rsidR="002C7F5B" w:rsidRPr="00605771" w:rsidRDefault="0039767A"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13</w:t>
      </w:r>
      <w:r w:rsidRPr="00605771">
        <w:fldChar w:fldCharType="end"/>
      </w:r>
      <w:bookmarkEnd w:id="3"/>
      <w:r w:rsidRPr="00605771">
        <w:t>.  </w:t>
      </w:r>
      <w:r w:rsidR="00C96213" w:rsidRPr="00605771">
        <w:t>D</w:t>
      </w:r>
      <w:r w:rsidR="00605771" w:rsidRPr="00605771">
        <w:t>’</w:t>
      </w:r>
      <w:r w:rsidR="00C96213" w:rsidRPr="00605771">
        <w:t>après l</w:t>
      </w:r>
      <w:r w:rsidR="009835E5" w:rsidRPr="00605771">
        <w:t>e Gouvernement</w:t>
      </w:r>
      <w:r w:rsidR="00C96213" w:rsidRPr="00605771">
        <w:t xml:space="preserve">, </w:t>
      </w:r>
      <w:r w:rsidR="009835E5" w:rsidRPr="00605771">
        <w:t>l</w:t>
      </w:r>
      <w:r w:rsidRPr="00605771">
        <w:t xml:space="preserve">a troisième requérante </w:t>
      </w:r>
      <w:r w:rsidR="00D4235F" w:rsidRPr="00605771">
        <w:t xml:space="preserve">a </w:t>
      </w:r>
      <w:r w:rsidR="00C96213" w:rsidRPr="00605771">
        <w:t xml:space="preserve">été </w:t>
      </w:r>
      <w:r w:rsidR="00CF3F24" w:rsidRPr="00605771">
        <w:t xml:space="preserve">conduite </w:t>
      </w:r>
      <w:r w:rsidRPr="00605771">
        <w:t>à la direction</w:t>
      </w:r>
      <w:r w:rsidR="009835E5" w:rsidRPr="00605771">
        <w:t xml:space="preserve"> </w:t>
      </w:r>
      <w:r w:rsidR="00315FE6" w:rsidRPr="00605771">
        <w:t xml:space="preserve">de la sécurité </w:t>
      </w:r>
      <w:r w:rsidR="009835E5" w:rsidRPr="00605771">
        <w:t xml:space="preserve">de </w:t>
      </w:r>
      <w:r w:rsidR="00315FE6" w:rsidRPr="00605771">
        <w:t xml:space="preserve">la </w:t>
      </w:r>
      <w:r w:rsidR="009835E5" w:rsidRPr="00605771">
        <w:t>police de Thessalonique</w:t>
      </w:r>
      <w:r w:rsidR="00CF3F24" w:rsidRPr="00605771">
        <w:t xml:space="preserve"> </w:t>
      </w:r>
      <w:r w:rsidR="001F3DA9" w:rsidRPr="00605771">
        <w:t>à l</w:t>
      </w:r>
      <w:r w:rsidR="00605771" w:rsidRPr="00605771">
        <w:t>’</w:t>
      </w:r>
      <w:r w:rsidR="001F3DA9" w:rsidRPr="00605771">
        <w:t>issue du procès dirigé contre elle</w:t>
      </w:r>
      <w:r w:rsidR="00C96213" w:rsidRPr="00605771">
        <w:t xml:space="preserve">. </w:t>
      </w:r>
      <w:r w:rsidR="001F3DA9" w:rsidRPr="00605771">
        <w:t>Toujours d</w:t>
      </w:r>
      <w:r w:rsidR="00605771" w:rsidRPr="00605771">
        <w:t>’</w:t>
      </w:r>
      <w:r w:rsidR="001F3DA9" w:rsidRPr="00605771">
        <w:t>après lui, l</w:t>
      </w:r>
      <w:r w:rsidR="00C96213" w:rsidRPr="00605771">
        <w:t xml:space="preserve">ors de dépositions </w:t>
      </w:r>
      <w:r w:rsidR="000B612C" w:rsidRPr="00605771">
        <w:t xml:space="preserve">faites </w:t>
      </w:r>
      <w:r w:rsidR="00C96213" w:rsidRPr="00605771">
        <w:t>notamment les</w:t>
      </w:r>
      <w:r w:rsidR="00FE72D0" w:rsidRPr="00605771">
        <w:t xml:space="preserve"> </w:t>
      </w:r>
      <w:r w:rsidR="00C96213" w:rsidRPr="00605771">
        <w:t>19, 22 et 24</w:t>
      </w:r>
      <w:r w:rsidR="00CF3F24" w:rsidRPr="00605771">
        <w:t> </w:t>
      </w:r>
      <w:r w:rsidR="00C96213" w:rsidRPr="00605771">
        <w:t>septembre 2003</w:t>
      </w:r>
      <w:r w:rsidR="000B612C" w:rsidRPr="00605771">
        <w:t xml:space="preserve"> en tant que témoin</w:t>
      </w:r>
      <w:r w:rsidR="00C96213" w:rsidRPr="00605771">
        <w:t>, l</w:t>
      </w:r>
      <w:r w:rsidR="00605771" w:rsidRPr="00605771">
        <w:t>’</w:t>
      </w:r>
      <w:r w:rsidR="00C96213" w:rsidRPr="00605771">
        <w:t>intéressée a</w:t>
      </w:r>
      <w:r w:rsidR="009835E5" w:rsidRPr="00605771">
        <w:t xml:space="preserve"> </w:t>
      </w:r>
      <w:r w:rsidR="001F3DA9" w:rsidRPr="00605771">
        <w:t xml:space="preserve">fait des </w:t>
      </w:r>
      <w:r w:rsidR="009835E5" w:rsidRPr="00605771">
        <w:t>révél</w:t>
      </w:r>
      <w:r w:rsidR="001F3DA9" w:rsidRPr="00605771">
        <w:t>ations sur</w:t>
      </w:r>
      <w:r w:rsidR="009835E5" w:rsidRPr="00605771">
        <w:t xml:space="preserve"> le réseau</w:t>
      </w:r>
      <w:r w:rsidR="006B3A5C" w:rsidRPr="00605771">
        <w:t xml:space="preserve"> de prostitution </w:t>
      </w:r>
      <w:r w:rsidR="00C96213" w:rsidRPr="00605771">
        <w:t xml:space="preserve">aux policiers, </w:t>
      </w:r>
      <w:r w:rsidR="006B3A5C" w:rsidRPr="00605771">
        <w:t xml:space="preserve">et elle </w:t>
      </w:r>
      <w:r w:rsidR="00C96213" w:rsidRPr="00605771">
        <w:t xml:space="preserve">a </w:t>
      </w:r>
      <w:r w:rsidR="003A08CB" w:rsidRPr="00605771">
        <w:t>déclaré avoir été forcée à se prostituer par</w:t>
      </w:r>
      <w:r w:rsidR="006B3A5C" w:rsidRPr="00605771">
        <w:t xml:space="preserve"> N.S., F.P. et E.M., </w:t>
      </w:r>
      <w:r w:rsidR="003A08CB" w:rsidRPr="00605771">
        <w:t xml:space="preserve">et a indiqué où </w:t>
      </w:r>
      <w:r w:rsidR="000E3E3A" w:rsidRPr="00605771">
        <w:t>logeaient</w:t>
      </w:r>
      <w:r w:rsidR="003A08CB" w:rsidRPr="00605771">
        <w:t xml:space="preserve"> ces personnes</w:t>
      </w:r>
      <w:r w:rsidR="006B3A5C" w:rsidRPr="00605771">
        <w:t>.</w:t>
      </w:r>
    </w:p>
    <w:p w:rsidR="002C7F5B" w:rsidRPr="00605771" w:rsidRDefault="00710420"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14</w:t>
      </w:r>
      <w:r w:rsidRPr="00605771">
        <w:fldChar w:fldCharType="end"/>
      </w:r>
      <w:r w:rsidRPr="00605771">
        <w:t>.  </w:t>
      </w:r>
      <w:r w:rsidR="001F3DA9" w:rsidRPr="00605771">
        <w:t>Également selon</w:t>
      </w:r>
      <w:r w:rsidR="003A08CB" w:rsidRPr="00605771">
        <w:t xml:space="preserve"> l</w:t>
      </w:r>
      <w:r w:rsidR="00C91AAE" w:rsidRPr="00605771">
        <w:t>e Gouvernement</w:t>
      </w:r>
      <w:r w:rsidR="003A08CB" w:rsidRPr="00605771">
        <w:t xml:space="preserve">, </w:t>
      </w:r>
      <w:r w:rsidR="000718A9" w:rsidRPr="00605771">
        <w:t>conformément à l</w:t>
      </w:r>
      <w:r w:rsidR="00605771" w:rsidRPr="00605771">
        <w:t>’</w:t>
      </w:r>
      <w:r w:rsidR="000718A9" w:rsidRPr="00605771">
        <w:t>article 12 de la loi n</w:t>
      </w:r>
      <w:r w:rsidR="000718A9" w:rsidRPr="00605771">
        <w:rPr>
          <w:vertAlign w:val="superscript"/>
        </w:rPr>
        <w:t>o</w:t>
      </w:r>
      <w:r w:rsidR="000718A9" w:rsidRPr="00605771">
        <w:t xml:space="preserve"> 3064/2002 combiné avec le décret présidentiel n</w:t>
      </w:r>
      <w:r w:rsidR="000718A9" w:rsidRPr="00605771">
        <w:rPr>
          <w:vertAlign w:val="superscript"/>
        </w:rPr>
        <w:t>o</w:t>
      </w:r>
      <w:r w:rsidR="000718A9" w:rsidRPr="00605771">
        <w:t xml:space="preserve"> 233/2003, </w:t>
      </w:r>
      <w:r w:rsidR="00C91AAE" w:rsidRPr="00605771">
        <w:t xml:space="preserve">la troisième requérante </w:t>
      </w:r>
      <w:r w:rsidR="003A08CB" w:rsidRPr="00605771">
        <w:t>a</w:t>
      </w:r>
      <w:r w:rsidR="000718A9" w:rsidRPr="00605771">
        <w:t xml:space="preserve"> </w:t>
      </w:r>
      <w:r w:rsidR="00C91AAE" w:rsidRPr="00605771">
        <w:t xml:space="preserve">immédiatement </w:t>
      </w:r>
      <w:r w:rsidR="003A08CB" w:rsidRPr="00605771">
        <w:t xml:space="preserve">été </w:t>
      </w:r>
      <w:r w:rsidR="00C91AAE" w:rsidRPr="00605771">
        <w:t>placée sous un régime de protection</w:t>
      </w:r>
      <w:r w:rsidR="00714D99" w:rsidRPr="00605771">
        <w:t>.</w:t>
      </w:r>
    </w:p>
    <w:p w:rsidR="002C7F5B"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15</w:t>
      </w:r>
      <w:r w:rsidRPr="00605771">
        <w:fldChar w:fldCharType="end"/>
      </w:r>
      <w:r w:rsidRPr="00605771">
        <w:t>.  </w:t>
      </w:r>
      <w:r w:rsidR="00710420" w:rsidRPr="00605771">
        <w:t>Le 23 septembre 2003</w:t>
      </w:r>
      <w:r w:rsidRPr="00605771">
        <w:t xml:space="preserve">, </w:t>
      </w:r>
      <w:r w:rsidR="00A2222A" w:rsidRPr="00605771">
        <w:t xml:space="preserve">à la </w:t>
      </w:r>
      <w:r w:rsidRPr="00605771">
        <w:t xml:space="preserve">suite </w:t>
      </w:r>
      <w:r w:rsidR="00A2222A" w:rsidRPr="00605771">
        <w:t>d</w:t>
      </w:r>
      <w:r w:rsidR="00605771" w:rsidRPr="00605771">
        <w:t>’</w:t>
      </w:r>
      <w:r w:rsidRPr="00605771">
        <w:t>une opérat</w:t>
      </w:r>
      <w:r w:rsidR="00710420" w:rsidRPr="00605771">
        <w:t xml:space="preserve">ion de police, N.S., F.P. et </w:t>
      </w:r>
      <w:r w:rsidR="00C230B6" w:rsidRPr="00605771">
        <w:t xml:space="preserve">E.M. </w:t>
      </w:r>
      <w:r w:rsidRPr="00605771">
        <w:t>furent arrêtés.</w:t>
      </w:r>
    </w:p>
    <w:p w:rsidR="00C230B6" w:rsidRPr="00605771" w:rsidRDefault="008E6E6D" w:rsidP="00605771">
      <w:pPr>
        <w:pStyle w:val="JuPara"/>
      </w:pPr>
      <w:r w:rsidRPr="00605771">
        <w:lastRenderedPageBreak/>
        <w:fldChar w:fldCharType="begin"/>
      </w:r>
      <w:r w:rsidRPr="00605771">
        <w:instrText xml:space="preserve"> SEQ level0 \*arabic </w:instrText>
      </w:r>
      <w:r w:rsidRPr="00605771">
        <w:fldChar w:fldCharType="separate"/>
      </w:r>
      <w:r w:rsidR="00605771" w:rsidRPr="00605771">
        <w:rPr>
          <w:noProof/>
        </w:rPr>
        <w:t>16</w:t>
      </w:r>
      <w:r w:rsidRPr="00605771">
        <w:fldChar w:fldCharType="end"/>
      </w:r>
      <w:r w:rsidRPr="00605771">
        <w:t>.  </w:t>
      </w:r>
      <w:r w:rsidR="00C230B6" w:rsidRPr="00605771">
        <w:t xml:space="preserve">Le </w:t>
      </w:r>
      <w:r w:rsidR="00962963" w:rsidRPr="00605771">
        <w:t>23 octobre 2003,</w:t>
      </w:r>
      <w:r w:rsidR="00C230B6" w:rsidRPr="00605771">
        <w:t xml:space="preserve"> des poursuites pénales furent engagées contre </w:t>
      </w:r>
      <w:r w:rsidR="00FB0071" w:rsidRPr="00605771">
        <w:t xml:space="preserve">ces trois personnes, </w:t>
      </w:r>
      <w:r w:rsidR="00E913F8" w:rsidRPr="00605771">
        <w:t xml:space="preserve">notamment </w:t>
      </w:r>
      <w:r w:rsidR="00C230B6" w:rsidRPr="00605771">
        <w:t xml:space="preserve">pour organisation criminelle, </w:t>
      </w:r>
      <w:r w:rsidR="006F6BA3" w:rsidRPr="00605771">
        <w:t>traite des êtres humains et proxénétisme.</w:t>
      </w:r>
    </w:p>
    <w:bookmarkStart w:id="4" w:name="troisreqmesures1"/>
    <w:p w:rsidR="00962963" w:rsidRPr="00605771" w:rsidRDefault="008E6E6D"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17</w:t>
      </w:r>
      <w:r w:rsidRPr="00605771">
        <w:fldChar w:fldCharType="end"/>
      </w:r>
      <w:bookmarkEnd w:id="4"/>
      <w:r w:rsidRPr="00605771">
        <w:t>.  </w:t>
      </w:r>
      <w:r w:rsidR="00962963" w:rsidRPr="00605771">
        <w:t>Le 14 novembre 2003, </w:t>
      </w:r>
      <w:r w:rsidR="00BB1CC8" w:rsidRPr="00605771">
        <w:t>en application de</w:t>
      </w:r>
      <w:r w:rsidR="00F742E9" w:rsidRPr="00605771">
        <w:t xml:space="preserve"> </w:t>
      </w:r>
      <w:r w:rsidR="00DE661C" w:rsidRPr="00605771">
        <w:t>l</w:t>
      </w:r>
      <w:r w:rsidR="00605771" w:rsidRPr="00605771">
        <w:t>’</w:t>
      </w:r>
      <w:r w:rsidR="00962963" w:rsidRPr="00605771">
        <w:t>ordonnance n</w:t>
      </w:r>
      <w:r w:rsidR="00962963" w:rsidRPr="00605771">
        <w:rPr>
          <w:vertAlign w:val="superscript"/>
        </w:rPr>
        <w:t>o</w:t>
      </w:r>
      <w:r w:rsidR="00962963" w:rsidRPr="00605771">
        <w:t xml:space="preserve"> 1/2003</w:t>
      </w:r>
      <w:r w:rsidR="00BB1CC8" w:rsidRPr="00605771">
        <w:t xml:space="preserve"> du</w:t>
      </w:r>
      <w:r w:rsidR="00962963" w:rsidRPr="00605771">
        <w:t xml:space="preserve"> procureur </w:t>
      </w:r>
      <w:r w:rsidR="00534D4E" w:rsidRPr="00605771">
        <w:t>près le</w:t>
      </w:r>
      <w:r w:rsidR="00962963" w:rsidRPr="00605771">
        <w:t xml:space="preserve"> tribunal de première instance de Thessalonique</w:t>
      </w:r>
      <w:r w:rsidR="00BB1CC8" w:rsidRPr="00605771">
        <w:t xml:space="preserve">, </w:t>
      </w:r>
      <w:r w:rsidR="009725E6" w:rsidRPr="00605771">
        <w:t>l</w:t>
      </w:r>
      <w:r w:rsidR="00605771" w:rsidRPr="00605771">
        <w:t>’</w:t>
      </w:r>
      <w:r w:rsidR="009725E6" w:rsidRPr="00605771">
        <w:t xml:space="preserve">exécution de </w:t>
      </w:r>
      <w:r w:rsidR="00962963" w:rsidRPr="00605771">
        <w:t>la décision ordonnant l</w:t>
      </w:r>
      <w:r w:rsidR="00605771" w:rsidRPr="00605771">
        <w:t>’</w:t>
      </w:r>
      <w:r w:rsidR="00962963" w:rsidRPr="00605771">
        <w:t xml:space="preserve">expulsion de la troisième requérante </w:t>
      </w:r>
      <w:r w:rsidR="00BB1CC8" w:rsidRPr="00605771">
        <w:t xml:space="preserve">fut </w:t>
      </w:r>
      <w:r w:rsidR="00962963" w:rsidRPr="00605771">
        <w:t>suspendue jusqu</w:t>
      </w:r>
      <w:r w:rsidR="00605771" w:rsidRPr="00605771">
        <w:t>’</w:t>
      </w:r>
      <w:r w:rsidR="00962963" w:rsidRPr="00605771">
        <w:t>à ce qu</w:t>
      </w:r>
      <w:r w:rsidR="00605771" w:rsidRPr="00605771">
        <w:t>’</w:t>
      </w:r>
      <w:r w:rsidR="00962963" w:rsidRPr="00605771">
        <w:t xml:space="preserve">un arrêt définitif contre N.S., F.P. et E.M </w:t>
      </w:r>
      <w:r w:rsidR="00F742E9" w:rsidRPr="00605771">
        <w:t>f</w:t>
      </w:r>
      <w:r w:rsidR="00DE661C" w:rsidRPr="00605771">
        <w:t>û</w:t>
      </w:r>
      <w:r w:rsidR="00F742E9" w:rsidRPr="00605771">
        <w:t>t rendu</w:t>
      </w:r>
      <w:r w:rsidR="00962963" w:rsidRPr="00605771">
        <w:t xml:space="preserve">. </w:t>
      </w:r>
      <w:r w:rsidR="00A05D5F" w:rsidRPr="00605771">
        <w:t>En application de</w:t>
      </w:r>
      <w:r w:rsidR="00962963" w:rsidRPr="00605771">
        <w:t xml:space="preserve"> la même ordonnance, l</w:t>
      </w:r>
      <w:r w:rsidR="00605771" w:rsidRPr="00605771">
        <w:t>’</w:t>
      </w:r>
      <w:r w:rsidR="00930EED" w:rsidRPr="00605771">
        <w:t>intéressée</w:t>
      </w:r>
      <w:r w:rsidR="00962963" w:rsidRPr="00605771">
        <w:t xml:space="preserve"> s</w:t>
      </w:r>
      <w:r w:rsidR="00F742E9" w:rsidRPr="00605771">
        <w:t xml:space="preserve">e vit </w:t>
      </w:r>
      <w:r w:rsidR="00962963" w:rsidRPr="00605771">
        <w:t>délivr</w:t>
      </w:r>
      <w:r w:rsidR="00F742E9" w:rsidRPr="00605771">
        <w:t>er</w:t>
      </w:r>
      <w:r w:rsidR="00962963" w:rsidRPr="00605771">
        <w:t xml:space="preserve"> un permis de séjour.</w:t>
      </w:r>
    </w:p>
    <w:bookmarkStart w:id="5" w:name="troisreqmesures2"/>
    <w:p w:rsidR="00962963" w:rsidRPr="00605771" w:rsidRDefault="00962963"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18</w:t>
      </w:r>
      <w:r w:rsidRPr="00605771">
        <w:fldChar w:fldCharType="end"/>
      </w:r>
      <w:bookmarkEnd w:id="5"/>
      <w:r w:rsidRPr="00605771">
        <w:t>.  Le 1</w:t>
      </w:r>
      <w:r w:rsidRPr="00605771">
        <w:rPr>
          <w:vertAlign w:val="superscript"/>
        </w:rPr>
        <w:t>er</w:t>
      </w:r>
      <w:r w:rsidRPr="00605771">
        <w:t xml:space="preserve"> décembre 2003, la troisième requérante fut transférée dans un foyer.</w:t>
      </w:r>
    </w:p>
    <w:p w:rsidR="00420CA5" w:rsidRPr="00605771" w:rsidRDefault="00593DC4"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19</w:t>
      </w:r>
      <w:r w:rsidRPr="00605771">
        <w:fldChar w:fldCharType="end"/>
      </w:r>
      <w:r w:rsidRPr="00605771">
        <w:t>.  Le 2 décembre 2003, le juge d</w:t>
      </w:r>
      <w:r w:rsidR="00605771" w:rsidRPr="00605771">
        <w:t>’</w:t>
      </w:r>
      <w:r w:rsidRPr="00605771">
        <w:t>instruction du tribunal correctionnel de Thessalonique ordonna la détention provisoire de N.S. et F.P</w:t>
      </w:r>
      <w:r w:rsidR="005E3BEE" w:rsidRPr="00605771">
        <w:t>.</w:t>
      </w:r>
      <w:r w:rsidRPr="00605771">
        <w:t xml:space="preserve"> (mandat n</w:t>
      </w:r>
      <w:r w:rsidRPr="00605771">
        <w:rPr>
          <w:vertAlign w:val="superscript"/>
        </w:rPr>
        <w:t>os</w:t>
      </w:r>
      <w:r w:rsidRPr="00605771">
        <w:t xml:space="preserve"> 19/2003 et 20/2003). </w:t>
      </w:r>
      <w:r w:rsidR="00DE661C" w:rsidRPr="00605771">
        <w:t>Quant à</w:t>
      </w:r>
      <w:r w:rsidRPr="00605771">
        <w:t xml:space="preserve"> E.M.</w:t>
      </w:r>
      <w:r w:rsidR="00DE661C" w:rsidRPr="00605771">
        <w:t>, il</w:t>
      </w:r>
      <w:r w:rsidRPr="00605771">
        <w:t xml:space="preserve"> s</w:t>
      </w:r>
      <w:r w:rsidR="00DE661C" w:rsidRPr="00605771">
        <w:t>e vit</w:t>
      </w:r>
      <w:r w:rsidRPr="00605771">
        <w:t xml:space="preserve"> imposer</w:t>
      </w:r>
      <w:r w:rsidR="00DE661C" w:rsidRPr="00605771">
        <w:t>, par l</w:t>
      </w:r>
      <w:r w:rsidR="00605771" w:rsidRPr="00605771">
        <w:t>’</w:t>
      </w:r>
      <w:r w:rsidR="00DE661C" w:rsidRPr="00605771">
        <w:t>ordonnance n</w:t>
      </w:r>
      <w:r w:rsidR="00DE661C" w:rsidRPr="00605771">
        <w:rPr>
          <w:vertAlign w:val="superscript"/>
        </w:rPr>
        <w:t>o</w:t>
      </w:r>
      <w:r w:rsidR="00DE661C" w:rsidRPr="00605771">
        <w:t> 68/2003 du juge d</w:t>
      </w:r>
      <w:r w:rsidR="00605771" w:rsidRPr="00605771">
        <w:t>’</w:t>
      </w:r>
      <w:r w:rsidR="00DE661C" w:rsidRPr="00605771">
        <w:t>instruction,</w:t>
      </w:r>
      <w:r w:rsidRPr="00605771">
        <w:t xml:space="preserve"> </w:t>
      </w:r>
      <w:r w:rsidR="00DE661C" w:rsidRPr="00605771">
        <w:t>d</w:t>
      </w:r>
      <w:r w:rsidRPr="00605771">
        <w:t xml:space="preserve">es mesures préventives de comparution devant le commissariat de police de son lieu de résidence et </w:t>
      </w:r>
      <w:r w:rsidR="00DE661C" w:rsidRPr="00605771">
        <w:t xml:space="preserve">une </w:t>
      </w:r>
      <w:r w:rsidRPr="00605771">
        <w:t>interdiction de quitter le territoire.</w:t>
      </w:r>
    </w:p>
    <w:p w:rsidR="006F6BA3" w:rsidRPr="00605771" w:rsidRDefault="00420CA5"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20</w:t>
      </w:r>
      <w:r w:rsidRPr="00605771">
        <w:fldChar w:fldCharType="end"/>
      </w:r>
      <w:r w:rsidRPr="00605771">
        <w:t xml:space="preserve">.  Le 15 décembre 2003, </w:t>
      </w:r>
      <w:r w:rsidR="009042E3" w:rsidRPr="00605771">
        <w:t>à l</w:t>
      </w:r>
      <w:r w:rsidR="00605771" w:rsidRPr="00605771">
        <w:t>’</w:t>
      </w:r>
      <w:r w:rsidR="005731CC" w:rsidRPr="00605771">
        <w:t>issue</w:t>
      </w:r>
      <w:r w:rsidRPr="00605771">
        <w:t xml:space="preserve"> </w:t>
      </w:r>
      <w:r w:rsidR="009042E3" w:rsidRPr="00605771">
        <w:t>de</w:t>
      </w:r>
      <w:r w:rsidRPr="00605771">
        <w:t xml:space="preserve"> l</w:t>
      </w:r>
      <w:r w:rsidR="00605771" w:rsidRPr="00605771">
        <w:t>’</w:t>
      </w:r>
      <w:r w:rsidRPr="00605771">
        <w:t>enquête judiciaire officielle (</w:t>
      </w:r>
      <w:r w:rsidRPr="00605771">
        <w:rPr>
          <w:i/>
          <w:lang w:val="el-GR"/>
        </w:rPr>
        <w:t>κύρια</w:t>
      </w:r>
      <w:r w:rsidRPr="00605771">
        <w:rPr>
          <w:i/>
        </w:rPr>
        <w:t xml:space="preserve"> </w:t>
      </w:r>
      <w:r w:rsidRPr="00605771">
        <w:rPr>
          <w:i/>
          <w:lang w:val="el-GR"/>
        </w:rPr>
        <w:t>ανάκριση</w:t>
      </w:r>
      <w:r w:rsidRPr="00605771">
        <w:t>),</w:t>
      </w:r>
      <w:r w:rsidR="000C32AB" w:rsidRPr="00605771">
        <w:t xml:space="preserve"> l</w:t>
      </w:r>
      <w:r w:rsidR="00605771" w:rsidRPr="00605771">
        <w:t>’</w:t>
      </w:r>
      <w:r w:rsidR="000C32AB" w:rsidRPr="00605771">
        <w:t>affaire fut renvoyée au procureur compétent. Ce dernier ordonna le renvoi de N.S., F.P. et E.M. en jugement.</w:t>
      </w:r>
    </w:p>
    <w:bookmarkStart w:id="6" w:name="InterpolRussie"/>
    <w:p w:rsidR="002C7F5B" w:rsidRPr="00605771" w:rsidRDefault="0048403B"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21</w:t>
      </w:r>
      <w:r w:rsidRPr="00605771">
        <w:fldChar w:fldCharType="end"/>
      </w:r>
      <w:bookmarkEnd w:id="6"/>
      <w:r w:rsidRPr="00605771">
        <w:t xml:space="preserve">.  Le </w:t>
      </w:r>
      <w:r w:rsidR="00CD43BE" w:rsidRPr="00605771">
        <w:t xml:space="preserve">10 </w:t>
      </w:r>
      <w:r w:rsidRPr="00605771">
        <w:t>février 2004, le département d</w:t>
      </w:r>
      <w:r w:rsidR="00605771" w:rsidRPr="00605771">
        <w:t>’</w:t>
      </w:r>
      <w:r w:rsidRPr="00605771">
        <w:t xml:space="preserve">Interpol de la police hellénique </w:t>
      </w:r>
      <w:r w:rsidR="00B15846" w:rsidRPr="00605771">
        <w:t>avisa</w:t>
      </w:r>
      <w:r w:rsidR="005E3BEE" w:rsidRPr="00605771">
        <w:t xml:space="preserve"> </w:t>
      </w:r>
      <w:r w:rsidRPr="00605771">
        <w:t xml:space="preserve">la direction de </w:t>
      </w:r>
      <w:r w:rsidR="005731CC" w:rsidRPr="00605771">
        <w:t xml:space="preserve">la </w:t>
      </w:r>
      <w:r w:rsidRPr="00605771">
        <w:t xml:space="preserve">sécurité </w:t>
      </w:r>
      <w:r w:rsidR="00CB6282" w:rsidRPr="00605771">
        <w:t xml:space="preserve">de la police </w:t>
      </w:r>
      <w:r w:rsidRPr="00605771">
        <w:t>de l</w:t>
      </w:r>
      <w:r w:rsidR="00605771" w:rsidRPr="00605771">
        <w:t>’</w:t>
      </w:r>
      <w:r w:rsidRPr="00605771">
        <w:t xml:space="preserve">Attique que </w:t>
      </w:r>
      <w:r w:rsidR="008B578B" w:rsidRPr="00605771">
        <w:t>le bureau central d</w:t>
      </w:r>
      <w:r w:rsidR="00605771" w:rsidRPr="00605771">
        <w:t>’</w:t>
      </w:r>
      <w:r w:rsidRPr="00605771">
        <w:t>Interpol en Russie lui avait fourni des informations sur l</w:t>
      </w:r>
      <w:r w:rsidR="00605771" w:rsidRPr="00605771">
        <w:t>’</w:t>
      </w:r>
      <w:r w:rsidRPr="00605771">
        <w:t>agence de voyage « G », qui était impliqué</w:t>
      </w:r>
      <w:r w:rsidR="008B578B" w:rsidRPr="00605771">
        <w:t>e dans des</w:t>
      </w:r>
      <w:r w:rsidRPr="00605771">
        <w:t xml:space="preserve"> actes de prostitution. Il ajouta qu</w:t>
      </w:r>
      <w:r w:rsidR="00605771" w:rsidRPr="00605771">
        <w:t>’</w:t>
      </w:r>
      <w:r w:rsidRPr="00605771">
        <w:t>un contr</w:t>
      </w:r>
      <w:r w:rsidR="008B578B" w:rsidRPr="00605771">
        <w:t>ôle</w:t>
      </w:r>
      <w:r w:rsidRPr="00605771">
        <w:t xml:space="preserve"> </w:t>
      </w:r>
      <w:r w:rsidR="008E6E6D" w:rsidRPr="00605771">
        <w:t>de la police russe</w:t>
      </w:r>
      <w:r w:rsidRPr="00605771">
        <w:t xml:space="preserve"> était </w:t>
      </w:r>
      <w:r w:rsidR="008B578B" w:rsidRPr="00605771">
        <w:t>en cours</w:t>
      </w:r>
      <w:r w:rsidRPr="00605771">
        <w:t>.</w:t>
      </w:r>
    </w:p>
    <w:p w:rsidR="000C32AB" w:rsidRPr="00605771" w:rsidRDefault="000C32AB"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22</w:t>
      </w:r>
      <w:r w:rsidRPr="00605771">
        <w:fldChar w:fldCharType="end"/>
      </w:r>
      <w:r w:rsidRPr="00605771">
        <w:t>.  Le 8 avril 2004</w:t>
      </w:r>
      <w:r w:rsidR="00E913F8" w:rsidRPr="00605771">
        <w:t xml:space="preserve">, </w:t>
      </w:r>
      <w:r w:rsidR="003002B0" w:rsidRPr="00605771">
        <w:t>par l</w:t>
      </w:r>
      <w:r w:rsidR="00605771" w:rsidRPr="00605771">
        <w:t>’</w:t>
      </w:r>
      <w:r w:rsidR="003002B0" w:rsidRPr="00605771">
        <w:t>ordonnance n</w:t>
      </w:r>
      <w:r w:rsidR="003002B0" w:rsidRPr="00605771">
        <w:rPr>
          <w:vertAlign w:val="superscript"/>
        </w:rPr>
        <w:t>o</w:t>
      </w:r>
      <w:r w:rsidR="003002B0" w:rsidRPr="00605771">
        <w:t xml:space="preserve"> 457/2004, </w:t>
      </w:r>
      <w:r w:rsidR="00E913F8" w:rsidRPr="00605771">
        <w:t>la chambre d</w:t>
      </w:r>
      <w:r w:rsidR="00605771" w:rsidRPr="00605771">
        <w:t>’</w:t>
      </w:r>
      <w:r w:rsidR="00E913F8" w:rsidRPr="00605771">
        <w:t>accusation du tribunal correctionnel de Thessalonique confirma le renvoi de N.S., F.P. et E.M. en jugement devant la cour d</w:t>
      </w:r>
      <w:r w:rsidR="00605771" w:rsidRPr="00605771">
        <w:t>’</w:t>
      </w:r>
      <w:r w:rsidR="00E913F8" w:rsidRPr="00605771">
        <w:t xml:space="preserve">assises de </w:t>
      </w:r>
      <w:r w:rsidR="00817A25" w:rsidRPr="00605771">
        <w:t>Serres</w:t>
      </w:r>
      <w:r w:rsidR="00E26241" w:rsidRPr="00605771">
        <w:t xml:space="preserve"> </w:t>
      </w:r>
      <w:r w:rsidR="0028359E" w:rsidRPr="00605771">
        <w:t>(« la cour d</w:t>
      </w:r>
      <w:r w:rsidR="00605771" w:rsidRPr="00605771">
        <w:t>’</w:t>
      </w:r>
      <w:r w:rsidR="0028359E" w:rsidRPr="00605771">
        <w:t>assises »)</w:t>
      </w:r>
      <w:r w:rsidR="00E913F8" w:rsidRPr="00605771">
        <w:t>.</w:t>
      </w:r>
      <w:r w:rsidR="00817A25" w:rsidRPr="00605771">
        <w:t xml:space="preserve"> Par la même ordonnance, la détention pr</w:t>
      </w:r>
      <w:r w:rsidR="0072317C" w:rsidRPr="00605771">
        <w:t>ovisoire de N.S. et de F.P. fut remplacée</w:t>
      </w:r>
      <w:r w:rsidR="00817A25" w:rsidRPr="00605771">
        <w:t xml:space="preserve"> par des mesures restrictives.</w:t>
      </w:r>
    </w:p>
    <w:p w:rsidR="00092250" w:rsidRPr="00605771" w:rsidRDefault="00092250"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23</w:t>
      </w:r>
      <w:r w:rsidRPr="00605771">
        <w:fldChar w:fldCharType="end"/>
      </w:r>
      <w:r w:rsidRPr="00605771">
        <w:t>.  L</w:t>
      </w:r>
      <w:r w:rsidR="00605771" w:rsidRPr="00605771">
        <w:t>’</w:t>
      </w:r>
      <w:r w:rsidRPr="00605771">
        <w:t>audience de l</w:t>
      </w:r>
      <w:r w:rsidR="00605771" w:rsidRPr="00605771">
        <w:t>’</w:t>
      </w:r>
      <w:r w:rsidRPr="00605771">
        <w:t>affaire, initialement fixé</w:t>
      </w:r>
      <w:r w:rsidR="003002B0" w:rsidRPr="00605771">
        <w:t>e</w:t>
      </w:r>
      <w:r w:rsidRPr="00605771">
        <w:t xml:space="preserve"> au 19 janvier 2005, fut ajourné</w:t>
      </w:r>
      <w:r w:rsidR="003002B0" w:rsidRPr="00605771">
        <w:t>e,</w:t>
      </w:r>
      <w:r w:rsidRPr="00605771">
        <w:t xml:space="preserve"> </w:t>
      </w:r>
      <w:r w:rsidR="003002B0" w:rsidRPr="00605771">
        <w:t>d</w:t>
      </w:r>
      <w:r w:rsidR="00605771" w:rsidRPr="00605771">
        <w:t>’</w:t>
      </w:r>
      <w:r w:rsidR="003002B0" w:rsidRPr="00605771">
        <w:t xml:space="preserve">une part, aux fins de la jonction </w:t>
      </w:r>
      <w:r w:rsidRPr="00605771">
        <w:t>d</w:t>
      </w:r>
      <w:r w:rsidR="00605771" w:rsidRPr="00605771">
        <w:t>’</w:t>
      </w:r>
      <w:r w:rsidRPr="00605771">
        <w:t>autres dossiers contre les mêmes accusés concern</w:t>
      </w:r>
      <w:r w:rsidR="003002B0" w:rsidRPr="00605771">
        <w:t>a</w:t>
      </w:r>
      <w:r w:rsidRPr="00605771">
        <w:t xml:space="preserve">nt deux autres femmes ayant été forcées </w:t>
      </w:r>
      <w:r w:rsidR="003002B0" w:rsidRPr="00605771">
        <w:t>à</w:t>
      </w:r>
      <w:r w:rsidRPr="00605771">
        <w:t xml:space="preserve"> se prostituer et, </w:t>
      </w:r>
      <w:r w:rsidR="003002B0" w:rsidRPr="00605771">
        <w:t>d</w:t>
      </w:r>
      <w:r w:rsidR="00605771" w:rsidRPr="00605771">
        <w:t>’</w:t>
      </w:r>
      <w:r w:rsidR="003002B0" w:rsidRPr="00605771">
        <w:t>autre part</w:t>
      </w:r>
      <w:r w:rsidRPr="00605771">
        <w:t xml:space="preserve">, </w:t>
      </w:r>
      <w:r w:rsidR="003002B0" w:rsidRPr="00605771">
        <w:t xml:space="preserve">aux fins de la </w:t>
      </w:r>
      <w:r w:rsidRPr="00605771">
        <w:t>convo</w:t>
      </w:r>
      <w:r w:rsidR="003002B0" w:rsidRPr="00605771">
        <w:t>cation de</w:t>
      </w:r>
      <w:r w:rsidRPr="00605771">
        <w:t xml:space="preserve"> la troisième requérante comme témoin.</w:t>
      </w:r>
    </w:p>
    <w:p w:rsidR="002C7F5B" w:rsidRPr="00605771" w:rsidRDefault="00092250"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24</w:t>
      </w:r>
      <w:r w:rsidRPr="00605771">
        <w:fldChar w:fldCharType="end"/>
      </w:r>
      <w:r w:rsidR="0028359E" w:rsidRPr="00605771">
        <w:t>. </w:t>
      </w:r>
      <w:r w:rsidR="00D563EA" w:rsidRPr="00605771">
        <w:t> </w:t>
      </w:r>
      <w:r w:rsidR="0028359E" w:rsidRPr="00605771">
        <w:t>Le procès eut lieu devant la cour d</w:t>
      </w:r>
      <w:r w:rsidR="00605771" w:rsidRPr="00605771">
        <w:t>’</w:t>
      </w:r>
      <w:r w:rsidR="0028359E" w:rsidRPr="00605771">
        <w:t>assises du 16 septembre au 20</w:t>
      </w:r>
      <w:r w:rsidR="00680718" w:rsidRPr="00605771">
        <w:t> </w:t>
      </w:r>
      <w:r w:rsidR="0028359E" w:rsidRPr="00605771">
        <w:t xml:space="preserve">octobre 2005. La </w:t>
      </w:r>
      <w:r w:rsidRPr="00605771">
        <w:t xml:space="preserve">troisième requérante </w:t>
      </w:r>
      <w:r w:rsidR="00680718" w:rsidRPr="00605771">
        <w:t>manifesta</w:t>
      </w:r>
      <w:r w:rsidR="00CD3862" w:rsidRPr="00605771">
        <w:t xml:space="preserve"> son </w:t>
      </w:r>
      <w:r w:rsidRPr="00605771">
        <w:t>intention</w:t>
      </w:r>
      <w:r w:rsidR="000B1B14" w:rsidRPr="00605771">
        <w:t xml:space="preserve"> de se constituer partie civile. </w:t>
      </w:r>
      <w:r w:rsidR="00315FE6" w:rsidRPr="00605771">
        <w:t>L</w:t>
      </w:r>
      <w:r w:rsidR="00605771" w:rsidRPr="00605771">
        <w:t>’</w:t>
      </w:r>
      <w:r w:rsidR="00CD3862" w:rsidRPr="00605771">
        <w:t>intéressée et</w:t>
      </w:r>
      <w:r w:rsidR="00315FE6" w:rsidRPr="00605771">
        <w:t xml:space="preserve"> les policiers de la direction de </w:t>
      </w:r>
      <w:r w:rsidR="005731CC" w:rsidRPr="00605771">
        <w:t xml:space="preserve">la </w:t>
      </w:r>
      <w:r w:rsidR="00315FE6" w:rsidRPr="00605771">
        <w:t xml:space="preserve">sécurité de la police de Thessalonique furent </w:t>
      </w:r>
      <w:r w:rsidR="00CD3862" w:rsidRPr="00605771">
        <w:t xml:space="preserve">entendus </w:t>
      </w:r>
      <w:r w:rsidR="00315FE6" w:rsidRPr="00605771">
        <w:t>comme témoins.</w:t>
      </w:r>
    </w:p>
    <w:p w:rsidR="003C5AE7"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25</w:t>
      </w:r>
      <w:r w:rsidRPr="00605771">
        <w:fldChar w:fldCharType="end"/>
      </w:r>
      <w:r w:rsidRPr="00605771">
        <w:t>.  Le 20 octobre 2005, la cour d</w:t>
      </w:r>
      <w:r w:rsidR="00605771" w:rsidRPr="00605771">
        <w:t>’</w:t>
      </w:r>
      <w:r w:rsidRPr="00605771">
        <w:t>assises condamna F.P.</w:t>
      </w:r>
      <w:r w:rsidR="003C5AE7" w:rsidRPr="00605771">
        <w:t xml:space="preserve"> et</w:t>
      </w:r>
      <w:r w:rsidR="0028359E" w:rsidRPr="00605771">
        <w:t xml:space="preserve"> N.S</w:t>
      </w:r>
      <w:r w:rsidRPr="00605771">
        <w:t>.</w:t>
      </w:r>
      <w:r w:rsidR="00414120" w:rsidRPr="00605771">
        <w:t xml:space="preserve"> des chefs d</w:t>
      </w:r>
      <w:r w:rsidR="00605771" w:rsidRPr="00605771">
        <w:t>’</w:t>
      </w:r>
      <w:r w:rsidR="00414120" w:rsidRPr="00605771">
        <w:t>organisation criminelle, de traite des êtres humains, de séquestration et de proxénétisme à l</w:t>
      </w:r>
      <w:r w:rsidR="00605771" w:rsidRPr="00605771">
        <w:t>’</w:t>
      </w:r>
      <w:r w:rsidR="00414120" w:rsidRPr="00605771">
        <w:t>encontre de trois victimes, dont la troisième requérante (arrêts n</w:t>
      </w:r>
      <w:r w:rsidR="00414120" w:rsidRPr="00605771">
        <w:rPr>
          <w:vertAlign w:val="superscript"/>
        </w:rPr>
        <w:t>os</w:t>
      </w:r>
      <w:r w:rsidR="0007722F" w:rsidRPr="00605771">
        <w:t> </w:t>
      </w:r>
      <w:r w:rsidR="00414120" w:rsidRPr="00605771">
        <w:t xml:space="preserve">37-46/2005). </w:t>
      </w:r>
      <w:r w:rsidR="006410EA" w:rsidRPr="00605771">
        <w:t>F.P. et N.S. se virent infliger</w:t>
      </w:r>
      <w:r w:rsidR="00414120" w:rsidRPr="00605771">
        <w:t xml:space="preserve"> </w:t>
      </w:r>
      <w:r w:rsidR="008E35E6" w:rsidRPr="00605771">
        <w:t>une</w:t>
      </w:r>
      <w:r w:rsidRPr="00605771">
        <w:t xml:space="preserve"> </w:t>
      </w:r>
      <w:r w:rsidR="008E35E6" w:rsidRPr="00605771">
        <w:t xml:space="preserve">peine </w:t>
      </w:r>
      <w:r w:rsidRPr="00605771">
        <w:t xml:space="preserve">de réclusion de </w:t>
      </w:r>
      <w:r w:rsidR="0028359E" w:rsidRPr="00605771">
        <w:t xml:space="preserve">seize ans et neuf mois et </w:t>
      </w:r>
      <w:r w:rsidR="008E35E6" w:rsidRPr="00605771">
        <w:t>une</w:t>
      </w:r>
      <w:r w:rsidR="0028359E" w:rsidRPr="00605771">
        <w:t xml:space="preserve"> amende de </w:t>
      </w:r>
      <w:r w:rsidRPr="00605771">
        <w:t>90</w:t>
      </w:r>
      <w:r w:rsidR="006410EA" w:rsidRPr="00605771">
        <w:t> </w:t>
      </w:r>
      <w:r w:rsidRPr="00605771">
        <w:t>000</w:t>
      </w:r>
      <w:r w:rsidR="006410EA" w:rsidRPr="00605771">
        <w:t> </w:t>
      </w:r>
      <w:r w:rsidR="000B1B14" w:rsidRPr="00605771">
        <w:t>EUR</w:t>
      </w:r>
      <w:r w:rsidR="00AE06AC" w:rsidRPr="00605771">
        <w:t> ; quant à</w:t>
      </w:r>
      <w:r w:rsidR="006410EA" w:rsidRPr="00605771">
        <w:t xml:space="preserve"> E.M.</w:t>
      </w:r>
      <w:r w:rsidR="00AE06AC" w:rsidRPr="00605771">
        <w:t xml:space="preserve">, il </w:t>
      </w:r>
      <w:r w:rsidR="0067080D" w:rsidRPr="00605771">
        <w:t xml:space="preserve">fut </w:t>
      </w:r>
      <w:r w:rsidR="0067080D" w:rsidRPr="00605771">
        <w:lastRenderedPageBreak/>
        <w:t xml:space="preserve">condamné </w:t>
      </w:r>
      <w:r w:rsidR="00DF69A6" w:rsidRPr="00605771">
        <w:t xml:space="preserve">de traite des êtres humains, de participation au proxénetisme et de sequéstration </w:t>
      </w:r>
      <w:r w:rsidR="0067080D" w:rsidRPr="00605771">
        <w:t xml:space="preserve">et </w:t>
      </w:r>
      <w:r w:rsidR="00AE06AC" w:rsidRPr="00605771">
        <w:t>se vit infliger</w:t>
      </w:r>
      <w:r w:rsidR="006410EA" w:rsidRPr="00605771">
        <w:t xml:space="preserve"> une</w:t>
      </w:r>
      <w:r w:rsidR="0028359E" w:rsidRPr="00605771">
        <w:t xml:space="preserve"> peine de réclusion de quatorze ans et six mois et une amende de 80 000 EUR</w:t>
      </w:r>
      <w:r w:rsidR="00414120" w:rsidRPr="00605771">
        <w:t>.</w:t>
      </w:r>
      <w:r w:rsidRPr="00605771">
        <w:t xml:space="preserve"> </w:t>
      </w:r>
      <w:r w:rsidR="006410EA" w:rsidRPr="00605771">
        <w:t xml:space="preserve">Les accusés se virent </w:t>
      </w:r>
      <w:r w:rsidR="006866BA" w:rsidRPr="00605771">
        <w:t xml:space="preserve">également </w:t>
      </w:r>
      <w:r w:rsidR="006410EA" w:rsidRPr="00605771">
        <w:t>condamnés</w:t>
      </w:r>
      <w:r w:rsidR="006866BA" w:rsidRPr="00605771">
        <w:t xml:space="preserve"> à verser 30 EUR à la troisième requérante. </w:t>
      </w:r>
      <w:r w:rsidR="00DF05A9" w:rsidRPr="00605771">
        <w:t>La cour d</w:t>
      </w:r>
      <w:r w:rsidR="00605771" w:rsidRPr="00605771">
        <w:t>’</w:t>
      </w:r>
      <w:r w:rsidR="00DF05A9" w:rsidRPr="00605771">
        <w:t xml:space="preserve">assises </w:t>
      </w:r>
      <w:r w:rsidR="00106116" w:rsidRPr="00605771">
        <w:t>ordonna</w:t>
      </w:r>
      <w:r w:rsidR="00DF05A9" w:rsidRPr="00605771">
        <w:t xml:space="preserve"> l</w:t>
      </w:r>
      <w:r w:rsidR="00293C3C" w:rsidRPr="00605771">
        <w:t>e sursis à</w:t>
      </w:r>
      <w:r w:rsidR="00DF05A9" w:rsidRPr="00605771">
        <w:t xml:space="preserve"> l</w:t>
      </w:r>
      <w:r w:rsidR="00605771" w:rsidRPr="00605771">
        <w:t>’</w:t>
      </w:r>
      <w:r w:rsidR="007975EE" w:rsidRPr="00605771">
        <w:t>exécution des peines sous réserve du versement de cautions</w:t>
      </w:r>
      <w:r w:rsidRPr="00605771">
        <w:t xml:space="preserve"> par les accusés</w:t>
      </w:r>
      <w:r w:rsidR="007975EE" w:rsidRPr="00605771">
        <w:t>.</w:t>
      </w:r>
    </w:p>
    <w:p w:rsidR="002C7F5B" w:rsidRPr="00605771" w:rsidRDefault="00CD6148"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26</w:t>
      </w:r>
      <w:r w:rsidRPr="00605771">
        <w:fldChar w:fldCharType="end"/>
      </w:r>
      <w:r w:rsidRPr="00605771">
        <w:t xml:space="preserve">.  Le </w:t>
      </w:r>
      <w:r w:rsidR="0007722F" w:rsidRPr="00605771">
        <w:t>même jour</w:t>
      </w:r>
      <w:r w:rsidRPr="00605771">
        <w:t>, l</w:t>
      </w:r>
      <w:r w:rsidR="00E26241" w:rsidRPr="00605771">
        <w:t>es accusés interjetèrent appel.</w:t>
      </w:r>
    </w:p>
    <w:p w:rsidR="002C7F5B" w:rsidRPr="00605771" w:rsidRDefault="006866BA"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27</w:t>
      </w:r>
      <w:r w:rsidRPr="00605771">
        <w:fldChar w:fldCharType="end"/>
      </w:r>
      <w:r w:rsidRPr="00605771">
        <w:t>.  </w:t>
      </w:r>
      <w:r w:rsidR="00E26241" w:rsidRPr="00605771">
        <w:t>L</w:t>
      </w:r>
      <w:r w:rsidR="00605771" w:rsidRPr="00605771">
        <w:t>’</w:t>
      </w:r>
      <w:r w:rsidR="00E26241" w:rsidRPr="00605771">
        <w:t xml:space="preserve">audience devant la </w:t>
      </w:r>
      <w:r w:rsidR="005C7148" w:rsidRPr="00605771">
        <w:t>cour d</w:t>
      </w:r>
      <w:r w:rsidR="00605771" w:rsidRPr="00605771">
        <w:t>’</w:t>
      </w:r>
      <w:r w:rsidR="005C7148" w:rsidRPr="00605771">
        <w:t>appel criminelle de Thessalonique (« la cour d</w:t>
      </w:r>
      <w:r w:rsidR="00605771" w:rsidRPr="00605771">
        <w:t>’</w:t>
      </w:r>
      <w:r w:rsidR="005C7148" w:rsidRPr="00605771">
        <w:t>appel </w:t>
      </w:r>
      <w:r w:rsidR="00AF0504" w:rsidRPr="00605771">
        <w:t>de Thessalonique</w:t>
      </w:r>
      <w:r w:rsidR="005C7148" w:rsidRPr="00605771">
        <w:t xml:space="preserve">») </w:t>
      </w:r>
      <w:r w:rsidR="00E26241" w:rsidRPr="00605771">
        <w:t xml:space="preserve">fut </w:t>
      </w:r>
      <w:r w:rsidR="00AF0504" w:rsidRPr="00605771">
        <w:t>ajournée</w:t>
      </w:r>
      <w:r w:rsidR="00E26241" w:rsidRPr="00605771">
        <w:t xml:space="preserve"> à trois reprises, le 7 avril 2008 (grève des avocats), le 14 mai 2010 (maladie d</w:t>
      </w:r>
      <w:r w:rsidR="00605771" w:rsidRPr="00605771">
        <w:t>’</w:t>
      </w:r>
      <w:r w:rsidR="00E26241" w:rsidRPr="00605771">
        <w:t>un accusé et empêchement d</w:t>
      </w:r>
      <w:r w:rsidR="00605771" w:rsidRPr="00605771">
        <w:t>’</w:t>
      </w:r>
      <w:r w:rsidR="00E26241" w:rsidRPr="00605771">
        <w:t>un avocat de la défense) et le 11 février 2011 (grève des avocats).</w:t>
      </w:r>
    </w:p>
    <w:bookmarkStart w:id="7" w:name="courdappeldeSerres"/>
    <w:p w:rsidR="002C7F5B" w:rsidRPr="00605771" w:rsidRDefault="00E26241"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28</w:t>
      </w:r>
      <w:r w:rsidRPr="00605771">
        <w:fldChar w:fldCharType="end"/>
      </w:r>
      <w:bookmarkEnd w:id="7"/>
      <w:r w:rsidRPr="00605771">
        <w:t>.  Le 6 juin 2011, la cour d</w:t>
      </w:r>
      <w:r w:rsidR="00605771" w:rsidRPr="00605771">
        <w:t>’</w:t>
      </w:r>
      <w:r w:rsidRPr="00605771">
        <w:t xml:space="preserve">appel </w:t>
      </w:r>
      <w:r w:rsidR="009473D6" w:rsidRPr="00605771">
        <w:t xml:space="preserve">de Thessalonique </w:t>
      </w:r>
      <w:r w:rsidR="002C2C88" w:rsidRPr="00605771">
        <w:t>s</w:t>
      </w:r>
      <w:r w:rsidR="00F33B81" w:rsidRPr="00605771">
        <w:t>tatua</w:t>
      </w:r>
      <w:r w:rsidR="002C2C88" w:rsidRPr="00605771">
        <w:t xml:space="preserve"> </w:t>
      </w:r>
      <w:r w:rsidR="00F33B81" w:rsidRPr="00605771">
        <w:t>sur le recours des accusés</w:t>
      </w:r>
      <w:r w:rsidR="00FC54B8" w:rsidRPr="00605771">
        <w:t xml:space="preserve"> (arrêts n</w:t>
      </w:r>
      <w:r w:rsidR="00FC54B8" w:rsidRPr="00605771">
        <w:rPr>
          <w:vertAlign w:val="superscript"/>
        </w:rPr>
        <w:t>os</w:t>
      </w:r>
      <w:r w:rsidR="00FC54B8" w:rsidRPr="00605771">
        <w:t> 209</w:t>
      </w:r>
      <w:r w:rsidR="00FC54B8" w:rsidRPr="00605771">
        <w:noBreakHyphen/>
        <w:t xml:space="preserve">212/2011). Elle </w:t>
      </w:r>
      <w:r w:rsidR="005C7148" w:rsidRPr="00605771">
        <w:t xml:space="preserve">condamna F.P. et N.S. </w:t>
      </w:r>
      <w:r w:rsidR="00DF05A9" w:rsidRPr="00605771">
        <w:t>à une</w:t>
      </w:r>
      <w:r w:rsidR="005C7148" w:rsidRPr="00605771">
        <w:t xml:space="preserve"> peine </w:t>
      </w:r>
      <w:r w:rsidR="000C76E6" w:rsidRPr="00605771">
        <w:t>d</w:t>
      </w:r>
      <w:r w:rsidR="00605771" w:rsidRPr="00605771">
        <w:t>’</w:t>
      </w:r>
      <w:r w:rsidR="000C76E6" w:rsidRPr="00605771">
        <w:t>emprisonnement sans sursis de</w:t>
      </w:r>
      <w:r w:rsidR="005C7148" w:rsidRPr="00605771">
        <w:t xml:space="preserve"> cinq ans et dix mois</w:t>
      </w:r>
      <w:r w:rsidR="00DF05A9" w:rsidRPr="00605771">
        <w:t xml:space="preserve"> chacun,</w:t>
      </w:r>
      <w:r w:rsidR="00C26DA7" w:rsidRPr="00605771">
        <w:t xml:space="preserve"> pour association de malfaiteurs, proxénétisme et traite des êtres humains</w:t>
      </w:r>
      <w:r w:rsidR="00D71D30" w:rsidRPr="00605771">
        <w:t xml:space="preserve"> à l</w:t>
      </w:r>
      <w:r w:rsidR="00605771" w:rsidRPr="00605771">
        <w:t>’</w:t>
      </w:r>
      <w:r w:rsidR="00D71D30" w:rsidRPr="00605771">
        <w:t>encontre de trois victimes</w:t>
      </w:r>
      <w:r w:rsidR="005C7148" w:rsidRPr="00605771">
        <w:t xml:space="preserve">. </w:t>
      </w:r>
      <w:r w:rsidR="003B647A" w:rsidRPr="00605771">
        <w:t>Pour ce faire, elle</w:t>
      </w:r>
      <w:r w:rsidR="00AF0504" w:rsidRPr="00605771">
        <w:t xml:space="preserve"> </w:t>
      </w:r>
      <w:r w:rsidR="005F24AF" w:rsidRPr="00605771">
        <w:t>reconnu</w:t>
      </w:r>
      <w:r w:rsidR="00AF0504" w:rsidRPr="00605771">
        <w:t>t</w:t>
      </w:r>
      <w:r w:rsidR="005F24AF" w:rsidRPr="00605771">
        <w:t xml:space="preserve"> à F.P. et N.S la circonstance atténuante prévue à l</w:t>
      </w:r>
      <w:r w:rsidR="00605771" w:rsidRPr="00605771">
        <w:t>’</w:t>
      </w:r>
      <w:r w:rsidR="005F24AF" w:rsidRPr="00605771">
        <w:t>article 84 § 2 e) du CP</w:t>
      </w:r>
      <w:r w:rsidR="00DF05A9" w:rsidRPr="00605771">
        <w:t xml:space="preserve"> (</w:t>
      </w:r>
      <w:r w:rsidR="005F24AF" w:rsidRPr="00605771">
        <w:t xml:space="preserve">bon comportement </w:t>
      </w:r>
      <w:r w:rsidR="004015C0" w:rsidRPr="00605771">
        <w:t>de l</w:t>
      </w:r>
      <w:r w:rsidR="00605771" w:rsidRPr="00605771">
        <w:t>’</w:t>
      </w:r>
      <w:r w:rsidR="004015C0" w:rsidRPr="00605771">
        <w:t>auteur de l</w:t>
      </w:r>
      <w:r w:rsidR="00605771" w:rsidRPr="00605771">
        <w:t>’</w:t>
      </w:r>
      <w:r w:rsidR="004015C0" w:rsidRPr="00605771">
        <w:t xml:space="preserve">infraction </w:t>
      </w:r>
      <w:r w:rsidR="005F24AF" w:rsidRPr="00605771">
        <w:t xml:space="preserve">pendant une période relativement longue après </w:t>
      </w:r>
      <w:r w:rsidR="00DF05A9" w:rsidRPr="00605771">
        <w:t>la</w:t>
      </w:r>
      <w:r w:rsidR="005F24AF" w:rsidRPr="00605771">
        <w:t xml:space="preserve"> commis</w:t>
      </w:r>
      <w:r w:rsidR="00DF05A9" w:rsidRPr="00605771">
        <w:t>sion d</w:t>
      </w:r>
      <w:r w:rsidR="00C6581F" w:rsidRPr="00605771">
        <w:t>e</w:t>
      </w:r>
      <w:r w:rsidR="004015C0" w:rsidRPr="00605771">
        <w:t xml:space="preserve"> celle-ci</w:t>
      </w:r>
      <w:r w:rsidR="00DF05A9" w:rsidRPr="00605771">
        <w:t>)</w:t>
      </w:r>
      <w:r w:rsidR="003B647A" w:rsidRPr="00605771">
        <w:t>, et elle prit</w:t>
      </w:r>
      <w:r w:rsidR="00DF05A9" w:rsidRPr="00605771">
        <w:t xml:space="preserve"> en</w:t>
      </w:r>
      <w:r w:rsidR="005F24AF" w:rsidRPr="00605771">
        <w:t>suite</w:t>
      </w:r>
      <w:r w:rsidR="005F24AF" w:rsidRPr="00605771">
        <w:rPr>
          <w:rFonts w:ascii="Times New Roman" w:hAnsi="Times New Roman" w:cs="Times New Roman"/>
          <w:szCs w:val="24"/>
        </w:rPr>
        <w:t xml:space="preserve"> en compte la gravité des actes in</w:t>
      </w:r>
      <w:r w:rsidR="00563636" w:rsidRPr="00605771">
        <w:rPr>
          <w:rFonts w:ascii="Times New Roman" w:hAnsi="Times New Roman" w:cs="Times New Roman"/>
          <w:szCs w:val="24"/>
        </w:rPr>
        <w:t xml:space="preserve">criminés et la personnalité des </w:t>
      </w:r>
      <w:r w:rsidR="005F24AF" w:rsidRPr="00605771">
        <w:rPr>
          <w:rFonts w:ascii="Times New Roman" w:hAnsi="Times New Roman" w:cs="Times New Roman"/>
          <w:szCs w:val="24"/>
        </w:rPr>
        <w:t>accusé</w:t>
      </w:r>
      <w:r w:rsidR="00563636" w:rsidRPr="00605771">
        <w:rPr>
          <w:rFonts w:ascii="Times New Roman" w:hAnsi="Times New Roman" w:cs="Times New Roman"/>
          <w:szCs w:val="24"/>
        </w:rPr>
        <w:t>s</w:t>
      </w:r>
      <w:r w:rsidR="005F24AF" w:rsidRPr="00605771">
        <w:rPr>
          <w:rFonts w:ascii="Times New Roman" w:hAnsi="Times New Roman" w:cs="Times New Roman"/>
          <w:szCs w:val="24"/>
        </w:rPr>
        <w:t>, conformément aux critères énoncés à l</w:t>
      </w:r>
      <w:r w:rsidR="00605771" w:rsidRPr="00605771">
        <w:rPr>
          <w:rFonts w:ascii="Times New Roman" w:hAnsi="Times New Roman" w:cs="Times New Roman"/>
          <w:szCs w:val="24"/>
        </w:rPr>
        <w:t>’</w:t>
      </w:r>
      <w:r w:rsidR="005F24AF" w:rsidRPr="00605771">
        <w:rPr>
          <w:rFonts w:ascii="Times New Roman" w:hAnsi="Times New Roman" w:cs="Times New Roman"/>
          <w:szCs w:val="24"/>
        </w:rPr>
        <w:t>article </w:t>
      </w:r>
      <w:r w:rsidR="00563636" w:rsidRPr="00605771">
        <w:rPr>
          <w:rFonts w:ascii="Times New Roman" w:hAnsi="Times New Roman" w:cs="Times New Roman"/>
          <w:szCs w:val="24"/>
        </w:rPr>
        <w:t>79</w:t>
      </w:r>
      <w:r w:rsidR="005F24AF" w:rsidRPr="00605771">
        <w:rPr>
          <w:rFonts w:ascii="Times New Roman" w:hAnsi="Times New Roman" w:cs="Times New Roman"/>
          <w:szCs w:val="24"/>
        </w:rPr>
        <w:t xml:space="preserve"> du CP, </w:t>
      </w:r>
      <w:r w:rsidR="00563636" w:rsidRPr="00605771">
        <w:rPr>
          <w:rFonts w:ascii="Times New Roman" w:hAnsi="Times New Roman" w:cs="Times New Roman"/>
          <w:szCs w:val="24"/>
        </w:rPr>
        <w:t>ainsi que le fait qu</w:t>
      </w:r>
      <w:r w:rsidR="00605771" w:rsidRPr="00605771">
        <w:rPr>
          <w:rFonts w:ascii="Times New Roman" w:hAnsi="Times New Roman" w:cs="Times New Roman"/>
          <w:szCs w:val="24"/>
        </w:rPr>
        <w:t>’</w:t>
      </w:r>
      <w:r w:rsidR="00563636" w:rsidRPr="00605771">
        <w:rPr>
          <w:rFonts w:ascii="Times New Roman" w:hAnsi="Times New Roman" w:cs="Times New Roman"/>
          <w:szCs w:val="24"/>
        </w:rPr>
        <w:t xml:space="preserve">il </w:t>
      </w:r>
      <w:r w:rsidR="0066106C" w:rsidRPr="00605771">
        <w:rPr>
          <w:rFonts w:ascii="Times New Roman" w:hAnsi="Times New Roman" w:cs="Times New Roman"/>
          <w:szCs w:val="24"/>
        </w:rPr>
        <w:t>était</w:t>
      </w:r>
      <w:r w:rsidR="00563636" w:rsidRPr="00605771">
        <w:rPr>
          <w:rFonts w:ascii="Times New Roman" w:hAnsi="Times New Roman" w:cs="Times New Roman"/>
          <w:szCs w:val="24"/>
        </w:rPr>
        <w:t xml:space="preserve"> </w:t>
      </w:r>
      <w:r w:rsidR="0066106C" w:rsidRPr="00605771">
        <w:rPr>
          <w:rFonts w:ascii="Times New Roman" w:hAnsi="Times New Roman" w:cs="Times New Roman"/>
          <w:szCs w:val="24"/>
        </w:rPr>
        <w:t>question en l</w:t>
      </w:r>
      <w:r w:rsidR="00605771" w:rsidRPr="00605771">
        <w:rPr>
          <w:rFonts w:ascii="Times New Roman" w:hAnsi="Times New Roman" w:cs="Times New Roman"/>
          <w:szCs w:val="24"/>
        </w:rPr>
        <w:t>’</w:t>
      </w:r>
      <w:r w:rsidR="0066106C" w:rsidRPr="00605771">
        <w:rPr>
          <w:rFonts w:ascii="Times New Roman" w:hAnsi="Times New Roman" w:cs="Times New Roman"/>
          <w:szCs w:val="24"/>
        </w:rPr>
        <w:t xml:space="preserve">espèce </w:t>
      </w:r>
      <w:r w:rsidR="00563636" w:rsidRPr="00605771">
        <w:rPr>
          <w:rFonts w:ascii="Times New Roman" w:hAnsi="Times New Roman" w:cs="Times New Roman"/>
          <w:szCs w:val="24"/>
        </w:rPr>
        <w:t>de peines con</w:t>
      </w:r>
      <w:r w:rsidR="0071510A" w:rsidRPr="00605771">
        <w:rPr>
          <w:rFonts w:ascii="Times New Roman" w:hAnsi="Times New Roman" w:cs="Times New Roman"/>
          <w:szCs w:val="24"/>
        </w:rPr>
        <w:t>fondues</w:t>
      </w:r>
      <w:r w:rsidR="00563636" w:rsidRPr="00605771">
        <w:rPr>
          <w:rFonts w:ascii="Times New Roman" w:hAnsi="Times New Roman" w:cs="Times New Roman"/>
          <w:szCs w:val="24"/>
        </w:rPr>
        <w:t xml:space="preserve"> (article 94 du CP)</w:t>
      </w:r>
      <w:r w:rsidR="00563636" w:rsidRPr="00605771">
        <w:t xml:space="preserve">. La demande </w:t>
      </w:r>
      <w:r w:rsidR="00B33707" w:rsidRPr="00605771">
        <w:t>de</w:t>
      </w:r>
      <w:r w:rsidR="00563636" w:rsidRPr="00605771">
        <w:t xml:space="preserve"> </w:t>
      </w:r>
      <w:r w:rsidR="00234189" w:rsidRPr="00605771">
        <w:t>commutation</w:t>
      </w:r>
      <w:r w:rsidR="00563636" w:rsidRPr="00605771">
        <w:t xml:space="preserve"> de leurs peines en sanctions pécuniaires </w:t>
      </w:r>
      <w:r w:rsidR="00234189" w:rsidRPr="00605771">
        <w:t xml:space="preserve">formulée par les accusés </w:t>
      </w:r>
      <w:r w:rsidR="00563636" w:rsidRPr="00605771">
        <w:t xml:space="preserve">fut rejetée. </w:t>
      </w:r>
      <w:r w:rsidR="00FC54B8" w:rsidRPr="00605771">
        <w:t>Par ailleurs, l</w:t>
      </w:r>
      <w:r w:rsidR="00563636" w:rsidRPr="00605771">
        <w:t>a cour d</w:t>
      </w:r>
      <w:r w:rsidR="00605771" w:rsidRPr="00605771">
        <w:t>’</w:t>
      </w:r>
      <w:r w:rsidR="00563636" w:rsidRPr="00605771">
        <w:t>appel</w:t>
      </w:r>
      <w:r w:rsidR="00C26DA7" w:rsidRPr="00605771">
        <w:t xml:space="preserve"> acquitta</w:t>
      </w:r>
      <w:r w:rsidR="006961AB" w:rsidRPr="00605771">
        <w:t xml:space="preserve"> </w:t>
      </w:r>
      <w:r w:rsidR="00C26DA7" w:rsidRPr="00605771">
        <w:t>tous les accusés d</w:t>
      </w:r>
      <w:r w:rsidR="00FC54B8" w:rsidRPr="00605771">
        <w:t xml:space="preserve">u chef de </w:t>
      </w:r>
      <w:r w:rsidR="00C26DA7" w:rsidRPr="00605771">
        <w:t>séquestration</w:t>
      </w:r>
      <w:r w:rsidR="00B212C5" w:rsidRPr="00605771">
        <w:t>. Elle acquitta également</w:t>
      </w:r>
      <w:r w:rsidR="009A796F" w:rsidRPr="00605771">
        <w:t xml:space="preserve"> </w:t>
      </w:r>
      <w:r w:rsidR="00C26DA7" w:rsidRPr="00605771">
        <w:t xml:space="preserve">E.M. </w:t>
      </w:r>
      <w:r w:rsidR="00FC54B8" w:rsidRPr="00605771">
        <w:t>du chef</w:t>
      </w:r>
      <w:r w:rsidR="00C26DA7" w:rsidRPr="00605771">
        <w:t xml:space="preserve"> de traite des êtres humains</w:t>
      </w:r>
      <w:r w:rsidR="00B212C5" w:rsidRPr="00605771">
        <w:t>, et elle</w:t>
      </w:r>
      <w:r w:rsidR="00C80A5C" w:rsidRPr="00605771">
        <w:t xml:space="preserve"> mit fin aux poursuites </w:t>
      </w:r>
      <w:r w:rsidR="0075518E" w:rsidRPr="00605771">
        <w:t xml:space="preserve">dirigées </w:t>
      </w:r>
      <w:r w:rsidR="00C80A5C" w:rsidRPr="00605771">
        <w:t xml:space="preserve">contre </w:t>
      </w:r>
      <w:r w:rsidR="00B212C5" w:rsidRPr="00605771">
        <w:t>celui-ci</w:t>
      </w:r>
      <w:r w:rsidR="00C80A5C" w:rsidRPr="00605771">
        <w:t xml:space="preserve"> en ce qui concernait le délit de </w:t>
      </w:r>
      <w:r w:rsidR="007C460F" w:rsidRPr="00605771">
        <w:t>facilitation de la débauche d</w:t>
      </w:r>
      <w:r w:rsidR="00605771" w:rsidRPr="00605771">
        <w:t>’</w:t>
      </w:r>
      <w:r w:rsidR="007C460F" w:rsidRPr="00605771">
        <w:t xml:space="preserve">autrui </w:t>
      </w:r>
      <w:r w:rsidR="00E51BB2" w:rsidRPr="00605771">
        <w:t>(</w:t>
      </w:r>
      <w:r w:rsidR="00E51BB2" w:rsidRPr="00605771">
        <w:rPr>
          <w:i/>
          <w:lang w:val="el-GR"/>
        </w:rPr>
        <w:t>διευκόλυνση</w:t>
      </w:r>
      <w:r w:rsidR="00E51BB2" w:rsidRPr="00605771">
        <w:rPr>
          <w:i/>
        </w:rPr>
        <w:t xml:space="preserve"> </w:t>
      </w:r>
      <w:r w:rsidR="007C460F" w:rsidRPr="00605771">
        <w:rPr>
          <w:i/>
          <w:lang w:val="el-GR"/>
        </w:rPr>
        <w:t>αλλότριας</w:t>
      </w:r>
      <w:r w:rsidR="007C460F" w:rsidRPr="00605771">
        <w:rPr>
          <w:i/>
        </w:rPr>
        <w:t xml:space="preserve"> </w:t>
      </w:r>
      <w:r w:rsidR="007C460F" w:rsidRPr="00605771">
        <w:rPr>
          <w:i/>
          <w:lang w:val="el-GR"/>
        </w:rPr>
        <w:t>ακολασίας</w:t>
      </w:r>
      <w:r w:rsidR="00E51BB2" w:rsidRPr="00605771">
        <w:t>)</w:t>
      </w:r>
      <w:r w:rsidR="00C26DA7" w:rsidRPr="00605771">
        <w:t>.</w:t>
      </w:r>
      <w:r w:rsidR="005C7148" w:rsidRPr="00605771">
        <w:t xml:space="preserve"> La troisième requéran</w:t>
      </w:r>
      <w:r w:rsidR="00C26DA7" w:rsidRPr="00605771">
        <w:t>te ne comparut pas à l</w:t>
      </w:r>
      <w:r w:rsidR="00605771" w:rsidRPr="00605771">
        <w:t>’</w:t>
      </w:r>
      <w:r w:rsidR="00C26DA7" w:rsidRPr="00605771">
        <w:t>audience.</w:t>
      </w:r>
      <w:r w:rsidR="00C90E79" w:rsidRPr="00605771">
        <w:t xml:space="preserve"> La cour d</w:t>
      </w:r>
      <w:r w:rsidR="00605771" w:rsidRPr="00605771">
        <w:t>’</w:t>
      </w:r>
      <w:r w:rsidR="00C90E79" w:rsidRPr="00605771">
        <w:t xml:space="preserve">appel, après avoir constaté </w:t>
      </w:r>
      <w:r w:rsidR="00EC5D40" w:rsidRPr="00605771">
        <w:t xml:space="preserve">que </w:t>
      </w:r>
      <w:r w:rsidR="00C90E79" w:rsidRPr="00605771">
        <w:t>la question de la co</w:t>
      </w:r>
      <w:r w:rsidR="001C348A" w:rsidRPr="00605771">
        <w:t>nstitution de partie civile dev</w:t>
      </w:r>
      <w:r w:rsidR="00C90E79" w:rsidRPr="00605771">
        <w:t>ait être examinée d</w:t>
      </w:r>
      <w:r w:rsidR="00605771" w:rsidRPr="00605771">
        <w:t>’</w:t>
      </w:r>
      <w:r w:rsidR="00C90E79" w:rsidRPr="00605771">
        <w:t xml:space="preserve">office, condamna également les accusés à </w:t>
      </w:r>
      <w:r w:rsidR="001C348A" w:rsidRPr="00605771">
        <w:t>verser 30 EUR</w:t>
      </w:r>
      <w:r w:rsidR="00EC5D40" w:rsidRPr="00605771">
        <w:t xml:space="preserve"> à l</w:t>
      </w:r>
      <w:r w:rsidR="00605771" w:rsidRPr="00605771">
        <w:t>’</w:t>
      </w:r>
      <w:r w:rsidR="00EC5D40" w:rsidRPr="00605771">
        <w:t>intéressée</w:t>
      </w:r>
      <w:r w:rsidR="00C90E79" w:rsidRPr="00605771">
        <w:t>.</w:t>
      </w:r>
    </w:p>
    <w:p w:rsidR="002C7F5B" w:rsidRPr="00605771" w:rsidRDefault="00B858B4"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29</w:t>
      </w:r>
      <w:r w:rsidRPr="00605771">
        <w:fldChar w:fldCharType="end"/>
      </w:r>
      <w:r w:rsidRPr="00605771">
        <w:t>.</w:t>
      </w:r>
      <w:r w:rsidR="00D563EA" w:rsidRPr="00605771">
        <w:t>  </w:t>
      </w:r>
      <w:r w:rsidRPr="00605771">
        <w:t>La troisième requérante affirme que, convoquée devant la cour d</w:t>
      </w:r>
      <w:r w:rsidR="00605771" w:rsidRPr="00605771">
        <w:t>’</w:t>
      </w:r>
      <w:r w:rsidRPr="00605771">
        <w:t>appel, elle a décidé de n</w:t>
      </w:r>
      <w:r w:rsidR="004D5795" w:rsidRPr="00605771">
        <w:t>e</w:t>
      </w:r>
      <w:r w:rsidRPr="00605771">
        <w:t xml:space="preserve"> pas compara</w:t>
      </w:r>
      <w:r w:rsidR="004D5795" w:rsidRPr="00605771">
        <w:t>î</w:t>
      </w:r>
      <w:r w:rsidRPr="00605771">
        <w:t xml:space="preserve">tre </w:t>
      </w:r>
      <w:r w:rsidR="004D5795" w:rsidRPr="00605771">
        <w:t>en raison de</w:t>
      </w:r>
      <w:r w:rsidR="00520964" w:rsidRPr="00605771">
        <w:t xml:space="preserve"> la</w:t>
      </w:r>
      <w:r w:rsidR="004D5795" w:rsidRPr="00605771">
        <w:t xml:space="preserve"> souffrance qu</w:t>
      </w:r>
      <w:r w:rsidR="00605771" w:rsidRPr="00605771">
        <w:t>’</w:t>
      </w:r>
      <w:r w:rsidR="004D5795" w:rsidRPr="00605771">
        <w:t xml:space="preserve">elle aurait </w:t>
      </w:r>
      <w:r w:rsidR="00520964" w:rsidRPr="00605771">
        <w:t>éprouvée</w:t>
      </w:r>
      <w:r w:rsidR="004D5795" w:rsidRPr="00605771">
        <w:t xml:space="preserve"> </w:t>
      </w:r>
      <w:r w:rsidRPr="00605771">
        <w:t>lors des audiences devant la cour d</w:t>
      </w:r>
      <w:r w:rsidR="00605771" w:rsidRPr="00605771">
        <w:t>’</w:t>
      </w:r>
      <w:r w:rsidRPr="00605771">
        <w:t xml:space="preserve">assises, </w:t>
      </w:r>
      <w:r w:rsidR="004D5795" w:rsidRPr="00605771">
        <w:t>d</w:t>
      </w:r>
      <w:r w:rsidR="00CA1A59" w:rsidRPr="00605771">
        <w:t>e la circonstance</w:t>
      </w:r>
      <w:r w:rsidR="00BB4273" w:rsidRPr="00605771">
        <w:t xml:space="preserve"> que les accusés bénéficiaient d</w:t>
      </w:r>
      <w:r w:rsidR="00605771" w:rsidRPr="00605771">
        <w:t>’</w:t>
      </w:r>
      <w:r w:rsidR="00B931CE" w:rsidRPr="00605771">
        <w:t>un</w:t>
      </w:r>
      <w:r w:rsidR="00BB4273" w:rsidRPr="00605771">
        <w:t xml:space="preserve"> s</w:t>
      </w:r>
      <w:r w:rsidR="00293C3C" w:rsidRPr="00605771">
        <w:t>ursis à</w:t>
      </w:r>
      <w:r w:rsidR="00A053B3" w:rsidRPr="00605771">
        <w:t xml:space="preserve"> l</w:t>
      </w:r>
      <w:r w:rsidR="00605771" w:rsidRPr="00605771">
        <w:t>’</w:t>
      </w:r>
      <w:r w:rsidR="00A053B3" w:rsidRPr="00605771">
        <w:t>exécution de</w:t>
      </w:r>
      <w:r w:rsidR="004D5795" w:rsidRPr="00605771">
        <w:t>s</w:t>
      </w:r>
      <w:r w:rsidRPr="00605771">
        <w:t xml:space="preserve"> peines </w:t>
      </w:r>
      <w:r w:rsidR="004D5795" w:rsidRPr="00605771">
        <w:t xml:space="preserve">et du caractère excessif que le retard </w:t>
      </w:r>
      <w:r w:rsidRPr="00605771">
        <w:t>avant l</w:t>
      </w:r>
      <w:r w:rsidR="00605771" w:rsidRPr="00605771">
        <w:t>’</w:t>
      </w:r>
      <w:r w:rsidRPr="00605771">
        <w:t xml:space="preserve">audience en deuxième instance </w:t>
      </w:r>
      <w:r w:rsidR="004D5795" w:rsidRPr="00605771">
        <w:t>aurait revêtu</w:t>
      </w:r>
      <w:r w:rsidRPr="00605771">
        <w:t>.</w:t>
      </w:r>
    </w:p>
    <w:p w:rsidR="00E018A4" w:rsidRPr="00605771" w:rsidRDefault="00E018A4"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30</w:t>
      </w:r>
      <w:r w:rsidRPr="00605771">
        <w:fldChar w:fldCharType="end"/>
      </w:r>
      <w:r w:rsidRPr="00605771">
        <w:t>.  Il ressort du dossier que la</w:t>
      </w:r>
      <w:r w:rsidR="005063A0" w:rsidRPr="00605771">
        <w:t xml:space="preserve">dite </w:t>
      </w:r>
      <w:r w:rsidRPr="00605771">
        <w:t>requérante bénéficiait d</w:t>
      </w:r>
      <w:r w:rsidR="00605771" w:rsidRPr="00605771">
        <w:t>’</w:t>
      </w:r>
      <w:r w:rsidRPr="00605771">
        <w:t>un permis de séjour au moins jusqu</w:t>
      </w:r>
      <w:r w:rsidR="00605771" w:rsidRPr="00605771">
        <w:t>’</w:t>
      </w:r>
      <w:r w:rsidRPr="00605771">
        <w:t>au 12 mai 2017.</w:t>
      </w:r>
    </w:p>
    <w:p w:rsidR="00DB1446" w:rsidRPr="00605771" w:rsidRDefault="00DB1446" w:rsidP="00605771">
      <w:pPr>
        <w:pStyle w:val="JuHA"/>
      </w:pPr>
      <w:r w:rsidRPr="00605771">
        <w:lastRenderedPageBreak/>
        <w:t xml:space="preserve">Les procédures pénales </w:t>
      </w:r>
      <w:r w:rsidR="003A71AA" w:rsidRPr="00605771">
        <w:t>relatives aux faits d</w:t>
      </w:r>
      <w:r w:rsidR="00605771" w:rsidRPr="00605771">
        <w:t>’</w:t>
      </w:r>
      <w:r w:rsidR="003A71AA" w:rsidRPr="00605771">
        <w:t>exploitation concernant l</w:t>
      </w:r>
      <w:r w:rsidRPr="00605771">
        <w:t>es deux premières requérantes</w:t>
      </w:r>
    </w:p>
    <w:bookmarkStart w:id="8" w:name="premdeuxreqmesures1"/>
    <w:p w:rsidR="001C556C" w:rsidRPr="00605771" w:rsidRDefault="00AE3234"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31</w:t>
      </w:r>
      <w:r w:rsidRPr="00605771">
        <w:fldChar w:fldCharType="end"/>
      </w:r>
      <w:bookmarkEnd w:id="8"/>
      <w:r w:rsidRPr="00605771">
        <w:t>.  </w:t>
      </w:r>
      <w:r w:rsidR="001C556C" w:rsidRPr="00605771">
        <w:t xml:space="preserve">Le 12 décembre 2003, les deux premières requérantes se présentèrent </w:t>
      </w:r>
      <w:r w:rsidR="004403CB" w:rsidRPr="00605771">
        <w:t xml:space="preserve">à la direction de </w:t>
      </w:r>
      <w:r w:rsidR="005731CC" w:rsidRPr="00605771">
        <w:t xml:space="preserve">la </w:t>
      </w:r>
      <w:r w:rsidR="004403CB" w:rsidRPr="00605771">
        <w:t xml:space="preserve">sécurité de la police </w:t>
      </w:r>
      <w:r w:rsidR="001C556C" w:rsidRPr="00605771">
        <w:t>d</w:t>
      </w:r>
      <w:r w:rsidR="00605771" w:rsidRPr="00605771">
        <w:t>’</w:t>
      </w:r>
      <w:r w:rsidR="00C71EFA" w:rsidRPr="00605771">
        <w:t>Ermoúpolis</w:t>
      </w:r>
      <w:r w:rsidR="001C556C" w:rsidRPr="00605771">
        <w:t xml:space="preserve"> (Syros). Elles </w:t>
      </w:r>
      <w:r w:rsidR="00684F4C" w:rsidRPr="00605771">
        <w:t>s</w:t>
      </w:r>
      <w:r w:rsidR="00605771" w:rsidRPr="00605771">
        <w:t>’</w:t>
      </w:r>
      <w:r w:rsidR="00684F4C" w:rsidRPr="00605771">
        <w:t>y plaignirent d</w:t>
      </w:r>
      <w:r w:rsidR="00605771" w:rsidRPr="00605771">
        <w:t>’</w:t>
      </w:r>
      <w:r w:rsidR="00684F4C" w:rsidRPr="00605771">
        <w:t>être</w:t>
      </w:r>
      <w:r w:rsidR="001C556C" w:rsidRPr="00605771">
        <w:t xml:space="preserve"> victimes de </w:t>
      </w:r>
      <w:r w:rsidR="00B0167F" w:rsidRPr="00605771">
        <w:t xml:space="preserve">la </w:t>
      </w:r>
      <w:r w:rsidR="001C556C" w:rsidRPr="00605771">
        <w:t>traite des êtres humains</w:t>
      </w:r>
      <w:r w:rsidR="00CB467C" w:rsidRPr="00605771">
        <w:t xml:space="preserve"> </w:t>
      </w:r>
      <w:r w:rsidR="00684F4C" w:rsidRPr="00605771">
        <w:t>de la part d</w:t>
      </w:r>
      <w:r w:rsidR="00605771" w:rsidRPr="00605771">
        <w:t>’</w:t>
      </w:r>
      <w:r w:rsidR="00CB467C" w:rsidRPr="00605771">
        <w:t xml:space="preserve">une certaine N.M. et </w:t>
      </w:r>
      <w:r w:rsidR="0006305C" w:rsidRPr="00605771">
        <w:t>de ses</w:t>
      </w:r>
      <w:r w:rsidR="00CB467C" w:rsidRPr="00605771">
        <w:t xml:space="preserve"> </w:t>
      </w:r>
      <w:r w:rsidR="00FF07E8" w:rsidRPr="00605771">
        <w:t>associés</w:t>
      </w:r>
      <w:r w:rsidR="0006305C" w:rsidRPr="00605771">
        <w:t xml:space="preserve">, </w:t>
      </w:r>
      <w:r w:rsidR="00520964" w:rsidRPr="00605771">
        <w:t xml:space="preserve">qui, selon elles, </w:t>
      </w:r>
      <w:r w:rsidR="00CB467C" w:rsidRPr="00605771">
        <w:t>les forçaient à travailler</w:t>
      </w:r>
      <w:r w:rsidR="00141875" w:rsidRPr="00605771">
        <w:t xml:space="preserve"> sans être payées</w:t>
      </w:r>
      <w:r w:rsidR="00EA2267" w:rsidRPr="00605771">
        <w:t xml:space="preserve">, et notamment </w:t>
      </w:r>
      <w:r w:rsidR="00520964" w:rsidRPr="00605771">
        <w:t xml:space="preserve">à </w:t>
      </w:r>
      <w:r w:rsidR="00477C64" w:rsidRPr="00605771">
        <w:t>se livrer à</w:t>
      </w:r>
      <w:r w:rsidR="00EA2267" w:rsidRPr="00605771">
        <w:t xml:space="preserve"> des « danses privé</w:t>
      </w:r>
      <w:r w:rsidR="00520964" w:rsidRPr="00605771">
        <w:t>e</w:t>
      </w:r>
      <w:r w:rsidR="00EA2267" w:rsidRPr="00605771">
        <w:t>s</w:t>
      </w:r>
      <w:r w:rsidR="00477C64" w:rsidRPr="00605771">
        <w:t> »</w:t>
      </w:r>
      <w:r w:rsidR="00EA2267" w:rsidRPr="00605771">
        <w:t>,</w:t>
      </w:r>
      <w:r w:rsidR="00195210" w:rsidRPr="00605771">
        <w:t xml:space="preserve"> à </w:t>
      </w:r>
      <w:r w:rsidR="00EA2267" w:rsidRPr="00605771">
        <w:t xml:space="preserve">du strip-tease et </w:t>
      </w:r>
      <w:r w:rsidR="00195210" w:rsidRPr="00605771">
        <w:t xml:space="preserve">à </w:t>
      </w:r>
      <w:r w:rsidR="00EA2267" w:rsidRPr="00605771">
        <w:t xml:space="preserve">de </w:t>
      </w:r>
      <w:r w:rsidR="00D8174F" w:rsidRPr="00605771">
        <w:t>l</w:t>
      </w:r>
      <w:r w:rsidR="00605771" w:rsidRPr="00605771">
        <w:t>’</w:t>
      </w:r>
      <w:r w:rsidR="00D8174F" w:rsidRPr="00605771">
        <w:t xml:space="preserve">incitation à </w:t>
      </w:r>
      <w:r w:rsidR="00EA2267" w:rsidRPr="00605771">
        <w:t>la consommation</w:t>
      </w:r>
      <w:r w:rsidR="00CB467C" w:rsidRPr="00605771">
        <w:t xml:space="preserve"> dans </w:t>
      </w:r>
      <w:r w:rsidR="00EA2267" w:rsidRPr="00605771">
        <w:t xml:space="preserve">différents </w:t>
      </w:r>
      <w:r w:rsidR="001B6B57" w:rsidRPr="00605771">
        <w:t>bars</w:t>
      </w:r>
      <w:r w:rsidR="00EA2267" w:rsidRPr="00605771">
        <w:t xml:space="preserve"> </w:t>
      </w:r>
      <w:r w:rsidR="00592087" w:rsidRPr="00605771">
        <w:t>d</w:t>
      </w:r>
      <w:r w:rsidR="00605771" w:rsidRPr="00605771">
        <w:t>’</w:t>
      </w:r>
      <w:r w:rsidR="00EA2267" w:rsidRPr="00605771">
        <w:t xml:space="preserve">Athènes et </w:t>
      </w:r>
      <w:r w:rsidR="00592087" w:rsidRPr="00605771">
        <w:t>de</w:t>
      </w:r>
      <w:r w:rsidR="00EA2267" w:rsidRPr="00605771">
        <w:t xml:space="preserve"> Syros. </w:t>
      </w:r>
      <w:r w:rsidR="004E5B26" w:rsidRPr="00605771">
        <w:t xml:space="preserve">La direction de </w:t>
      </w:r>
      <w:r w:rsidR="005731CC" w:rsidRPr="00605771">
        <w:t xml:space="preserve">la </w:t>
      </w:r>
      <w:r w:rsidR="004E5B26" w:rsidRPr="00605771">
        <w:t>sécurité de la police d</w:t>
      </w:r>
      <w:r w:rsidR="00605771" w:rsidRPr="00605771">
        <w:t>’</w:t>
      </w:r>
      <w:r w:rsidR="004E5B26" w:rsidRPr="00605771">
        <w:t xml:space="preserve">Ermoúpolis informa le procureur </w:t>
      </w:r>
      <w:r w:rsidR="006C5865" w:rsidRPr="00605771">
        <w:t xml:space="preserve">près le tribunal </w:t>
      </w:r>
      <w:r w:rsidR="004E5B26" w:rsidRPr="00605771">
        <w:t>de première instance de Syros, qui ordonna une enquête</w:t>
      </w:r>
      <w:r w:rsidR="0033117E" w:rsidRPr="00605771">
        <w:t xml:space="preserve"> (</w:t>
      </w:r>
      <w:r w:rsidR="0033117E" w:rsidRPr="00605771">
        <w:rPr>
          <w:i/>
          <w:lang w:val="el-GR"/>
        </w:rPr>
        <w:t>προκαταρκτική</w:t>
      </w:r>
      <w:r w:rsidR="0033117E" w:rsidRPr="00605771">
        <w:rPr>
          <w:i/>
        </w:rPr>
        <w:t xml:space="preserve"> </w:t>
      </w:r>
      <w:r w:rsidR="0033117E" w:rsidRPr="00605771">
        <w:rPr>
          <w:i/>
          <w:lang w:val="el-GR"/>
        </w:rPr>
        <w:t>εξέταση</w:t>
      </w:r>
      <w:r w:rsidR="0033117E" w:rsidRPr="00605771">
        <w:t>) le 16 décembre 2003</w:t>
      </w:r>
      <w:r w:rsidR="004E5B26" w:rsidRPr="00605771">
        <w:t>.</w:t>
      </w:r>
    </w:p>
    <w:bookmarkStart w:id="9" w:name="premdeuxreqmesures2"/>
    <w:p w:rsidR="002C7F5B" w:rsidRPr="00605771" w:rsidRDefault="004403CB"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32</w:t>
      </w:r>
      <w:r w:rsidRPr="00605771">
        <w:fldChar w:fldCharType="end"/>
      </w:r>
      <w:bookmarkEnd w:id="9"/>
      <w:r w:rsidRPr="00605771">
        <w:t>.  </w:t>
      </w:r>
      <w:r w:rsidR="004E5B26" w:rsidRPr="00605771">
        <w:t xml:space="preserve">Le 22 décembre 2003, les deux premières requérantes furent reconnues comme « victimes de </w:t>
      </w:r>
      <w:r w:rsidR="00B0167F" w:rsidRPr="00605771">
        <w:t xml:space="preserve">la </w:t>
      </w:r>
      <w:r w:rsidR="004E5B26" w:rsidRPr="00605771">
        <w:t xml:space="preserve">traite des êtres humains », selon les dispositions de la législation </w:t>
      </w:r>
      <w:r w:rsidR="00E3752C" w:rsidRPr="00605771">
        <w:t xml:space="preserve">interne </w:t>
      </w:r>
      <w:r w:rsidR="004E5B26" w:rsidRPr="00605771">
        <w:t xml:space="preserve">pertinente. </w:t>
      </w:r>
      <w:r w:rsidR="000A5D51" w:rsidRPr="00605771">
        <w:t>L</w:t>
      </w:r>
      <w:r w:rsidR="00605771" w:rsidRPr="00605771">
        <w:t>’</w:t>
      </w:r>
      <w:r w:rsidR="000A5D51" w:rsidRPr="00605771">
        <w:t>exécution des</w:t>
      </w:r>
      <w:r w:rsidR="004E5B26" w:rsidRPr="00605771">
        <w:t xml:space="preserve"> décisions ordonnant l</w:t>
      </w:r>
      <w:r w:rsidR="00FF07E8" w:rsidRPr="00605771">
        <w:t xml:space="preserve">eur </w:t>
      </w:r>
      <w:r w:rsidR="004E5B26" w:rsidRPr="00605771">
        <w:t xml:space="preserve">expulsion </w:t>
      </w:r>
      <w:r w:rsidR="000A5D51" w:rsidRPr="00605771">
        <w:t>f</w:t>
      </w:r>
      <w:r w:rsidR="00C96D54" w:rsidRPr="00605771">
        <w:t>u</w:t>
      </w:r>
      <w:r w:rsidR="000A5D51" w:rsidRPr="00605771">
        <w:t xml:space="preserve">t suspendue </w:t>
      </w:r>
      <w:r w:rsidR="004E5B26" w:rsidRPr="00605771">
        <w:t>jusqu</w:t>
      </w:r>
      <w:r w:rsidR="00605771" w:rsidRPr="00605771">
        <w:t>’</w:t>
      </w:r>
      <w:r w:rsidR="004E5B26" w:rsidRPr="00605771">
        <w:t>à ce qu</w:t>
      </w:r>
      <w:r w:rsidR="00605771" w:rsidRPr="00605771">
        <w:t>’</w:t>
      </w:r>
      <w:r w:rsidR="004E5B26" w:rsidRPr="00605771">
        <w:t xml:space="preserve">un arrêt définitif contre les </w:t>
      </w:r>
      <w:r w:rsidR="004B634E" w:rsidRPr="00605771">
        <w:t>auteurs présumés de</w:t>
      </w:r>
      <w:r w:rsidR="0039339B" w:rsidRPr="00605771">
        <w:t>s faits</w:t>
      </w:r>
      <w:r w:rsidR="004B634E" w:rsidRPr="00605771">
        <w:t xml:space="preserve"> </w:t>
      </w:r>
      <w:r w:rsidR="0039339B" w:rsidRPr="00605771">
        <w:t xml:space="preserve">de traite des êtres humains </w:t>
      </w:r>
      <w:r w:rsidR="00FF07E8" w:rsidRPr="00605771">
        <w:t>fût rendu</w:t>
      </w:r>
      <w:r w:rsidR="004E5B26" w:rsidRPr="00605771">
        <w:t xml:space="preserve">. </w:t>
      </w:r>
      <w:r w:rsidR="006D14D1" w:rsidRPr="00605771">
        <w:t>Selon le Gouvernement, l</w:t>
      </w:r>
      <w:r w:rsidR="000067B5" w:rsidRPr="00605771">
        <w:t>es requérantes</w:t>
      </w:r>
      <w:r w:rsidR="00FF07E8" w:rsidRPr="00605771">
        <w:t xml:space="preserve"> susmentionnées ont été</w:t>
      </w:r>
      <w:r w:rsidR="000067B5" w:rsidRPr="00605771">
        <w:t xml:space="preserve"> transférées à la direction de </w:t>
      </w:r>
      <w:r w:rsidR="005731CC" w:rsidRPr="00605771">
        <w:t xml:space="preserve">la </w:t>
      </w:r>
      <w:r w:rsidR="000067B5" w:rsidRPr="00605771">
        <w:t>sécurité de la po</w:t>
      </w:r>
      <w:r w:rsidR="004B634E" w:rsidRPr="00605771">
        <w:t>lice d</w:t>
      </w:r>
      <w:r w:rsidR="00605771" w:rsidRPr="00605771">
        <w:t>’</w:t>
      </w:r>
      <w:r w:rsidR="004B634E" w:rsidRPr="00605771">
        <w:t xml:space="preserve">Athènes </w:t>
      </w:r>
      <w:r w:rsidR="00FF07E8" w:rsidRPr="00605771">
        <w:t>puis dans</w:t>
      </w:r>
      <w:r w:rsidR="000067B5" w:rsidRPr="00605771">
        <w:t xml:space="preserve"> un foyer. </w:t>
      </w:r>
      <w:r w:rsidR="006D14D1" w:rsidRPr="00605771">
        <w:t>Les</w:t>
      </w:r>
      <w:r w:rsidR="00FF07E8" w:rsidRPr="00605771">
        <w:t>dites</w:t>
      </w:r>
      <w:r w:rsidR="006D14D1" w:rsidRPr="00605771">
        <w:t xml:space="preserve"> requérantes contestent </w:t>
      </w:r>
      <w:r w:rsidR="00FF07E8" w:rsidRPr="00605771">
        <w:t>avoir</w:t>
      </w:r>
      <w:r w:rsidR="006D14D1" w:rsidRPr="00605771">
        <w:t xml:space="preserve"> </w:t>
      </w:r>
      <w:r w:rsidR="00FF07E8" w:rsidRPr="00605771">
        <w:t xml:space="preserve">reçu une </w:t>
      </w:r>
      <w:r w:rsidR="006D14D1" w:rsidRPr="00605771">
        <w:t xml:space="preserve">assistance légale et psychologique, </w:t>
      </w:r>
      <w:r w:rsidR="00FF07E8" w:rsidRPr="00605771">
        <w:t>et avoir été</w:t>
      </w:r>
      <w:r w:rsidR="006D14D1" w:rsidRPr="00605771">
        <w:t xml:space="preserve"> transférées dans un foyer. </w:t>
      </w:r>
      <w:r w:rsidR="00216D67" w:rsidRPr="00605771">
        <w:t>E</w:t>
      </w:r>
      <w:r w:rsidR="005C2E92" w:rsidRPr="00605771">
        <w:t>n outre, elles disent ne pas avoir bénéficié d</w:t>
      </w:r>
      <w:r w:rsidR="00605771" w:rsidRPr="00605771">
        <w:t>’</w:t>
      </w:r>
      <w:r w:rsidR="005C2E92" w:rsidRPr="00605771">
        <w:t>une interprétation appropriée au cours de</w:t>
      </w:r>
      <w:r w:rsidR="00216D67" w:rsidRPr="00605771">
        <w:t xml:space="preserve"> la procédure en cause</w:t>
      </w:r>
      <w:r w:rsidR="004B634E" w:rsidRPr="00605771">
        <w:t>.</w:t>
      </w:r>
    </w:p>
    <w:p w:rsidR="002C7F5B" w:rsidRPr="00605771" w:rsidRDefault="00DE73C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33</w:t>
      </w:r>
      <w:r w:rsidRPr="00605771">
        <w:fldChar w:fldCharType="end"/>
      </w:r>
      <w:r w:rsidRPr="00605771">
        <w:t>.  </w:t>
      </w:r>
      <w:r w:rsidR="00FD1723" w:rsidRPr="00605771">
        <w:rPr>
          <w:rFonts w:cstheme="minorHAnsi"/>
        </w:rPr>
        <w:t>À</w:t>
      </w:r>
      <w:r w:rsidR="00FD1723" w:rsidRPr="00605771">
        <w:t xml:space="preserve"> différentes dates</w:t>
      </w:r>
      <w:r w:rsidR="00B43CFE" w:rsidRPr="00605771">
        <w:t xml:space="preserve"> (</w:t>
      </w:r>
      <w:r w:rsidR="00FD1723" w:rsidRPr="00605771">
        <w:t xml:space="preserve">les </w:t>
      </w:r>
      <w:r w:rsidRPr="00605771">
        <w:t xml:space="preserve">12 et 18 décembre 2003, </w:t>
      </w:r>
      <w:r w:rsidR="00FD1723" w:rsidRPr="00605771">
        <w:t>les</w:t>
      </w:r>
      <w:r w:rsidR="002D4274" w:rsidRPr="00605771">
        <w:t xml:space="preserve"> 1</w:t>
      </w:r>
      <w:r w:rsidR="002D4274" w:rsidRPr="00605771">
        <w:rPr>
          <w:vertAlign w:val="superscript"/>
        </w:rPr>
        <w:t>er</w:t>
      </w:r>
      <w:r w:rsidR="002D4274" w:rsidRPr="00605771">
        <w:t xml:space="preserve"> juin</w:t>
      </w:r>
      <w:r w:rsidR="00FD1723" w:rsidRPr="00605771">
        <w:t xml:space="preserve"> et</w:t>
      </w:r>
      <w:r w:rsidR="002D4274" w:rsidRPr="00605771">
        <w:t xml:space="preserve"> 13</w:t>
      </w:r>
      <w:r w:rsidR="00B43CFE" w:rsidRPr="00605771">
        <w:t> </w:t>
      </w:r>
      <w:r w:rsidR="002D4274" w:rsidRPr="00605771">
        <w:t>novembre 20</w:t>
      </w:r>
      <w:r w:rsidR="00277153" w:rsidRPr="00605771">
        <w:t>0</w:t>
      </w:r>
      <w:r w:rsidR="002D4274" w:rsidRPr="00605771">
        <w:t>4 et le 11 avril 2005</w:t>
      </w:r>
      <w:r w:rsidR="00B43CFE" w:rsidRPr="00605771">
        <w:t>)</w:t>
      </w:r>
      <w:r w:rsidR="002D4274" w:rsidRPr="00605771">
        <w:t xml:space="preserve">, </w:t>
      </w:r>
      <w:r w:rsidRPr="00605771">
        <w:t xml:space="preserve">les deux premières requérantes déposèrent comme témoins. </w:t>
      </w:r>
      <w:r w:rsidR="001A08B1" w:rsidRPr="00605771">
        <w:t xml:space="preserve">Elles </w:t>
      </w:r>
      <w:r w:rsidR="006B2653" w:rsidRPr="00605771">
        <w:t>désignèr</w:t>
      </w:r>
      <w:r w:rsidR="001A08B1" w:rsidRPr="00605771">
        <w:t xml:space="preserve">ent N.M., A.A. et P.F. comme </w:t>
      </w:r>
      <w:r w:rsidR="00F06D42" w:rsidRPr="00605771">
        <w:t xml:space="preserve">étant </w:t>
      </w:r>
      <w:r w:rsidR="001A08B1" w:rsidRPr="00605771">
        <w:t>les auteurs des faits.</w:t>
      </w:r>
    </w:p>
    <w:p w:rsidR="009C3F1D" w:rsidRPr="00605771" w:rsidRDefault="009C3F1D"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34</w:t>
      </w:r>
      <w:r w:rsidRPr="00605771">
        <w:fldChar w:fldCharType="end"/>
      </w:r>
      <w:r w:rsidRPr="00605771">
        <w:t xml:space="preserve">.  Le 19 janvier 2004, </w:t>
      </w:r>
      <w:r w:rsidR="00864BBC" w:rsidRPr="00605771">
        <w:t xml:space="preserve">la direction de </w:t>
      </w:r>
      <w:r w:rsidR="005731CC" w:rsidRPr="00605771">
        <w:t xml:space="preserve">la </w:t>
      </w:r>
      <w:r w:rsidR="00864BBC" w:rsidRPr="00605771">
        <w:t>sécurité d</w:t>
      </w:r>
      <w:r w:rsidR="00605771" w:rsidRPr="00605771">
        <w:t>’</w:t>
      </w:r>
      <w:r w:rsidR="00864BBC" w:rsidRPr="00605771">
        <w:t xml:space="preserve">Ermoúpolis envoya </w:t>
      </w:r>
      <w:r w:rsidR="00BD4CA7" w:rsidRPr="00605771">
        <w:t xml:space="preserve">au procureur </w:t>
      </w:r>
      <w:r w:rsidR="006C5865" w:rsidRPr="00605771">
        <w:t xml:space="preserve">près le tribunal </w:t>
      </w:r>
      <w:r w:rsidR="00BD4CA7" w:rsidRPr="00605771">
        <w:t xml:space="preserve">de première instance de Syros </w:t>
      </w:r>
      <w:r w:rsidR="00864BBC" w:rsidRPr="00605771">
        <w:t xml:space="preserve">des éléments recueillis </w:t>
      </w:r>
      <w:r w:rsidR="00BD4CA7" w:rsidRPr="00605771">
        <w:t>au cours de</w:t>
      </w:r>
      <w:r w:rsidR="00864BBC" w:rsidRPr="00605771">
        <w:t xml:space="preserve"> l</w:t>
      </w:r>
      <w:r w:rsidR="00605771" w:rsidRPr="00605771">
        <w:t>’</w:t>
      </w:r>
      <w:r w:rsidR="00864BBC" w:rsidRPr="00605771">
        <w:t xml:space="preserve">enquête. Il ressort </w:t>
      </w:r>
      <w:r w:rsidR="00AE19A8" w:rsidRPr="00605771">
        <w:t>de ce document</w:t>
      </w:r>
      <w:r w:rsidR="00864BBC" w:rsidRPr="00605771">
        <w:t xml:space="preserve"> </w:t>
      </w:r>
      <w:r w:rsidR="004B634E" w:rsidRPr="00605771">
        <w:t>qu</w:t>
      </w:r>
      <w:r w:rsidR="00605771" w:rsidRPr="00605771">
        <w:t>’</w:t>
      </w:r>
      <w:r w:rsidR="004B634E" w:rsidRPr="00605771">
        <w:t xml:space="preserve">en </w:t>
      </w:r>
      <w:r w:rsidR="007C3055" w:rsidRPr="00605771">
        <w:t>décembre 2003</w:t>
      </w:r>
      <w:r w:rsidR="00864BBC" w:rsidRPr="00605771">
        <w:t xml:space="preserve"> le</w:t>
      </w:r>
      <w:r w:rsidR="0051756F" w:rsidRPr="00605771">
        <w:t>s</w:t>
      </w:r>
      <w:r w:rsidR="00BD4CA7" w:rsidRPr="00605771">
        <w:t>dites</w:t>
      </w:r>
      <w:r w:rsidR="0051756F" w:rsidRPr="00605771">
        <w:t xml:space="preserve"> requérantes</w:t>
      </w:r>
      <w:r w:rsidR="00BD4CA7" w:rsidRPr="00605771">
        <w:t xml:space="preserve"> </w:t>
      </w:r>
      <w:r w:rsidR="0051756F" w:rsidRPr="00605771">
        <w:t xml:space="preserve">avaient indiqué </w:t>
      </w:r>
      <w:r w:rsidR="00BD4CA7" w:rsidRPr="00605771">
        <w:t xml:space="preserve">avoir été enfermées </w:t>
      </w:r>
      <w:r w:rsidR="005B1781" w:rsidRPr="00605771">
        <w:t>en un endroit situé</w:t>
      </w:r>
      <w:r w:rsidR="00864BBC" w:rsidRPr="00605771">
        <w:t xml:space="preserve"> </w:t>
      </w:r>
      <w:r w:rsidR="0051756F" w:rsidRPr="00605771">
        <w:t>à Athènes</w:t>
      </w:r>
      <w:r w:rsidR="00BD4CA7" w:rsidRPr="00605771">
        <w:t xml:space="preserve"> désigné par elles comme étant </w:t>
      </w:r>
      <w:r w:rsidR="00CC083E" w:rsidRPr="00605771">
        <w:t xml:space="preserve">le </w:t>
      </w:r>
      <w:r w:rsidR="00257FDC" w:rsidRPr="00605771">
        <w:t>domicile de</w:t>
      </w:r>
      <w:r w:rsidR="007C3055" w:rsidRPr="00605771">
        <w:t xml:space="preserve"> N.M</w:t>
      </w:r>
      <w:r w:rsidR="00864BBC" w:rsidRPr="00605771">
        <w:t>.</w:t>
      </w:r>
    </w:p>
    <w:p w:rsidR="00A400CD" w:rsidRPr="00605771" w:rsidRDefault="001A08B1"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35</w:t>
      </w:r>
      <w:r w:rsidRPr="00605771">
        <w:fldChar w:fldCharType="end"/>
      </w:r>
      <w:r w:rsidRPr="00605771">
        <w:t>.</w:t>
      </w:r>
      <w:r w:rsidR="009321B8" w:rsidRPr="00605771">
        <w:t> </w:t>
      </w:r>
      <w:r w:rsidR="00F724AD" w:rsidRPr="00605771">
        <w:t> </w:t>
      </w:r>
      <w:r w:rsidR="009321B8" w:rsidRPr="00605771">
        <w:t>L</w:t>
      </w:r>
      <w:r w:rsidRPr="00605771">
        <w:t xml:space="preserve">e 9 mars 2004, le procureur </w:t>
      </w:r>
      <w:r w:rsidR="006C5865" w:rsidRPr="00605771">
        <w:t>susmentionné</w:t>
      </w:r>
      <w:r w:rsidRPr="00605771">
        <w:t xml:space="preserve"> demanda </w:t>
      </w:r>
      <w:r w:rsidR="00CA6D08" w:rsidRPr="00605771">
        <w:t xml:space="preserve">à </w:t>
      </w:r>
      <w:r w:rsidR="008D63DD" w:rsidRPr="00605771">
        <w:t>la direct</w:t>
      </w:r>
      <w:r w:rsidR="00A400CD" w:rsidRPr="00605771">
        <w:t xml:space="preserve">ion de </w:t>
      </w:r>
      <w:r w:rsidR="005731CC" w:rsidRPr="00605771">
        <w:t xml:space="preserve">la </w:t>
      </w:r>
      <w:r w:rsidR="00A400CD" w:rsidRPr="00605771">
        <w:t>sécurité d</w:t>
      </w:r>
      <w:r w:rsidR="00605771" w:rsidRPr="00605771">
        <w:t>’</w:t>
      </w:r>
      <w:r w:rsidR="00A400CD" w:rsidRPr="00605771">
        <w:t>Ermoúpolis d</w:t>
      </w:r>
      <w:r w:rsidR="00605771" w:rsidRPr="00605771">
        <w:t>’</w:t>
      </w:r>
      <w:r w:rsidR="00CA6D08" w:rsidRPr="00605771">
        <w:t>entendre</w:t>
      </w:r>
      <w:r w:rsidR="00A400CD" w:rsidRPr="00605771">
        <w:t xml:space="preserve"> les deux premières requérantes</w:t>
      </w:r>
      <w:r w:rsidR="00CA6D08" w:rsidRPr="00605771">
        <w:t xml:space="preserve"> en tant que témoins</w:t>
      </w:r>
      <w:r w:rsidR="001A1E78" w:rsidRPr="00605771">
        <w:t>. Il ajouta que les données personnelles d</w:t>
      </w:r>
      <w:r w:rsidR="00D65C90" w:rsidRPr="00605771">
        <w:t xml:space="preserve">u dénommé </w:t>
      </w:r>
      <w:r w:rsidR="001A1E78" w:rsidRPr="00605771">
        <w:t xml:space="preserve">C., qui </w:t>
      </w:r>
      <w:r w:rsidR="00C57812" w:rsidRPr="00605771">
        <w:t>avait été</w:t>
      </w:r>
      <w:r w:rsidR="001A1E78" w:rsidRPr="00605771">
        <w:t xml:space="preserve"> mentionné par la première requérante dans sa déposition du 18</w:t>
      </w:r>
      <w:r w:rsidR="00D65C90" w:rsidRPr="00605771">
        <w:t> </w:t>
      </w:r>
      <w:r w:rsidR="001A1E78" w:rsidRPr="00605771">
        <w:t>décembre 2003</w:t>
      </w:r>
      <w:r w:rsidR="00CA6D08" w:rsidRPr="00605771">
        <w:t>,</w:t>
      </w:r>
      <w:r w:rsidR="001A1E78" w:rsidRPr="00605771">
        <w:t xml:space="preserve"> devaient être précisé</w:t>
      </w:r>
      <w:r w:rsidR="00CA6D08" w:rsidRPr="00605771">
        <w:t>e</w:t>
      </w:r>
      <w:r w:rsidR="001A1E78" w:rsidRPr="00605771">
        <w:t>s</w:t>
      </w:r>
      <w:r w:rsidR="00FE72D0" w:rsidRPr="00605771">
        <w:t>, et que tant C. que N.T. et D.</w:t>
      </w:r>
      <w:r w:rsidR="001A1E78" w:rsidRPr="00605771">
        <w:t xml:space="preserve">M. devaient être </w:t>
      </w:r>
      <w:r w:rsidR="00CA6D08" w:rsidRPr="00605771">
        <w:t xml:space="preserve">auditionnés </w:t>
      </w:r>
      <w:r w:rsidR="001A1E78" w:rsidRPr="00605771">
        <w:t>comme témoins.</w:t>
      </w:r>
      <w:r w:rsidR="009C3F1D" w:rsidRPr="00605771">
        <w:t xml:space="preserve"> Le procureur </w:t>
      </w:r>
      <w:r w:rsidR="006C5865" w:rsidRPr="00605771">
        <w:t xml:space="preserve">près le tribunal </w:t>
      </w:r>
      <w:r w:rsidR="009C3F1D" w:rsidRPr="00605771">
        <w:t>de première instance de Syros précisa en outre que l</w:t>
      </w:r>
      <w:r w:rsidR="00605771" w:rsidRPr="00605771">
        <w:t>’</w:t>
      </w:r>
      <w:r w:rsidR="009C3F1D" w:rsidRPr="00605771">
        <w:t xml:space="preserve">affaire devait par la suite être </w:t>
      </w:r>
      <w:r w:rsidR="00C81EBD" w:rsidRPr="00605771">
        <w:t>r</w:t>
      </w:r>
      <w:r w:rsidR="009C3F1D" w:rsidRPr="00605771">
        <w:t xml:space="preserve">envoyée à la direction de </w:t>
      </w:r>
      <w:r w:rsidR="005731CC" w:rsidRPr="00605771">
        <w:t xml:space="preserve">la </w:t>
      </w:r>
      <w:r w:rsidR="009C3F1D" w:rsidRPr="00605771">
        <w:t>sécurité de la police d</w:t>
      </w:r>
      <w:r w:rsidR="00605771" w:rsidRPr="00605771">
        <w:t>’</w:t>
      </w:r>
      <w:r w:rsidR="009C3F1D" w:rsidRPr="00605771">
        <w:t xml:space="preserve">Athènes </w:t>
      </w:r>
      <w:r w:rsidR="006B37BE" w:rsidRPr="00605771">
        <w:t>aux fins de l</w:t>
      </w:r>
      <w:r w:rsidR="000F795E" w:rsidRPr="00605771">
        <w:t>a collecte</w:t>
      </w:r>
      <w:r w:rsidR="006B37BE" w:rsidRPr="00605771">
        <w:t xml:space="preserve"> des</w:t>
      </w:r>
      <w:r w:rsidR="009C3F1D" w:rsidRPr="00605771">
        <w:t xml:space="preserve"> données personnelles des propriétaires des entreprises </w:t>
      </w:r>
      <w:r w:rsidR="006B37BE" w:rsidRPr="00605771">
        <w:t>et de la convocation de</w:t>
      </w:r>
      <w:r w:rsidR="009C3F1D" w:rsidRPr="00605771">
        <w:t xml:space="preserve"> </w:t>
      </w:r>
      <w:r w:rsidR="00C81EBD" w:rsidRPr="00605771">
        <w:t>ces derniers</w:t>
      </w:r>
      <w:r w:rsidR="009C3F1D" w:rsidRPr="00605771">
        <w:t xml:space="preserve"> </w:t>
      </w:r>
      <w:r w:rsidR="006B37BE" w:rsidRPr="00605771">
        <w:t>et de</w:t>
      </w:r>
      <w:r w:rsidR="009C3F1D" w:rsidRPr="00605771">
        <w:t xml:space="preserve"> N.M. à </w:t>
      </w:r>
      <w:r w:rsidR="00C81EBD" w:rsidRPr="00605771">
        <w:t xml:space="preserve">une audition en tant que </w:t>
      </w:r>
      <w:r w:rsidR="009C3F1D" w:rsidRPr="00605771">
        <w:t>témoins.</w:t>
      </w:r>
    </w:p>
    <w:p w:rsidR="00F06D42" w:rsidRPr="00605771" w:rsidRDefault="00F06D42" w:rsidP="00605771">
      <w:pPr>
        <w:pStyle w:val="JuPara"/>
      </w:pPr>
      <w:r w:rsidRPr="00605771">
        <w:lastRenderedPageBreak/>
        <w:fldChar w:fldCharType="begin"/>
      </w:r>
      <w:r w:rsidRPr="00605771">
        <w:instrText xml:space="preserve"> SEQ level0 \*arabic </w:instrText>
      </w:r>
      <w:r w:rsidRPr="00605771">
        <w:fldChar w:fldCharType="separate"/>
      </w:r>
      <w:r w:rsidR="00605771" w:rsidRPr="00605771">
        <w:rPr>
          <w:noProof/>
        </w:rPr>
        <w:t>36</w:t>
      </w:r>
      <w:r w:rsidRPr="00605771">
        <w:fldChar w:fldCharType="end"/>
      </w:r>
      <w:r w:rsidRPr="00605771">
        <w:t xml:space="preserve">.  Le 8 novembre 2004, </w:t>
      </w:r>
      <w:r w:rsidR="000A08B0" w:rsidRPr="00605771">
        <w:t>l</w:t>
      </w:r>
      <w:r w:rsidR="00605771" w:rsidRPr="00605771">
        <w:t>’</w:t>
      </w:r>
      <w:r w:rsidR="000A08B0" w:rsidRPr="00605771">
        <w:t xml:space="preserve">opérateur de téléphonie mobile de N.M. </w:t>
      </w:r>
      <w:r w:rsidRPr="00605771">
        <w:t>informa</w:t>
      </w:r>
      <w:r w:rsidR="00FE72D0" w:rsidRPr="00605771">
        <w:t xml:space="preserve"> </w:t>
      </w:r>
      <w:r w:rsidRPr="00605771">
        <w:t xml:space="preserve">la direction de </w:t>
      </w:r>
      <w:r w:rsidR="005731CC" w:rsidRPr="00605771">
        <w:t xml:space="preserve">la </w:t>
      </w:r>
      <w:r w:rsidRPr="00605771">
        <w:t xml:space="preserve">sécurité </w:t>
      </w:r>
      <w:r w:rsidR="00CB6282" w:rsidRPr="00605771">
        <w:t xml:space="preserve">de la police </w:t>
      </w:r>
      <w:r w:rsidRPr="00605771">
        <w:t>de l</w:t>
      </w:r>
      <w:r w:rsidR="00605771" w:rsidRPr="00605771">
        <w:t>’</w:t>
      </w:r>
      <w:r w:rsidRPr="00605771">
        <w:t>Attique de l</w:t>
      </w:r>
      <w:r w:rsidR="00605771" w:rsidRPr="00605771">
        <w:t>’</w:t>
      </w:r>
      <w:r w:rsidRPr="00605771">
        <w:t xml:space="preserve">adresse déclarée par </w:t>
      </w:r>
      <w:r w:rsidR="000A08B0" w:rsidRPr="00605771">
        <w:t>cel</w:t>
      </w:r>
      <w:r w:rsidR="001B5CA7" w:rsidRPr="00605771">
        <w:t>le</w:t>
      </w:r>
      <w:r w:rsidR="000A08B0" w:rsidRPr="00605771">
        <w:t>-ci</w:t>
      </w:r>
      <w:r w:rsidRPr="00605771">
        <w:t>, à Nea Smyrni.</w:t>
      </w:r>
    </w:p>
    <w:p w:rsidR="002C7F5B" w:rsidRPr="00605771" w:rsidRDefault="001A08B1"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37</w:t>
      </w:r>
      <w:r w:rsidRPr="00605771">
        <w:fldChar w:fldCharType="end"/>
      </w:r>
      <w:r w:rsidR="002D5034" w:rsidRPr="00605771">
        <w:t>.  Le 11 avril 2005</w:t>
      </w:r>
      <w:r w:rsidRPr="00605771">
        <w:t xml:space="preserve">, </w:t>
      </w:r>
      <w:r w:rsidR="00991638" w:rsidRPr="00605771">
        <w:t xml:space="preserve">après avoir </w:t>
      </w:r>
      <w:r w:rsidR="004138C0" w:rsidRPr="00605771">
        <w:t>procédé aux actes d</w:t>
      </w:r>
      <w:r w:rsidR="00605771" w:rsidRPr="00605771">
        <w:t>’</w:t>
      </w:r>
      <w:r w:rsidR="004138C0" w:rsidRPr="00605771">
        <w:t xml:space="preserve">enquête, et notamment après avoir </w:t>
      </w:r>
      <w:r w:rsidR="00686C5C" w:rsidRPr="00605771">
        <w:t>entendu</w:t>
      </w:r>
      <w:r w:rsidR="00991638" w:rsidRPr="00605771">
        <w:t xml:space="preserve"> </w:t>
      </w:r>
      <w:r w:rsidR="00F06D42" w:rsidRPr="00605771">
        <w:t>en tant que</w:t>
      </w:r>
      <w:r w:rsidR="00991638" w:rsidRPr="00605771">
        <w:t xml:space="preserve"> témoins les deux </w:t>
      </w:r>
      <w:r w:rsidR="000A08B0" w:rsidRPr="00605771">
        <w:t xml:space="preserve">premières </w:t>
      </w:r>
      <w:r w:rsidR="00991638" w:rsidRPr="00605771">
        <w:t>requérantes</w:t>
      </w:r>
      <w:r w:rsidR="00195374" w:rsidRPr="00605771">
        <w:t>,</w:t>
      </w:r>
      <w:r w:rsidR="00991638" w:rsidRPr="00605771">
        <w:t xml:space="preserve"> ainsi que G.A. et D.M., </w:t>
      </w:r>
      <w:r w:rsidR="00195374" w:rsidRPr="00605771">
        <w:t xml:space="preserve">les </w:t>
      </w:r>
      <w:r w:rsidR="00991638" w:rsidRPr="00605771">
        <w:t xml:space="preserve">propriétaires des bars où </w:t>
      </w:r>
      <w:r w:rsidR="000A08B0" w:rsidRPr="00605771">
        <w:t xml:space="preserve">les intéressées </w:t>
      </w:r>
      <w:r w:rsidR="00991638" w:rsidRPr="00605771">
        <w:t xml:space="preserve">travaillaient, </w:t>
      </w:r>
      <w:r w:rsidR="002D5034" w:rsidRPr="00605771">
        <w:t xml:space="preserve">la direction de </w:t>
      </w:r>
      <w:r w:rsidR="005731CC" w:rsidRPr="00605771">
        <w:t xml:space="preserve">la </w:t>
      </w:r>
      <w:r w:rsidR="002D5034" w:rsidRPr="00605771">
        <w:t>sécurité de la police de l</w:t>
      </w:r>
      <w:r w:rsidR="00605771" w:rsidRPr="00605771">
        <w:t>’</w:t>
      </w:r>
      <w:r w:rsidR="002D5034" w:rsidRPr="00605771">
        <w:t>Attique renvoya l</w:t>
      </w:r>
      <w:r w:rsidR="00605771" w:rsidRPr="00605771">
        <w:t>’</w:t>
      </w:r>
      <w:r w:rsidR="002D5034" w:rsidRPr="00605771">
        <w:t>affaire</w:t>
      </w:r>
      <w:r w:rsidRPr="00605771">
        <w:t xml:space="preserve"> au procureur </w:t>
      </w:r>
      <w:r w:rsidR="006C5865" w:rsidRPr="00605771">
        <w:t xml:space="preserve">près le tribunal </w:t>
      </w:r>
      <w:r w:rsidRPr="00605771">
        <w:t xml:space="preserve">de première instance de Syros </w:t>
      </w:r>
      <w:r w:rsidR="001D0AFC" w:rsidRPr="00605771">
        <w:t xml:space="preserve">en </w:t>
      </w:r>
      <w:r w:rsidRPr="00605771">
        <w:t>mention</w:t>
      </w:r>
      <w:r w:rsidR="001D0AFC" w:rsidRPr="00605771">
        <w:t>nant</w:t>
      </w:r>
      <w:r w:rsidR="002D5034" w:rsidRPr="00605771">
        <w:t>, entre autres,</w:t>
      </w:r>
      <w:r w:rsidRPr="00605771">
        <w:t xml:space="preserve"> que </w:t>
      </w:r>
      <w:r w:rsidR="002D5034" w:rsidRPr="00605771">
        <w:t>le</w:t>
      </w:r>
      <w:r w:rsidR="000A08B0" w:rsidRPr="00605771">
        <w:t>s</w:t>
      </w:r>
      <w:r w:rsidR="002D5034" w:rsidRPr="00605771">
        <w:t xml:space="preserve"> permis de séjour et de travail de </w:t>
      </w:r>
      <w:r w:rsidRPr="00605771">
        <w:t xml:space="preserve">N.M. </w:t>
      </w:r>
      <w:r w:rsidR="00C511F2" w:rsidRPr="00605771">
        <w:t>faisaient l</w:t>
      </w:r>
      <w:r w:rsidR="00605771" w:rsidRPr="00605771">
        <w:t>’</w:t>
      </w:r>
      <w:r w:rsidR="00C511F2" w:rsidRPr="00605771">
        <w:t>objet de</w:t>
      </w:r>
      <w:r w:rsidRPr="00605771">
        <w:t xml:space="preserve"> recherch</w:t>
      </w:r>
      <w:r w:rsidR="00C511F2" w:rsidRPr="00605771">
        <w:t xml:space="preserve">es </w:t>
      </w:r>
      <w:r w:rsidR="00A271C6" w:rsidRPr="00605771">
        <w:t>de la part de</w:t>
      </w:r>
      <w:r w:rsidRPr="00605771">
        <w:t xml:space="preserve"> la </w:t>
      </w:r>
      <w:r w:rsidR="000A08B0" w:rsidRPr="00605771">
        <w:t>p</w:t>
      </w:r>
      <w:r w:rsidRPr="00605771">
        <w:t>réfecture d</w:t>
      </w:r>
      <w:r w:rsidR="00605771" w:rsidRPr="00605771">
        <w:t>’</w:t>
      </w:r>
      <w:r w:rsidRPr="00605771">
        <w:t>Athènes.</w:t>
      </w:r>
    </w:p>
    <w:p w:rsidR="005A5EEA" w:rsidRPr="00605771" w:rsidRDefault="00F06D42"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38</w:t>
      </w:r>
      <w:r w:rsidRPr="00605771">
        <w:fldChar w:fldCharType="end"/>
      </w:r>
      <w:r w:rsidRPr="00605771">
        <w:t>.  </w:t>
      </w:r>
      <w:r w:rsidR="005A5EEA" w:rsidRPr="00605771">
        <w:t>Le 29 juin 2005</w:t>
      </w:r>
      <w:r w:rsidR="00F36BA2" w:rsidRPr="00605771">
        <w:t xml:space="preserve">, </w:t>
      </w:r>
      <w:r w:rsidR="005A5EEA" w:rsidRPr="00605771">
        <w:t xml:space="preserve">le procureur </w:t>
      </w:r>
      <w:r w:rsidR="00534D4E" w:rsidRPr="00605771">
        <w:t>près le</w:t>
      </w:r>
      <w:r w:rsidR="005A5EEA" w:rsidRPr="00605771">
        <w:t xml:space="preserve"> tribunal de première instance de Syros renvoya </w:t>
      </w:r>
      <w:r w:rsidR="00F36BA2" w:rsidRPr="00605771">
        <w:t>l</w:t>
      </w:r>
      <w:r w:rsidR="00605771" w:rsidRPr="00605771">
        <w:t>’</w:t>
      </w:r>
      <w:r w:rsidR="00F36BA2" w:rsidRPr="00605771">
        <w:t xml:space="preserve">affaire </w:t>
      </w:r>
      <w:r w:rsidR="005A5EEA" w:rsidRPr="00605771">
        <w:t xml:space="preserve">au </w:t>
      </w:r>
      <w:r w:rsidR="00F36BA2" w:rsidRPr="00605771">
        <w:t xml:space="preserve">procureur </w:t>
      </w:r>
      <w:r w:rsidR="00534D4E" w:rsidRPr="00605771">
        <w:t>près le</w:t>
      </w:r>
      <w:r w:rsidR="00F36BA2" w:rsidRPr="00605771">
        <w:t xml:space="preserve"> tribunal correctionnel d</w:t>
      </w:r>
      <w:r w:rsidR="00605771" w:rsidRPr="00605771">
        <w:t>’</w:t>
      </w:r>
      <w:r w:rsidR="00F36BA2" w:rsidRPr="00605771">
        <w:t xml:space="preserve">Athènes, </w:t>
      </w:r>
      <w:r w:rsidR="005A5EEA" w:rsidRPr="00605771">
        <w:t xml:space="preserve">les délits les plus graves ayant prétendument été commis </w:t>
      </w:r>
      <w:r w:rsidR="00BC72B2" w:rsidRPr="00605771">
        <w:t>dans cette dernière ville</w:t>
      </w:r>
      <w:r w:rsidR="005A5EEA" w:rsidRPr="00605771">
        <w:t>.</w:t>
      </w:r>
    </w:p>
    <w:p w:rsidR="002C7F5B" w:rsidRPr="00605771" w:rsidRDefault="003D2943"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39</w:t>
      </w:r>
      <w:r w:rsidRPr="00605771">
        <w:fldChar w:fldCharType="end"/>
      </w:r>
      <w:r w:rsidRPr="00605771">
        <w:t xml:space="preserve">.  Le 10 décembre 2005, le procureur </w:t>
      </w:r>
      <w:r w:rsidR="00534D4E" w:rsidRPr="00605771">
        <w:t>près le</w:t>
      </w:r>
      <w:r w:rsidRPr="00605771">
        <w:t xml:space="preserve"> tribunal correctionnel d</w:t>
      </w:r>
      <w:r w:rsidR="00605771" w:rsidRPr="00605771">
        <w:t>’</w:t>
      </w:r>
      <w:r w:rsidRPr="00605771">
        <w:t>Athènes</w:t>
      </w:r>
      <w:r w:rsidR="00F36BA2" w:rsidRPr="00605771">
        <w:t xml:space="preserve"> ordonna l</w:t>
      </w:r>
      <w:r w:rsidR="00605771" w:rsidRPr="00605771">
        <w:t>’</w:t>
      </w:r>
      <w:r w:rsidR="00A271C6" w:rsidRPr="00605771">
        <w:t>audition</w:t>
      </w:r>
      <w:r w:rsidR="00F36BA2" w:rsidRPr="00605771">
        <w:t xml:space="preserve"> des suspects</w:t>
      </w:r>
      <w:r w:rsidRPr="00605771">
        <w:t xml:space="preserve"> N.M., A.A. et P.F</w:t>
      </w:r>
      <w:r w:rsidR="00F36BA2" w:rsidRPr="00605771">
        <w:t>.</w:t>
      </w:r>
    </w:p>
    <w:p w:rsidR="003D2943" w:rsidRPr="00605771" w:rsidRDefault="003D2943"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40</w:t>
      </w:r>
      <w:r w:rsidRPr="00605771">
        <w:fldChar w:fldCharType="end"/>
      </w:r>
      <w:r w:rsidRPr="00605771">
        <w:t xml:space="preserve">.  Le 4 juillet </w:t>
      </w:r>
      <w:r w:rsidR="00BD0AC4" w:rsidRPr="00605771">
        <w:t xml:space="preserve">2006, la direction de </w:t>
      </w:r>
      <w:r w:rsidR="005731CC" w:rsidRPr="00605771">
        <w:t xml:space="preserve">la </w:t>
      </w:r>
      <w:r w:rsidR="00BD0AC4" w:rsidRPr="00605771">
        <w:t xml:space="preserve">sécurité </w:t>
      </w:r>
      <w:r w:rsidR="00CB6282" w:rsidRPr="00605771">
        <w:t xml:space="preserve">de la police </w:t>
      </w:r>
      <w:r w:rsidR="00BD0AC4" w:rsidRPr="00605771">
        <w:t>de l</w:t>
      </w:r>
      <w:r w:rsidR="00605771" w:rsidRPr="00605771">
        <w:t>’</w:t>
      </w:r>
      <w:r w:rsidR="00BD0AC4" w:rsidRPr="00605771">
        <w:t>Attique demanda</w:t>
      </w:r>
      <w:r w:rsidR="00A271C6" w:rsidRPr="00605771">
        <w:t xml:space="preserve"> à</w:t>
      </w:r>
      <w:r w:rsidR="00BD0AC4" w:rsidRPr="00605771">
        <w:t xml:space="preserve"> la </w:t>
      </w:r>
      <w:r w:rsidR="00A271C6" w:rsidRPr="00605771">
        <w:t>p</w:t>
      </w:r>
      <w:r w:rsidR="00BD0AC4" w:rsidRPr="00605771">
        <w:t>réfecture de l</w:t>
      </w:r>
      <w:r w:rsidR="00605771" w:rsidRPr="00605771">
        <w:t>’</w:t>
      </w:r>
      <w:r w:rsidR="00BD0AC4" w:rsidRPr="00605771">
        <w:t xml:space="preserve">Attique de </w:t>
      </w:r>
      <w:r w:rsidR="00BC03FF" w:rsidRPr="00605771">
        <w:t xml:space="preserve">lui </w:t>
      </w:r>
      <w:r w:rsidR="00BD0AC4" w:rsidRPr="00605771">
        <w:t>fournir des informations complémentaires concernant le permis de séjour de N.M.</w:t>
      </w:r>
    </w:p>
    <w:p w:rsidR="00BD0AC4" w:rsidRPr="00605771" w:rsidRDefault="00BD0AC4"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41</w:t>
      </w:r>
      <w:r w:rsidRPr="00605771">
        <w:fldChar w:fldCharType="end"/>
      </w:r>
      <w:r w:rsidRPr="00605771">
        <w:t xml:space="preserve">.  Le 6 juillet 2006, la </w:t>
      </w:r>
      <w:r w:rsidR="00A271C6" w:rsidRPr="00605771">
        <w:t>p</w:t>
      </w:r>
      <w:r w:rsidRPr="00605771">
        <w:t>réfecture d</w:t>
      </w:r>
      <w:r w:rsidR="00605771" w:rsidRPr="00605771">
        <w:t>’</w:t>
      </w:r>
      <w:r w:rsidRPr="00605771">
        <w:t>Athènes fournit les informations demandées.</w:t>
      </w:r>
    </w:p>
    <w:bookmarkStart w:id="10" w:name="rechercheNM"/>
    <w:p w:rsidR="002C7F5B" w:rsidRPr="00605771" w:rsidRDefault="00020139"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42</w:t>
      </w:r>
      <w:r w:rsidRPr="00605771">
        <w:fldChar w:fldCharType="end"/>
      </w:r>
      <w:bookmarkEnd w:id="10"/>
      <w:r w:rsidRPr="00605771">
        <w:t>.  </w:t>
      </w:r>
      <w:r w:rsidR="0045793A" w:rsidRPr="00605771">
        <w:t>Le 27 juillet 2006, un policier de la direction de la sécurité de la police de l</w:t>
      </w:r>
      <w:r w:rsidR="00605771" w:rsidRPr="00605771">
        <w:t>’</w:t>
      </w:r>
      <w:r w:rsidR="0045793A" w:rsidRPr="00605771">
        <w:t>Attique attesta avoir constaté que les suspects N.M. et P.F., qu</w:t>
      </w:r>
      <w:r w:rsidR="00605771" w:rsidRPr="00605771">
        <w:t>’</w:t>
      </w:r>
      <w:r w:rsidR="0045793A" w:rsidRPr="00605771">
        <w:t>il avait été chargé de rechercher à leurs adresses respectives, n</w:t>
      </w:r>
      <w:r w:rsidR="00605771" w:rsidRPr="00605771">
        <w:t>’</w:t>
      </w:r>
      <w:r w:rsidR="0045793A" w:rsidRPr="00605771">
        <w:t>y habitaient plus.</w:t>
      </w:r>
    </w:p>
    <w:p w:rsidR="00595367" w:rsidRPr="00605771" w:rsidRDefault="00BD0AC4"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43</w:t>
      </w:r>
      <w:r w:rsidRPr="00605771">
        <w:fldChar w:fldCharType="end"/>
      </w:r>
      <w:r w:rsidRPr="00605771">
        <w:t>.</w:t>
      </w:r>
      <w:r w:rsidR="0045793A" w:rsidRPr="00605771">
        <w:t>  Auparavant, le 21 juillet 2006, A.A. avait été présenté devant la direction susmentionnée afin d</w:t>
      </w:r>
      <w:r w:rsidR="00605771" w:rsidRPr="00605771">
        <w:t>’</w:t>
      </w:r>
      <w:r w:rsidR="0045793A" w:rsidRPr="00605771">
        <w:t>y être auditionné sans prêter serment.</w:t>
      </w:r>
    </w:p>
    <w:p w:rsidR="002C7F5B" w:rsidRPr="00605771" w:rsidRDefault="00E8110D"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44</w:t>
      </w:r>
      <w:r w:rsidRPr="00605771">
        <w:fldChar w:fldCharType="end"/>
      </w:r>
      <w:r w:rsidRPr="00605771">
        <w:t>.  Le 1</w:t>
      </w:r>
      <w:r w:rsidRPr="00605771">
        <w:rPr>
          <w:vertAlign w:val="superscript"/>
        </w:rPr>
        <w:t>er</w:t>
      </w:r>
      <w:r w:rsidRPr="00605771">
        <w:t xml:space="preserve"> août 2006, </w:t>
      </w:r>
      <w:r w:rsidR="0045793A" w:rsidRPr="00605771">
        <w:t xml:space="preserve">il </w:t>
      </w:r>
      <w:r w:rsidR="0055537F" w:rsidRPr="00605771">
        <w:t>soumit</w:t>
      </w:r>
      <w:r w:rsidRPr="00605771">
        <w:t xml:space="preserve"> des explications écrites </w:t>
      </w:r>
      <w:r w:rsidR="00F06693" w:rsidRPr="00605771">
        <w:t>à</w:t>
      </w:r>
      <w:r w:rsidRPr="00605771">
        <w:t xml:space="preserve"> la</w:t>
      </w:r>
      <w:r w:rsidR="00747C6E" w:rsidRPr="00605771">
        <w:t>dite</w:t>
      </w:r>
      <w:r w:rsidRPr="00605771">
        <w:t xml:space="preserve"> direction.</w:t>
      </w:r>
    </w:p>
    <w:p w:rsidR="002C7F5B" w:rsidRPr="00605771" w:rsidRDefault="00F36BA2"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45</w:t>
      </w:r>
      <w:r w:rsidRPr="00605771">
        <w:fldChar w:fldCharType="end"/>
      </w:r>
      <w:r w:rsidRPr="00605771">
        <w:t>.  </w:t>
      </w:r>
      <w:r w:rsidR="00020139" w:rsidRPr="00605771">
        <w:t xml:space="preserve">Le </w:t>
      </w:r>
      <w:r w:rsidR="00D84A76" w:rsidRPr="00605771">
        <w:t>11 ao</w:t>
      </w:r>
      <w:r w:rsidR="009839A1" w:rsidRPr="00605771">
        <w:t>ût 2</w:t>
      </w:r>
      <w:r w:rsidR="00D84A76" w:rsidRPr="00605771">
        <w:t>006</w:t>
      </w:r>
      <w:r w:rsidR="00020139" w:rsidRPr="00605771">
        <w:t xml:space="preserve">, la direction de </w:t>
      </w:r>
      <w:r w:rsidR="005731CC" w:rsidRPr="00605771">
        <w:t xml:space="preserve">la </w:t>
      </w:r>
      <w:r w:rsidR="00020139" w:rsidRPr="00605771">
        <w:t>sécurité de la police d</w:t>
      </w:r>
      <w:r w:rsidR="00605771" w:rsidRPr="00605771">
        <w:t>’</w:t>
      </w:r>
      <w:r w:rsidR="00020139" w:rsidRPr="00605771">
        <w:t>Athènes renvoya l</w:t>
      </w:r>
      <w:r w:rsidR="00605771" w:rsidRPr="00605771">
        <w:t>’</w:t>
      </w:r>
      <w:r w:rsidR="00020139" w:rsidRPr="00605771">
        <w:t xml:space="preserve">affaire au procureur </w:t>
      </w:r>
      <w:r w:rsidR="006C5865" w:rsidRPr="00605771">
        <w:t xml:space="preserve">près le tribunal </w:t>
      </w:r>
      <w:r w:rsidR="00020139" w:rsidRPr="00605771">
        <w:t xml:space="preserve">de première </w:t>
      </w:r>
      <w:r w:rsidR="00B14976" w:rsidRPr="00605771">
        <w:t>instance d</w:t>
      </w:r>
      <w:r w:rsidR="00605771" w:rsidRPr="00605771">
        <w:t>’</w:t>
      </w:r>
      <w:r w:rsidR="00B14976" w:rsidRPr="00605771">
        <w:t>Athènes, l</w:t>
      </w:r>
      <w:r w:rsidR="00605771" w:rsidRPr="00605771">
        <w:t>’</w:t>
      </w:r>
      <w:r w:rsidR="00B14976" w:rsidRPr="00605771">
        <w:t xml:space="preserve">informant, entre autres, </w:t>
      </w:r>
      <w:r w:rsidR="00020139" w:rsidRPr="00605771">
        <w:t>que N.M. et P.F. n</w:t>
      </w:r>
      <w:r w:rsidR="00605771" w:rsidRPr="00605771">
        <w:t>’</w:t>
      </w:r>
      <w:r w:rsidR="00020139" w:rsidRPr="00605771">
        <w:t>avaient pas été retrouvés à leurs adresses.</w:t>
      </w:r>
    </w:p>
    <w:p w:rsidR="00C0081C" w:rsidRPr="00605771" w:rsidRDefault="00C0081C"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46</w:t>
      </w:r>
      <w:r w:rsidRPr="00605771">
        <w:fldChar w:fldCharType="end"/>
      </w:r>
      <w:r w:rsidRPr="00605771">
        <w:t>.  </w:t>
      </w:r>
      <w:r w:rsidR="00E2098A" w:rsidRPr="00605771">
        <w:t>À</w:t>
      </w:r>
      <w:r w:rsidR="0052602A" w:rsidRPr="00605771">
        <w:t xml:space="preserve"> une date non précisée,</w:t>
      </w:r>
      <w:r w:rsidR="00544AA4" w:rsidRPr="00605771">
        <w:t xml:space="preserve"> le procureur </w:t>
      </w:r>
      <w:r w:rsidR="00534D4E" w:rsidRPr="00605771">
        <w:t xml:space="preserve">près le </w:t>
      </w:r>
      <w:r w:rsidR="00544AA4" w:rsidRPr="00605771">
        <w:t>tribunal de première instance d</w:t>
      </w:r>
      <w:r w:rsidR="00605771" w:rsidRPr="00605771">
        <w:t>’</w:t>
      </w:r>
      <w:r w:rsidR="00544AA4" w:rsidRPr="00605771">
        <w:t>Athènes engagea des poursuites pénales notamment contre N.M., G.A., D.M., P.F. et A.A. pour organisation criminelle, traite des êtres humains, faux et usage de faux, extorsion, séquestration</w:t>
      </w:r>
      <w:r w:rsidR="007B367C" w:rsidRPr="00605771">
        <w:t xml:space="preserve"> et</w:t>
      </w:r>
      <w:r w:rsidR="00544AA4" w:rsidRPr="00605771">
        <w:t xml:space="preserve"> </w:t>
      </w:r>
      <w:r w:rsidR="007B367C" w:rsidRPr="00605771">
        <w:t>port d</w:t>
      </w:r>
      <w:r w:rsidR="00605771" w:rsidRPr="00605771">
        <w:t>’</w:t>
      </w:r>
      <w:r w:rsidR="007B367C" w:rsidRPr="00605771">
        <w:t>armes. Il transmit le dossier au juge d</w:t>
      </w:r>
      <w:r w:rsidR="00605771" w:rsidRPr="00605771">
        <w:t>’</w:t>
      </w:r>
      <w:r w:rsidR="007B367C" w:rsidRPr="00605771">
        <w:t xml:space="preserve">instruction </w:t>
      </w:r>
      <w:r w:rsidR="00BB4273" w:rsidRPr="00605771">
        <w:t xml:space="preserve">compétent </w:t>
      </w:r>
      <w:r w:rsidR="00F06693" w:rsidRPr="00605771">
        <w:t>aux fins de la réalisation d</w:t>
      </w:r>
      <w:r w:rsidR="00605771" w:rsidRPr="00605771">
        <w:t>’</w:t>
      </w:r>
      <w:r w:rsidR="00272189" w:rsidRPr="00605771">
        <w:t>u</w:t>
      </w:r>
      <w:r w:rsidR="007B367C" w:rsidRPr="00605771">
        <w:t>ne enquête judiciaire officielle.</w:t>
      </w:r>
    </w:p>
    <w:p w:rsidR="002C7F5B" w:rsidRPr="00605771" w:rsidRDefault="0071679F"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47</w:t>
      </w:r>
      <w:r w:rsidRPr="00605771">
        <w:fldChar w:fldCharType="end"/>
      </w:r>
      <w:r w:rsidRPr="00605771">
        <w:t>.  Le 27 décembre 2007, la chambre d</w:t>
      </w:r>
      <w:r w:rsidR="00605771" w:rsidRPr="00605771">
        <w:t>’</w:t>
      </w:r>
      <w:r w:rsidRPr="00605771">
        <w:t>accusation du tribunal correctionnel d</w:t>
      </w:r>
      <w:r w:rsidR="00605771" w:rsidRPr="00605771">
        <w:t>’</w:t>
      </w:r>
      <w:r w:rsidRPr="00605771">
        <w:t xml:space="preserve">Athènes ordonna la </w:t>
      </w:r>
      <w:r w:rsidR="00FB58BC" w:rsidRPr="00605771">
        <w:t>disjonction</w:t>
      </w:r>
      <w:r w:rsidRPr="00605771">
        <w:t xml:space="preserve"> des dossiers </w:t>
      </w:r>
      <w:r w:rsidR="006E311A" w:rsidRPr="00605771">
        <w:t>relatifs aux</w:t>
      </w:r>
      <w:r w:rsidRPr="00605771">
        <w:t xml:space="preserve"> délits (notamment de faux et d</w:t>
      </w:r>
      <w:r w:rsidR="00605771" w:rsidRPr="00605771">
        <w:t>’</w:t>
      </w:r>
      <w:r w:rsidRPr="00605771">
        <w:t>usage de faux, d</w:t>
      </w:r>
      <w:r w:rsidR="00605771" w:rsidRPr="00605771">
        <w:t>’</w:t>
      </w:r>
      <w:r w:rsidRPr="00605771">
        <w:t>extorsion, de séquestration, d</w:t>
      </w:r>
      <w:r w:rsidR="00FA18F2" w:rsidRPr="00605771">
        <w:t xml:space="preserve">e </w:t>
      </w:r>
      <w:r w:rsidRPr="00605771">
        <w:t>tentat</w:t>
      </w:r>
      <w:r w:rsidR="00FA18F2" w:rsidRPr="00605771">
        <w:t>ive</w:t>
      </w:r>
      <w:r w:rsidRPr="00605771">
        <w:t xml:space="preserve"> de violences, de falsification de certificats et de port d</w:t>
      </w:r>
      <w:r w:rsidR="00605771" w:rsidRPr="00605771">
        <w:t>’</w:t>
      </w:r>
      <w:r w:rsidRPr="00605771">
        <w:t>armes) (ordonnance n</w:t>
      </w:r>
      <w:r w:rsidRPr="00605771">
        <w:rPr>
          <w:vertAlign w:val="superscript"/>
        </w:rPr>
        <w:t>o</w:t>
      </w:r>
      <w:r w:rsidRPr="00605771">
        <w:t xml:space="preserve"> 3765/2007). </w:t>
      </w:r>
      <w:r w:rsidR="00FB58BC" w:rsidRPr="00605771">
        <w:t>Elle pr</w:t>
      </w:r>
      <w:r w:rsidRPr="00605771">
        <w:t xml:space="preserve">écisa que cette </w:t>
      </w:r>
      <w:r w:rsidR="00FB58BC" w:rsidRPr="00605771">
        <w:t>disjonction</w:t>
      </w:r>
      <w:r w:rsidRPr="00605771">
        <w:t xml:space="preserve"> des dossiers </w:t>
      </w:r>
      <w:r w:rsidRPr="00605771">
        <w:lastRenderedPageBreak/>
        <w:t xml:space="preserve">était nécessaire car les </w:t>
      </w:r>
      <w:r w:rsidR="00FB58BC" w:rsidRPr="00605771">
        <w:t xml:space="preserve">faits relevant des </w:t>
      </w:r>
      <w:r w:rsidRPr="00605771">
        <w:t>délits risquaient d</w:t>
      </w:r>
      <w:r w:rsidR="00605771" w:rsidRPr="00605771">
        <w:t>’</w:t>
      </w:r>
      <w:r w:rsidRPr="00605771">
        <w:t xml:space="preserve">être </w:t>
      </w:r>
      <w:r w:rsidR="00FB58BC" w:rsidRPr="00605771">
        <w:t>couverts</w:t>
      </w:r>
      <w:r w:rsidRPr="00605771">
        <w:t xml:space="preserve"> par la prescription.</w:t>
      </w:r>
    </w:p>
    <w:p w:rsidR="002C7F5B" w:rsidRPr="00605771" w:rsidRDefault="001C5E5D"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48</w:t>
      </w:r>
      <w:r w:rsidRPr="00605771">
        <w:fldChar w:fldCharType="end"/>
      </w:r>
      <w:r w:rsidRPr="00605771">
        <w:t>.  Le 27 février 2008, le magistrat d</w:t>
      </w:r>
      <w:r w:rsidR="00605771" w:rsidRPr="00605771">
        <w:t>’</w:t>
      </w:r>
      <w:r w:rsidRPr="00605771">
        <w:t xml:space="preserve">Athènes </w:t>
      </w:r>
      <w:r w:rsidR="004A7D43" w:rsidRPr="00605771">
        <w:t>(</w:t>
      </w:r>
      <w:r w:rsidR="004A7D43" w:rsidRPr="00605771">
        <w:rPr>
          <w:i/>
          <w:lang w:val="el-GR"/>
        </w:rPr>
        <w:t>πταισματοδίκη</w:t>
      </w:r>
      <w:r w:rsidR="00CA194A" w:rsidRPr="00605771">
        <w:rPr>
          <w:i/>
          <w:lang w:val="el-GR"/>
        </w:rPr>
        <w:t>ς</w:t>
      </w:r>
      <w:r w:rsidR="004A7D43" w:rsidRPr="00605771">
        <w:rPr>
          <w:i/>
        </w:rPr>
        <w:t xml:space="preserve"> </w:t>
      </w:r>
      <w:r w:rsidR="004A7D43" w:rsidRPr="00605771">
        <w:rPr>
          <w:i/>
          <w:lang w:val="el-GR"/>
        </w:rPr>
        <w:t>Αθηνών</w:t>
      </w:r>
      <w:r w:rsidR="004A7D43" w:rsidRPr="00605771">
        <w:t xml:space="preserve">) </w:t>
      </w:r>
      <w:r w:rsidR="00FB58BC" w:rsidRPr="00605771">
        <w:t>enjoignit au</w:t>
      </w:r>
      <w:r w:rsidRPr="00605771">
        <w:t xml:space="preserve"> commissariat de police de Neos Kosmos de notifier </w:t>
      </w:r>
      <w:r w:rsidR="00FB58BC" w:rsidRPr="00605771">
        <w:t xml:space="preserve">à </w:t>
      </w:r>
      <w:r w:rsidRPr="00605771">
        <w:t>N.M. qu</w:t>
      </w:r>
      <w:r w:rsidR="00605771" w:rsidRPr="00605771">
        <w:t>’</w:t>
      </w:r>
      <w:r w:rsidRPr="00605771">
        <w:t xml:space="preserve">elle devait se présenter devant lui le 29 février 2008 afin de se défendre </w:t>
      </w:r>
      <w:r w:rsidR="00FB58BC" w:rsidRPr="00605771">
        <w:t>au sujet des</w:t>
      </w:r>
      <w:r w:rsidRPr="00605771">
        <w:t xml:space="preserve"> actes incriminés.</w:t>
      </w:r>
    </w:p>
    <w:bookmarkStart w:id="11" w:name="rechercheNM2"/>
    <w:p w:rsidR="002C7F5B" w:rsidRPr="00605771" w:rsidRDefault="000A09A3"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49</w:t>
      </w:r>
      <w:r w:rsidRPr="00605771">
        <w:fldChar w:fldCharType="end"/>
      </w:r>
      <w:bookmarkEnd w:id="11"/>
      <w:r w:rsidRPr="00605771">
        <w:t>.  </w:t>
      </w:r>
      <w:r w:rsidR="000C45A4" w:rsidRPr="00605771">
        <w:t>Peu après (le</w:t>
      </w:r>
      <w:r w:rsidR="00075A2F" w:rsidRPr="00605771">
        <w:t>s</w:t>
      </w:r>
      <w:r w:rsidRPr="00605771">
        <w:t xml:space="preserve"> 27 et 29 février 2008</w:t>
      </w:r>
      <w:r w:rsidR="000C45A4" w:rsidRPr="00605771">
        <w:t>)</w:t>
      </w:r>
      <w:r w:rsidRPr="00605771">
        <w:t>, deux policiers</w:t>
      </w:r>
      <w:r w:rsidR="000C45A4" w:rsidRPr="00605771">
        <w:t>,</w:t>
      </w:r>
      <w:r w:rsidRPr="00605771">
        <w:t xml:space="preserve"> </w:t>
      </w:r>
      <w:r w:rsidR="00DB5257" w:rsidRPr="00605771">
        <w:t xml:space="preserve">rattachés </w:t>
      </w:r>
      <w:r w:rsidR="000C45A4" w:rsidRPr="00605771">
        <w:t>l</w:t>
      </w:r>
      <w:r w:rsidR="00605771" w:rsidRPr="00605771">
        <w:t>’</w:t>
      </w:r>
      <w:r w:rsidR="000C45A4" w:rsidRPr="00605771">
        <w:t>un au</w:t>
      </w:r>
      <w:r w:rsidRPr="00605771">
        <w:t xml:space="preserve"> commissariat de police de Nea Smyrni et </w:t>
      </w:r>
      <w:r w:rsidR="000C45A4" w:rsidRPr="00605771">
        <w:t>l</w:t>
      </w:r>
      <w:r w:rsidR="00605771" w:rsidRPr="00605771">
        <w:t>’</w:t>
      </w:r>
      <w:r w:rsidR="000C45A4" w:rsidRPr="00605771">
        <w:t xml:space="preserve">autre à celui </w:t>
      </w:r>
      <w:r w:rsidRPr="00605771">
        <w:t>de Neos Kosmos</w:t>
      </w:r>
      <w:r w:rsidR="000C45A4" w:rsidRPr="00605771">
        <w:t>,</w:t>
      </w:r>
      <w:r w:rsidRPr="00605771">
        <w:t xml:space="preserve"> attestèrent qu</w:t>
      </w:r>
      <w:r w:rsidR="00605771" w:rsidRPr="00605771">
        <w:t>’</w:t>
      </w:r>
      <w:r w:rsidR="00DB5257" w:rsidRPr="00605771">
        <w:t xml:space="preserve">il avait été constaté, </w:t>
      </w:r>
      <w:r w:rsidRPr="00605771">
        <w:t xml:space="preserve">après vérification, que N.M. était « inconnue » aux deux adresses </w:t>
      </w:r>
      <w:r w:rsidR="00075A2F" w:rsidRPr="00605771">
        <w:t xml:space="preserve">dont les autorités de police </w:t>
      </w:r>
      <w:r w:rsidRPr="00605771">
        <w:t>dispo</w:t>
      </w:r>
      <w:r w:rsidR="00075A2F" w:rsidRPr="00605771">
        <w:t>saient</w:t>
      </w:r>
      <w:r w:rsidRPr="00605771">
        <w:t>.</w:t>
      </w:r>
    </w:p>
    <w:p w:rsidR="0071679F" w:rsidRPr="00605771" w:rsidRDefault="0071679F"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50</w:t>
      </w:r>
      <w:r w:rsidRPr="00605771">
        <w:fldChar w:fldCharType="end"/>
      </w:r>
      <w:r w:rsidRPr="00605771">
        <w:t>.  Le 30 avril 2008,  la juge d</w:t>
      </w:r>
      <w:r w:rsidR="00605771" w:rsidRPr="00605771">
        <w:t>’</w:t>
      </w:r>
      <w:r w:rsidRPr="00605771">
        <w:t xml:space="preserve">instruction </w:t>
      </w:r>
      <w:r w:rsidR="00D649AB" w:rsidRPr="00605771">
        <w:t xml:space="preserve">compétente </w:t>
      </w:r>
      <w:r w:rsidRPr="00605771">
        <w:t xml:space="preserve">imposa </w:t>
      </w:r>
      <w:r w:rsidR="004E2C07" w:rsidRPr="00605771">
        <w:t xml:space="preserve">à </w:t>
      </w:r>
      <w:r w:rsidRPr="00605771">
        <w:t>A.A.</w:t>
      </w:r>
      <w:r w:rsidR="004E2C07" w:rsidRPr="00605771">
        <w:t xml:space="preserve"> d</w:t>
      </w:r>
      <w:r w:rsidRPr="00605771">
        <w:t xml:space="preserve">es mesures préventives de comparution devant le commissariat de police de son lieu de résidence et </w:t>
      </w:r>
      <w:r w:rsidR="004E2C07" w:rsidRPr="00605771">
        <w:t xml:space="preserve">une </w:t>
      </w:r>
      <w:r w:rsidRPr="00605771">
        <w:t>interdiction de quitter le territoire (ordonnance n</w:t>
      </w:r>
      <w:r w:rsidRPr="00605771">
        <w:rPr>
          <w:vertAlign w:val="superscript"/>
        </w:rPr>
        <w:t xml:space="preserve">o </w:t>
      </w:r>
      <w:r w:rsidRPr="00605771">
        <w:t>32/2008).</w:t>
      </w:r>
    </w:p>
    <w:p w:rsidR="006534DE" w:rsidRPr="00605771" w:rsidRDefault="006534DE"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51</w:t>
      </w:r>
      <w:r w:rsidRPr="00605771">
        <w:fldChar w:fldCharType="end"/>
      </w:r>
      <w:r w:rsidRPr="00605771">
        <w:t>.  Le 9 mai 2008, le juge d</w:t>
      </w:r>
      <w:r w:rsidR="00605771" w:rsidRPr="00605771">
        <w:t>’</w:t>
      </w:r>
      <w:r w:rsidRPr="00605771">
        <w:t xml:space="preserve">instruction </w:t>
      </w:r>
      <w:r w:rsidR="00D649AB" w:rsidRPr="00605771">
        <w:t xml:space="preserve">compétent </w:t>
      </w:r>
      <w:r w:rsidR="008F7820" w:rsidRPr="00605771">
        <w:t>ordonna l</w:t>
      </w:r>
      <w:r w:rsidR="00605771" w:rsidRPr="00605771">
        <w:t>’</w:t>
      </w:r>
      <w:r w:rsidR="008F7820" w:rsidRPr="00605771">
        <w:t xml:space="preserve">arrestation </w:t>
      </w:r>
      <w:r w:rsidR="00751AD5" w:rsidRPr="00605771">
        <w:t>de</w:t>
      </w:r>
      <w:r w:rsidRPr="00605771">
        <w:t xml:space="preserve"> N.M. (ordonnance n</w:t>
      </w:r>
      <w:r w:rsidRPr="00605771">
        <w:rPr>
          <w:vertAlign w:val="superscript"/>
        </w:rPr>
        <w:t>o</w:t>
      </w:r>
      <w:r w:rsidRPr="00605771">
        <w:t xml:space="preserve"> 25/2008).</w:t>
      </w:r>
    </w:p>
    <w:p w:rsidR="006534DE" w:rsidRPr="00605771" w:rsidRDefault="006534DE"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52</w:t>
      </w:r>
      <w:r w:rsidRPr="00605771">
        <w:fldChar w:fldCharType="end"/>
      </w:r>
      <w:r w:rsidRPr="00605771">
        <w:t>.  Le 5 juin 2008, la chambre d</w:t>
      </w:r>
      <w:r w:rsidR="00605771" w:rsidRPr="00605771">
        <w:t>’</w:t>
      </w:r>
      <w:r w:rsidRPr="00605771">
        <w:t>accusation du tribunal correctionnel d</w:t>
      </w:r>
      <w:r w:rsidR="00605771" w:rsidRPr="00605771">
        <w:t>’</w:t>
      </w:r>
      <w:r w:rsidRPr="00605771">
        <w:t>Athènes confirma les mesures restrictives imposées à A.A. (ordonnance</w:t>
      </w:r>
      <w:r w:rsidR="004E2C07" w:rsidRPr="00605771">
        <w:t> </w:t>
      </w:r>
      <w:r w:rsidRPr="00605771">
        <w:t>n</w:t>
      </w:r>
      <w:r w:rsidRPr="00605771">
        <w:rPr>
          <w:vertAlign w:val="superscript"/>
        </w:rPr>
        <w:t>o</w:t>
      </w:r>
      <w:r w:rsidRPr="00605771">
        <w:t xml:space="preserve"> 1877/2008).</w:t>
      </w:r>
    </w:p>
    <w:p w:rsidR="002C7F5B" w:rsidRPr="00605771" w:rsidRDefault="001F56E3"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53</w:t>
      </w:r>
      <w:r w:rsidRPr="00605771">
        <w:fldChar w:fldCharType="end"/>
      </w:r>
      <w:r w:rsidRPr="00605771">
        <w:t>.  </w:t>
      </w:r>
      <w:r w:rsidR="006534DE" w:rsidRPr="00605771">
        <w:t xml:space="preserve">Les 19 et 20 juin 2008, la </w:t>
      </w:r>
      <w:r w:rsidR="007227AB" w:rsidRPr="00605771">
        <w:t>deuxième</w:t>
      </w:r>
      <w:r w:rsidR="006534DE" w:rsidRPr="00605771">
        <w:t xml:space="preserve"> requérante reconnu</w:t>
      </w:r>
      <w:r w:rsidR="007227AB" w:rsidRPr="00605771">
        <w:t>t</w:t>
      </w:r>
      <w:r w:rsidR="006534DE" w:rsidRPr="00605771">
        <w:t xml:space="preserve"> A.A. comme complice de P.F. et elle </w:t>
      </w:r>
      <w:r w:rsidR="007227AB" w:rsidRPr="00605771">
        <w:t xml:space="preserve">fit part de </w:t>
      </w:r>
      <w:r w:rsidR="006534DE" w:rsidRPr="00605771">
        <w:t>son intention de se constituer partie civile.</w:t>
      </w:r>
    </w:p>
    <w:p w:rsidR="00362DA2" w:rsidRPr="00605771" w:rsidRDefault="00362DA2"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54</w:t>
      </w:r>
      <w:r w:rsidRPr="00605771">
        <w:fldChar w:fldCharType="end"/>
      </w:r>
      <w:r w:rsidRPr="00605771">
        <w:t>.  Le 17 novembre 2008, la juge d</w:t>
      </w:r>
      <w:r w:rsidR="00605771" w:rsidRPr="00605771">
        <w:t>’</w:t>
      </w:r>
      <w:r w:rsidRPr="00605771">
        <w:t>instruction</w:t>
      </w:r>
      <w:r w:rsidR="00F614C5" w:rsidRPr="00605771">
        <w:t xml:space="preserve"> </w:t>
      </w:r>
      <w:r w:rsidR="00BB4273" w:rsidRPr="00605771">
        <w:t xml:space="preserve">compétente </w:t>
      </w:r>
      <w:r w:rsidRPr="00605771">
        <w:t xml:space="preserve">imposa à P.F. </w:t>
      </w:r>
      <w:r w:rsidR="007227AB" w:rsidRPr="00605771">
        <w:t>d</w:t>
      </w:r>
      <w:r w:rsidRPr="00605771">
        <w:t xml:space="preserve">es mesures préventives de comparution devant le commissariat de police de son lieu de résidence et </w:t>
      </w:r>
      <w:r w:rsidR="007227AB" w:rsidRPr="00605771">
        <w:t xml:space="preserve">une </w:t>
      </w:r>
      <w:r w:rsidRPr="00605771">
        <w:t>interdiction de quitter le territoire (ordonnance</w:t>
      </w:r>
      <w:r w:rsidR="007227AB" w:rsidRPr="00605771">
        <w:t> </w:t>
      </w:r>
      <w:r w:rsidRPr="00605771">
        <w:t>n</w:t>
      </w:r>
      <w:r w:rsidRPr="00605771">
        <w:rPr>
          <w:vertAlign w:val="superscript"/>
        </w:rPr>
        <w:t>o</w:t>
      </w:r>
      <w:r w:rsidRPr="00605771">
        <w:t xml:space="preserve"> 59/2008).</w:t>
      </w:r>
    </w:p>
    <w:p w:rsidR="003B230F" w:rsidRPr="00605771" w:rsidRDefault="003B230F"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55</w:t>
      </w:r>
      <w:r w:rsidRPr="00605771">
        <w:fldChar w:fldCharType="end"/>
      </w:r>
      <w:r w:rsidRPr="00605771">
        <w:t xml:space="preserve">.  Le 10 juillet 2009, </w:t>
      </w:r>
      <w:r w:rsidR="002A29BF" w:rsidRPr="00605771">
        <w:t>par</w:t>
      </w:r>
      <w:r w:rsidRPr="00605771">
        <w:t xml:space="preserve"> l</w:t>
      </w:r>
      <w:r w:rsidR="00605771" w:rsidRPr="00605771">
        <w:t>’</w:t>
      </w:r>
      <w:r w:rsidRPr="00605771">
        <w:t>ordonnance n</w:t>
      </w:r>
      <w:r w:rsidRPr="00605771">
        <w:rPr>
          <w:vertAlign w:val="superscript"/>
        </w:rPr>
        <w:t>o</w:t>
      </w:r>
      <w:r w:rsidR="007F50AE" w:rsidRPr="00605771">
        <w:t> </w:t>
      </w:r>
      <w:r w:rsidRPr="00605771">
        <w:t>1341/2009, la chambre d</w:t>
      </w:r>
      <w:r w:rsidR="00605771" w:rsidRPr="00605771">
        <w:t>’</w:t>
      </w:r>
      <w:r w:rsidRPr="00605771">
        <w:t>accusation de la cour d</w:t>
      </w:r>
      <w:r w:rsidR="00605771" w:rsidRPr="00605771">
        <w:t>’</w:t>
      </w:r>
      <w:r w:rsidRPr="00605771">
        <w:t>appel d</w:t>
      </w:r>
      <w:r w:rsidR="00605771" w:rsidRPr="00605771">
        <w:t>’</w:t>
      </w:r>
      <w:r w:rsidRPr="00605771">
        <w:t>Athènes renvoya N.M., P.F. et A.A. en jugement pour les crimes</w:t>
      </w:r>
      <w:r w:rsidR="007F50AE" w:rsidRPr="00605771">
        <w:t xml:space="preserve">, </w:t>
      </w:r>
      <w:r w:rsidR="00E0449D" w:rsidRPr="00605771">
        <w:t>notamment</w:t>
      </w:r>
      <w:r w:rsidR="007F50AE" w:rsidRPr="00605771">
        <w:t xml:space="preserve">, </w:t>
      </w:r>
      <w:r w:rsidRPr="00605771">
        <w:t>de constitution d</w:t>
      </w:r>
      <w:r w:rsidR="00605771" w:rsidRPr="00605771">
        <w:t>’</w:t>
      </w:r>
      <w:r w:rsidRPr="00605771">
        <w:t>organisation criminell</w:t>
      </w:r>
      <w:r w:rsidR="001F56E3" w:rsidRPr="00605771">
        <w:t>e et de traite</w:t>
      </w:r>
      <w:r w:rsidR="002A29BF" w:rsidRPr="00605771">
        <w:t xml:space="preserve"> des êtres humains</w:t>
      </w:r>
      <w:r w:rsidRPr="00605771">
        <w:t>. Par la même ordonnance, la demande d</w:t>
      </w:r>
      <w:r w:rsidR="002A29BF" w:rsidRPr="00605771">
        <w:t xml:space="preserve">e </w:t>
      </w:r>
      <w:r w:rsidRPr="00605771">
        <w:t>levée de</w:t>
      </w:r>
      <w:r w:rsidR="00B25153" w:rsidRPr="00605771">
        <w:t xml:space="preserve"> la</w:t>
      </w:r>
      <w:r w:rsidRPr="00605771">
        <w:t xml:space="preserve"> mesure</w:t>
      </w:r>
      <w:r w:rsidR="00B25153" w:rsidRPr="00605771">
        <w:t xml:space="preserve"> d</w:t>
      </w:r>
      <w:r w:rsidR="00605771" w:rsidRPr="00605771">
        <w:t>’</w:t>
      </w:r>
      <w:r w:rsidR="00B25153" w:rsidRPr="00605771">
        <w:t>interdiction de quitter le territoire</w:t>
      </w:r>
      <w:r w:rsidRPr="00605771">
        <w:t xml:space="preserve"> </w:t>
      </w:r>
      <w:r w:rsidR="002A29BF" w:rsidRPr="00605771">
        <w:t xml:space="preserve">formulée par A.A. </w:t>
      </w:r>
      <w:r w:rsidRPr="00605771">
        <w:t xml:space="preserve">fut </w:t>
      </w:r>
      <w:r w:rsidR="001F56E3" w:rsidRPr="00605771">
        <w:t>rejetée</w:t>
      </w:r>
      <w:r w:rsidRPr="00605771">
        <w:t xml:space="preserve">. Les mesures préventives </w:t>
      </w:r>
      <w:r w:rsidR="007F50AE" w:rsidRPr="00605771">
        <w:t>imposées à</w:t>
      </w:r>
      <w:r w:rsidR="002A29BF" w:rsidRPr="00605771">
        <w:t xml:space="preserve"> </w:t>
      </w:r>
      <w:r w:rsidRPr="00605771">
        <w:t>A.A. et</w:t>
      </w:r>
      <w:r w:rsidR="002A29BF" w:rsidRPr="00605771">
        <w:t xml:space="preserve"> </w:t>
      </w:r>
      <w:r w:rsidRPr="00605771">
        <w:t xml:space="preserve">P.F. </w:t>
      </w:r>
      <w:r w:rsidR="007F50AE" w:rsidRPr="00605771">
        <w:t xml:space="preserve">par les </w:t>
      </w:r>
      <w:r w:rsidR="002A29BF" w:rsidRPr="00605771">
        <w:t>ordonnances n</w:t>
      </w:r>
      <w:r w:rsidR="002A29BF" w:rsidRPr="00605771">
        <w:rPr>
          <w:vertAlign w:val="superscript"/>
        </w:rPr>
        <w:t>os</w:t>
      </w:r>
      <w:r w:rsidR="002A29BF" w:rsidRPr="00605771">
        <w:t> 32/2008 et 59/2008 et</w:t>
      </w:r>
      <w:r w:rsidRPr="00605771">
        <w:t xml:space="preserve"> le mandat d</w:t>
      </w:r>
      <w:r w:rsidR="00605771" w:rsidRPr="00605771">
        <w:t>’</w:t>
      </w:r>
      <w:r w:rsidRPr="00605771">
        <w:t xml:space="preserve">arrêt </w:t>
      </w:r>
      <w:r w:rsidR="002A29BF" w:rsidRPr="00605771">
        <w:t>délivré à l</w:t>
      </w:r>
      <w:r w:rsidR="00605771" w:rsidRPr="00605771">
        <w:t>’</w:t>
      </w:r>
      <w:r w:rsidR="002A29BF" w:rsidRPr="00605771">
        <w:t xml:space="preserve">encontre </w:t>
      </w:r>
      <w:r w:rsidRPr="00605771">
        <w:t>de N.M. furent maintenus.</w:t>
      </w:r>
    </w:p>
    <w:p w:rsidR="00D036D3" w:rsidRPr="00605771" w:rsidRDefault="003B230F"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56</w:t>
      </w:r>
      <w:r w:rsidRPr="00605771">
        <w:fldChar w:fldCharType="end"/>
      </w:r>
      <w:r w:rsidRPr="00605771">
        <w:t>.  </w:t>
      </w:r>
      <w:r w:rsidR="00DE011B" w:rsidRPr="00605771">
        <w:t>D</w:t>
      </w:r>
      <w:r w:rsidR="00605771" w:rsidRPr="00605771">
        <w:t>’</w:t>
      </w:r>
      <w:r w:rsidR="00DE011B" w:rsidRPr="00605771">
        <w:t>après l</w:t>
      </w:r>
      <w:r w:rsidRPr="00605771">
        <w:t>e Gouvernement</w:t>
      </w:r>
      <w:r w:rsidR="00DE011B" w:rsidRPr="00605771">
        <w:t xml:space="preserve">, </w:t>
      </w:r>
      <w:r w:rsidRPr="00605771">
        <w:t xml:space="preserve">les autorités compétentes ont recherché les accusés </w:t>
      </w:r>
      <w:r w:rsidR="00DE011B" w:rsidRPr="00605771">
        <w:t>a</w:t>
      </w:r>
      <w:r w:rsidR="00D819DD" w:rsidRPr="00605771">
        <w:t>ux fins de la</w:t>
      </w:r>
      <w:r w:rsidR="00DE011B" w:rsidRPr="00605771">
        <w:t xml:space="preserve"> notifi</w:t>
      </w:r>
      <w:r w:rsidR="00D819DD" w:rsidRPr="00605771">
        <w:t xml:space="preserve">cation à </w:t>
      </w:r>
      <w:r w:rsidR="00DE011B" w:rsidRPr="00605771">
        <w:t xml:space="preserve">ceux-ci </w:t>
      </w:r>
      <w:r w:rsidR="00D819DD" w:rsidRPr="00605771">
        <w:t xml:space="preserve">de </w:t>
      </w:r>
      <w:r w:rsidRPr="00605771">
        <w:t>l</w:t>
      </w:r>
      <w:r w:rsidR="00605771" w:rsidRPr="00605771">
        <w:t>’</w:t>
      </w:r>
      <w:r w:rsidRPr="00605771">
        <w:t>ordonnance n</w:t>
      </w:r>
      <w:r w:rsidRPr="00605771">
        <w:rPr>
          <w:vertAlign w:val="superscript"/>
        </w:rPr>
        <w:t>o</w:t>
      </w:r>
      <w:r w:rsidR="00DE011B" w:rsidRPr="00605771">
        <w:t> </w:t>
      </w:r>
      <w:r w:rsidRPr="00605771">
        <w:t>1341/2009</w:t>
      </w:r>
      <w:r w:rsidR="00D036D3" w:rsidRPr="00605771">
        <w:t>.</w:t>
      </w:r>
    </w:p>
    <w:p w:rsidR="002C7F5B" w:rsidRPr="00605771" w:rsidRDefault="00D036D3" w:rsidP="00605771">
      <w:pPr>
        <w:pStyle w:val="JuPara"/>
      </w:pPr>
      <w:r w:rsidRPr="00605771">
        <w:t>S</w:t>
      </w:r>
      <w:r w:rsidR="00605771" w:rsidRPr="00605771">
        <w:t>’</w:t>
      </w:r>
      <w:r w:rsidR="00D819DD" w:rsidRPr="00605771">
        <w:t xml:space="preserve">agissant de N.M., </w:t>
      </w:r>
      <w:r w:rsidRPr="00605771">
        <w:t>il fut procédé à la notification de l</w:t>
      </w:r>
      <w:r w:rsidR="00605771" w:rsidRPr="00605771">
        <w:t>’</w:t>
      </w:r>
      <w:r w:rsidRPr="00605771">
        <w:t xml:space="preserve">ordonnance selon </w:t>
      </w:r>
      <w:r w:rsidR="00D819DD" w:rsidRPr="00605771">
        <w:t>la procédure prévue par les</w:t>
      </w:r>
      <w:r w:rsidR="003B230F" w:rsidRPr="00605771">
        <w:t xml:space="preserve"> dispositions concernant les personnes de domicile inconnu</w:t>
      </w:r>
      <w:r w:rsidR="00C85897" w:rsidRPr="00605771">
        <w:t>.</w:t>
      </w:r>
    </w:p>
    <w:p w:rsidR="002C7F5B" w:rsidRPr="00605771" w:rsidRDefault="003B230F"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57</w:t>
      </w:r>
      <w:r w:rsidRPr="00605771">
        <w:fldChar w:fldCharType="end"/>
      </w:r>
      <w:r w:rsidRPr="00605771">
        <w:t>.  </w:t>
      </w:r>
      <w:r w:rsidR="00EF5B5B" w:rsidRPr="00605771">
        <w:t xml:space="preserve">Le 20 octobre 2009, </w:t>
      </w:r>
      <w:r w:rsidR="002A29BF" w:rsidRPr="00605771">
        <w:t>par</w:t>
      </w:r>
      <w:r w:rsidRPr="00605771">
        <w:t xml:space="preserve"> l</w:t>
      </w:r>
      <w:r w:rsidR="00605771" w:rsidRPr="00605771">
        <w:t>’</w:t>
      </w:r>
      <w:r w:rsidRPr="00605771">
        <w:t>ordonnance n</w:t>
      </w:r>
      <w:r w:rsidRPr="00605771">
        <w:rPr>
          <w:vertAlign w:val="superscript"/>
        </w:rPr>
        <w:t>o</w:t>
      </w:r>
      <w:r w:rsidR="0074047C" w:rsidRPr="00605771">
        <w:t xml:space="preserve"> 295</w:t>
      </w:r>
      <w:r w:rsidRPr="00605771">
        <w:t>/09</w:t>
      </w:r>
      <w:r w:rsidR="00E01021" w:rsidRPr="00605771">
        <w:t>, le</w:t>
      </w:r>
      <w:r w:rsidRPr="00605771">
        <w:t xml:space="preserve"> procureur </w:t>
      </w:r>
      <w:r w:rsidR="00BB1CC8" w:rsidRPr="00605771">
        <w:t>près</w:t>
      </w:r>
      <w:r w:rsidRPr="00605771">
        <w:t xml:space="preserve"> la cour d</w:t>
      </w:r>
      <w:r w:rsidR="00605771" w:rsidRPr="00605771">
        <w:t>’</w:t>
      </w:r>
      <w:r w:rsidRPr="00605771">
        <w:t>appel d</w:t>
      </w:r>
      <w:r w:rsidR="00605771" w:rsidRPr="00605771">
        <w:t>’</w:t>
      </w:r>
      <w:r w:rsidRPr="00605771">
        <w:t>Athènes</w:t>
      </w:r>
      <w:r w:rsidR="00E01021" w:rsidRPr="00605771">
        <w:t xml:space="preserve"> décida de suspendre le</w:t>
      </w:r>
      <w:r w:rsidRPr="00605771">
        <w:t xml:space="preserve"> procès </w:t>
      </w:r>
      <w:r w:rsidR="00E01021" w:rsidRPr="00605771">
        <w:t xml:space="preserve">mené devant cette </w:t>
      </w:r>
      <w:r w:rsidR="00315D1F" w:rsidRPr="00605771">
        <w:t>juridiction</w:t>
      </w:r>
      <w:r w:rsidR="00E01021" w:rsidRPr="00605771">
        <w:t xml:space="preserve"> </w:t>
      </w:r>
      <w:r w:rsidRPr="00605771">
        <w:t>contre N.M.</w:t>
      </w:r>
      <w:r w:rsidR="00E01021" w:rsidRPr="00605771">
        <w:t>, en raison du fait que</w:t>
      </w:r>
      <w:r w:rsidRPr="00605771">
        <w:t xml:space="preserve"> l</w:t>
      </w:r>
      <w:r w:rsidR="00605771" w:rsidRPr="00605771">
        <w:t>’</w:t>
      </w:r>
      <w:r w:rsidRPr="00605771">
        <w:t>accusée n</w:t>
      </w:r>
      <w:r w:rsidR="00605771" w:rsidRPr="00605771">
        <w:t>’</w:t>
      </w:r>
      <w:r w:rsidRPr="00605771">
        <w:t>a</w:t>
      </w:r>
      <w:r w:rsidR="00E01021" w:rsidRPr="00605771">
        <w:t>vait</w:t>
      </w:r>
      <w:r w:rsidRPr="00605771">
        <w:t xml:space="preserve"> pas été retrouvée.</w:t>
      </w:r>
    </w:p>
    <w:p w:rsidR="002C7F5B" w:rsidRPr="00605771" w:rsidRDefault="009C644B" w:rsidP="00605771">
      <w:pPr>
        <w:pStyle w:val="JuPara"/>
      </w:pPr>
      <w:r w:rsidRPr="00605771">
        <w:lastRenderedPageBreak/>
        <w:fldChar w:fldCharType="begin"/>
      </w:r>
      <w:r w:rsidRPr="00605771">
        <w:instrText xml:space="preserve"> SEQ level0 \*arabic </w:instrText>
      </w:r>
      <w:r w:rsidRPr="00605771">
        <w:fldChar w:fldCharType="separate"/>
      </w:r>
      <w:r w:rsidR="00605771" w:rsidRPr="00605771">
        <w:rPr>
          <w:noProof/>
        </w:rPr>
        <w:t>58</w:t>
      </w:r>
      <w:r w:rsidRPr="00605771">
        <w:fldChar w:fldCharType="end"/>
      </w:r>
      <w:r w:rsidR="00F724AD" w:rsidRPr="00605771">
        <w:t>.  </w:t>
      </w:r>
      <w:r w:rsidR="00E01021" w:rsidRPr="00605771">
        <w:t>Après</w:t>
      </w:r>
      <w:r w:rsidR="00763B2B" w:rsidRPr="00605771">
        <w:t xml:space="preserve"> quatre ajournements, l</w:t>
      </w:r>
      <w:r w:rsidRPr="00605771">
        <w:t xml:space="preserve">e procès </w:t>
      </w:r>
      <w:r w:rsidR="00E01021" w:rsidRPr="00605771">
        <w:t>relatif aux</w:t>
      </w:r>
      <w:r w:rsidR="00D47AC4" w:rsidRPr="00605771">
        <w:t xml:space="preserve"> délits (notamment de faux et d</w:t>
      </w:r>
      <w:r w:rsidR="00605771" w:rsidRPr="00605771">
        <w:t>’</w:t>
      </w:r>
      <w:r w:rsidR="00D47AC4" w:rsidRPr="00605771">
        <w:t>usage de faux, d</w:t>
      </w:r>
      <w:r w:rsidR="00605771" w:rsidRPr="00605771">
        <w:t>’</w:t>
      </w:r>
      <w:r w:rsidR="00D47AC4" w:rsidRPr="00605771">
        <w:t>extorsion, de séquestration, d</w:t>
      </w:r>
      <w:r w:rsidR="00FA18F2" w:rsidRPr="00605771">
        <w:t xml:space="preserve">e </w:t>
      </w:r>
      <w:r w:rsidR="00D47AC4" w:rsidRPr="00605771">
        <w:t>tentat</w:t>
      </w:r>
      <w:r w:rsidR="00FA18F2" w:rsidRPr="00605771">
        <w:t>ive</w:t>
      </w:r>
      <w:r w:rsidR="00D47AC4" w:rsidRPr="00605771">
        <w:t xml:space="preserve"> de violences, de falsification de certificats et de port d</w:t>
      </w:r>
      <w:r w:rsidR="00605771" w:rsidRPr="00605771">
        <w:t>’</w:t>
      </w:r>
      <w:r w:rsidR="00D47AC4" w:rsidRPr="00605771">
        <w:t>armes)</w:t>
      </w:r>
      <w:r w:rsidR="006206A0" w:rsidRPr="00605771">
        <w:t xml:space="preserve"> </w:t>
      </w:r>
      <w:r w:rsidRPr="00605771">
        <w:t>eut lieu devant le tribunal correctionnel d</w:t>
      </w:r>
      <w:r w:rsidR="00605771" w:rsidRPr="00605771">
        <w:t>’</w:t>
      </w:r>
      <w:r w:rsidRPr="00605771">
        <w:t xml:space="preserve">Athènes le 16 mars 2010. La deuxième requérante </w:t>
      </w:r>
      <w:r w:rsidR="00E01021" w:rsidRPr="00605771">
        <w:t>fit part de</w:t>
      </w:r>
      <w:r w:rsidRPr="00605771">
        <w:t xml:space="preserve"> son intention de se constituer partie civile. Elle réclama 44 EUR à titre de dommages-intérêts.</w:t>
      </w:r>
    </w:p>
    <w:p w:rsidR="002C7F5B" w:rsidRPr="00605771" w:rsidRDefault="009C644B"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59</w:t>
      </w:r>
      <w:r w:rsidRPr="00605771">
        <w:fldChar w:fldCharType="end"/>
      </w:r>
      <w:r w:rsidRPr="00605771">
        <w:t>.  Le 19 mars 2010, le tribunal correctionnel d</w:t>
      </w:r>
      <w:r w:rsidR="00605771" w:rsidRPr="00605771">
        <w:t>’</w:t>
      </w:r>
      <w:r w:rsidRPr="00605771">
        <w:t xml:space="preserve">Athènes condamna N.M. à une peine </w:t>
      </w:r>
      <w:r w:rsidR="000C76E6" w:rsidRPr="00605771">
        <w:t>d</w:t>
      </w:r>
      <w:r w:rsidR="00605771" w:rsidRPr="00605771">
        <w:t>’</w:t>
      </w:r>
      <w:r w:rsidR="000C76E6" w:rsidRPr="00605771">
        <w:t xml:space="preserve">emprisonnement </w:t>
      </w:r>
      <w:r w:rsidRPr="00605771">
        <w:t>de deux ans et sept mois</w:t>
      </w:r>
      <w:r w:rsidR="00A23420" w:rsidRPr="00605771">
        <w:t>,</w:t>
      </w:r>
      <w:r w:rsidRPr="00605771">
        <w:t xml:space="preserve"> </w:t>
      </w:r>
      <w:r w:rsidR="006206A0" w:rsidRPr="00605771">
        <w:t xml:space="preserve">notamment </w:t>
      </w:r>
      <w:r w:rsidRPr="00605771">
        <w:t>pour faux</w:t>
      </w:r>
      <w:r w:rsidR="003247CE" w:rsidRPr="00605771">
        <w:t xml:space="preserve"> et usage de faux</w:t>
      </w:r>
      <w:r w:rsidRPr="00605771">
        <w:t>,</w:t>
      </w:r>
      <w:r w:rsidR="006206A0" w:rsidRPr="00605771">
        <w:t xml:space="preserve"> falsification de certificats et</w:t>
      </w:r>
      <w:r w:rsidRPr="00605771">
        <w:t xml:space="preserve"> séquestration</w:t>
      </w:r>
      <w:r w:rsidR="00A23420" w:rsidRPr="00605771">
        <w:t>, et il</w:t>
      </w:r>
      <w:r w:rsidRPr="00605771">
        <w:t xml:space="preserve"> condamna également P.F. à une peine </w:t>
      </w:r>
      <w:r w:rsidR="000C76E6" w:rsidRPr="00605771">
        <w:t>d</w:t>
      </w:r>
      <w:r w:rsidR="00605771" w:rsidRPr="00605771">
        <w:t>’</w:t>
      </w:r>
      <w:r w:rsidR="000C76E6" w:rsidRPr="00605771">
        <w:t xml:space="preserve">emprisonnement </w:t>
      </w:r>
      <w:r w:rsidRPr="00605771">
        <w:t>de trois ans et sept mois pour faux</w:t>
      </w:r>
      <w:r w:rsidR="00A23420" w:rsidRPr="00605771">
        <w:t xml:space="preserve"> et</w:t>
      </w:r>
      <w:r w:rsidR="003247CE" w:rsidRPr="00605771">
        <w:t xml:space="preserve"> usage de faux,</w:t>
      </w:r>
      <w:r w:rsidRPr="00605771">
        <w:t xml:space="preserve"> falsification de certificats, </w:t>
      </w:r>
      <w:r w:rsidR="006206A0" w:rsidRPr="00605771">
        <w:t xml:space="preserve">extorsion, </w:t>
      </w:r>
      <w:r w:rsidRPr="00605771">
        <w:t>tentat</w:t>
      </w:r>
      <w:r w:rsidR="00FA18F2" w:rsidRPr="00605771">
        <w:t>ive</w:t>
      </w:r>
      <w:r w:rsidRPr="00605771">
        <w:t xml:space="preserve"> de violences et port d</w:t>
      </w:r>
      <w:r w:rsidR="00605771" w:rsidRPr="00605771">
        <w:t>’</w:t>
      </w:r>
      <w:r w:rsidRPr="00605771">
        <w:t>armes (arrêt n</w:t>
      </w:r>
      <w:r w:rsidRPr="00605771">
        <w:rPr>
          <w:vertAlign w:val="superscript"/>
        </w:rPr>
        <w:t>o</w:t>
      </w:r>
      <w:r w:rsidR="003247CE" w:rsidRPr="00605771">
        <w:t xml:space="preserve"> 25018-26603/2010). Les peines imposées, </w:t>
      </w:r>
      <w:r w:rsidR="009D2371" w:rsidRPr="00605771">
        <w:t>non assorties de</w:t>
      </w:r>
      <w:r w:rsidR="003247CE" w:rsidRPr="00605771">
        <w:t xml:space="preserve"> sursis,</w:t>
      </w:r>
      <w:r w:rsidR="00B33C5F" w:rsidRPr="00605771">
        <w:t xml:space="preserve"> </w:t>
      </w:r>
      <w:r w:rsidR="00AF276A" w:rsidRPr="00605771">
        <w:t xml:space="preserve">furent </w:t>
      </w:r>
      <w:r w:rsidR="00234189" w:rsidRPr="00605771">
        <w:t>commuées</w:t>
      </w:r>
      <w:r w:rsidR="00AF276A" w:rsidRPr="00605771">
        <w:t xml:space="preserve"> en sanctions pécuniaires de 10 EUR par jour de détention. Le tribunal </w:t>
      </w:r>
      <w:r w:rsidR="00E9032A" w:rsidRPr="00605771">
        <w:t>acquitta A.A.</w:t>
      </w:r>
      <w:r w:rsidR="003C04D4" w:rsidRPr="00605771">
        <w:t xml:space="preserve"> et</w:t>
      </w:r>
      <w:r w:rsidR="00E9032A" w:rsidRPr="00605771">
        <w:t xml:space="preserve"> G.A.</w:t>
      </w:r>
      <w:r w:rsidR="009D2371" w:rsidRPr="00605771">
        <w:t>, et il conclut à l</w:t>
      </w:r>
      <w:r w:rsidR="00605771" w:rsidRPr="00605771">
        <w:t>’</w:t>
      </w:r>
      <w:r w:rsidR="009D2371" w:rsidRPr="00605771">
        <w:t xml:space="preserve">irrecevabilité de </w:t>
      </w:r>
      <w:r w:rsidR="00E9032A" w:rsidRPr="00605771">
        <w:t>l</w:t>
      </w:r>
      <w:r w:rsidR="00605771" w:rsidRPr="00605771">
        <w:t>’</w:t>
      </w:r>
      <w:r w:rsidR="00E9032A" w:rsidRPr="00605771">
        <w:t xml:space="preserve">audience </w:t>
      </w:r>
      <w:r w:rsidR="009361E1" w:rsidRPr="00605771">
        <w:t>(</w:t>
      </w:r>
      <w:r w:rsidR="009361E1" w:rsidRPr="00605771">
        <w:rPr>
          <w:i/>
          <w:lang w:val="el-GR"/>
        </w:rPr>
        <w:t>κηρύχθηκε</w:t>
      </w:r>
      <w:r w:rsidR="009361E1" w:rsidRPr="00605771">
        <w:rPr>
          <w:i/>
        </w:rPr>
        <w:t xml:space="preserve"> </w:t>
      </w:r>
      <w:r w:rsidR="009361E1" w:rsidRPr="00605771">
        <w:rPr>
          <w:i/>
          <w:lang w:val="el-GR"/>
        </w:rPr>
        <w:t>απαράδεκτη</w:t>
      </w:r>
      <w:r w:rsidR="009361E1" w:rsidRPr="00605771">
        <w:rPr>
          <w:i/>
        </w:rPr>
        <w:t xml:space="preserve"> </w:t>
      </w:r>
      <w:r w:rsidR="009361E1" w:rsidRPr="00605771">
        <w:rPr>
          <w:i/>
          <w:lang w:val="el-GR"/>
        </w:rPr>
        <w:t>η</w:t>
      </w:r>
      <w:r w:rsidR="009361E1" w:rsidRPr="00605771">
        <w:rPr>
          <w:i/>
        </w:rPr>
        <w:t xml:space="preserve"> </w:t>
      </w:r>
      <w:r w:rsidR="009361E1" w:rsidRPr="00605771">
        <w:rPr>
          <w:i/>
          <w:lang w:val="el-GR"/>
        </w:rPr>
        <w:t>συζήτηση</w:t>
      </w:r>
      <w:r w:rsidR="009361E1" w:rsidRPr="00605771">
        <w:t xml:space="preserve">) </w:t>
      </w:r>
      <w:r w:rsidR="009D2371" w:rsidRPr="00605771">
        <w:t>dans le chef de</w:t>
      </w:r>
      <w:r w:rsidR="00E9032A" w:rsidRPr="00605771">
        <w:t xml:space="preserve"> D.M. </w:t>
      </w:r>
      <w:r w:rsidR="003C04D4" w:rsidRPr="00605771">
        <w:t xml:space="preserve">Il </w:t>
      </w:r>
      <w:r w:rsidRPr="00605771">
        <w:t xml:space="preserve">condamna également </w:t>
      </w:r>
      <w:r w:rsidR="00B33C5F" w:rsidRPr="00605771">
        <w:t>N.M. et P.F.</w:t>
      </w:r>
      <w:r w:rsidRPr="00605771">
        <w:t xml:space="preserve"> </w:t>
      </w:r>
      <w:r w:rsidR="003247CE" w:rsidRPr="00605771">
        <w:t>à verser 44</w:t>
      </w:r>
      <w:r w:rsidR="003C04D4" w:rsidRPr="00605771">
        <w:t> </w:t>
      </w:r>
      <w:r w:rsidRPr="00605771">
        <w:t>EUR à la deuxième requérante.</w:t>
      </w:r>
    </w:p>
    <w:p w:rsidR="001658C0" w:rsidRPr="00605771" w:rsidRDefault="001658C0"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60</w:t>
      </w:r>
      <w:r w:rsidRPr="00605771">
        <w:fldChar w:fldCharType="end"/>
      </w:r>
      <w:r w:rsidRPr="00605771">
        <w:t xml:space="preserve">.  Le 28 juin 2012, le procureur </w:t>
      </w:r>
      <w:r w:rsidR="00BB1CC8" w:rsidRPr="00605771">
        <w:t>près</w:t>
      </w:r>
      <w:r w:rsidRPr="00605771">
        <w:t xml:space="preserve"> la cour d</w:t>
      </w:r>
      <w:r w:rsidR="00605771" w:rsidRPr="00605771">
        <w:t>’</w:t>
      </w:r>
      <w:r w:rsidRPr="00605771">
        <w:t>appel d</w:t>
      </w:r>
      <w:r w:rsidR="00605771" w:rsidRPr="00605771">
        <w:t>’</w:t>
      </w:r>
      <w:r w:rsidRPr="00605771">
        <w:t>Athènes</w:t>
      </w:r>
      <w:r w:rsidR="000A30E1" w:rsidRPr="00605771">
        <w:t xml:space="preserve"> ordonna à son tour l</w:t>
      </w:r>
      <w:r w:rsidR="00605771" w:rsidRPr="00605771">
        <w:t>’</w:t>
      </w:r>
      <w:r w:rsidR="000A30E1" w:rsidRPr="00605771">
        <w:t>arrestation de</w:t>
      </w:r>
      <w:r w:rsidRPr="00605771">
        <w:t xml:space="preserve"> N.M.</w:t>
      </w:r>
    </w:p>
    <w:p w:rsidR="002C7F5B" w:rsidRPr="00605771" w:rsidRDefault="001658C0"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61</w:t>
      </w:r>
      <w:r w:rsidRPr="00605771">
        <w:fldChar w:fldCharType="end"/>
      </w:r>
      <w:r w:rsidRPr="00605771">
        <w:t>. </w:t>
      </w:r>
      <w:r w:rsidR="00F724AD" w:rsidRPr="00605771">
        <w:t> </w:t>
      </w:r>
      <w:r w:rsidRPr="00605771">
        <w:t xml:space="preserve">Le 27 mars 2013, le procès </w:t>
      </w:r>
      <w:r w:rsidR="00004062" w:rsidRPr="00605771">
        <w:t xml:space="preserve">dirigé </w:t>
      </w:r>
      <w:r w:rsidR="00BE2D9A" w:rsidRPr="00605771">
        <w:t>contre P.F. et A.A. concernant les crimes d</w:t>
      </w:r>
      <w:r w:rsidR="00605771" w:rsidRPr="00605771">
        <w:t>’</w:t>
      </w:r>
      <w:r w:rsidR="00BE2D9A" w:rsidRPr="00605771">
        <w:t>organ</w:t>
      </w:r>
      <w:r w:rsidR="006206A0" w:rsidRPr="00605771">
        <w:t xml:space="preserve">isation criminelle et </w:t>
      </w:r>
      <w:r w:rsidR="00004062" w:rsidRPr="00605771">
        <w:t xml:space="preserve">de </w:t>
      </w:r>
      <w:r w:rsidR="00BE2D9A" w:rsidRPr="00605771">
        <w:t xml:space="preserve">traite </w:t>
      </w:r>
      <w:r w:rsidR="00004062" w:rsidRPr="00605771">
        <w:t xml:space="preserve">des êtres humains </w:t>
      </w:r>
      <w:r w:rsidRPr="00605771">
        <w:t>eut lieu devant la cour d</w:t>
      </w:r>
      <w:r w:rsidR="00605771" w:rsidRPr="00605771">
        <w:t>’</w:t>
      </w:r>
      <w:r w:rsidRPr="00605771">
        <w:t>appel criminelle d</w:t>
      </w:r>
      <w:r w:rsidR="00605771" w:rsidRPr="00605771">
        <w:t>’</w:t>
      </w:r>
      <w:r w:rsidRPr="00605771">
        <w:t>Athènes. La deuxième requérante déposa comme témoin</w:t>
      </w:r>
      <w:r w:rsidR="008609D8" w:rsidRPr="00605771">
        <w:t>.</w:t>
      </w:r>
      <w:r w:rsidR="002C0C00" w:rsidRPr="00605771">
        <w:t xml:space="preserve"> La </w:t>
      </w:r>
      <w:r w:rsidR="008609D8" w:rsidRPr="00605771">
        <w:t>cour d</w:t>
      </w:r>
      <w:r w:rsidR="00605771" w:rsidRPr="00605771">
        <w:t>’</w:t>
      </w:r>
      <w:r w:rsidR="008609D8" w:rsidRPr="00605771">
        <w:t>appel criminelle d</w:t>
      </w:r>
      <w:r w:rsidR="00605771" w:rsidRPr="00605771">
        <w:t>’</w:t>
      </w:r>
      <w:r w:rsidR="008609D8" w:rsidRPr="00605771">
        <w:t>Athènes acquitta P.F. et A.A. (arrêt n</w:t>
      </w:r>
      <w:r w:rsidR="008609D8" w:rsidRPr="00605771">
        <w:rPr>
          <w:vertAlign w:val="superscript"/>
        </w:rPr>
        <w:t>o</w:t>
      </w:r>
      <w:r w:rsidR="00004062" w:rsidRPr="00605771">
        <w:t> </w:t>
      </w:r>
      <w:r w:rsidR="008609D8" w:rsidRPr="00605771">
        <w:t>1700/2013).</w:t>
      </w:r>
    </w:p>
    <w:p w:rsidR="005C5D9F" w:rsidRPr="00605771" w:rsidRDefault="008609D8" w:rsidP="00605771">
      <w:pPr>
        <w:pStyle w:val="JuPara"/>
        <w:rPr>
          <w:b/>
        </w:rPr>
      </w:pPr>
      <w:r w:rsidRPr="00605771">
        <w:fldChar w:fldCharType="begin"/>
      </w:r>
      <w:r w:rsidRPr="00605771">
        <w:instrText xml:space="preserve"> SEQ level0 \*arabic </w:instrText>
      </w:r>
      <w:r w:rsidRPr="00605771">
        <w:fldChar w:fldCharType="separate"/>
      </w:r>
      <w:r w:rsidR="00605771" w:rsidRPr="00605771">
        <w:rPr>
          <w:noProof/>
        </w:rPr>
        <w:t>62</w:t>
      </w:r>
      <w:r w:rsidRPr="00605771">
        <w:fldChar w:fldCharType="end"/>
      </w:r>
      <w:r w:rsidRPr="00605771">
        <w:t xml:space="preserve">.  Il ressort du dossier que la deuxième requérante bénéficiait </w:t>
      </w:r>
      <w:r w:rsidR="00ED3721" w:rsidRPr="00605771">
        <w:t>jusqu</w:t>
      </w:r>
      <w:r w:rsidR="00605771" w:rsidRPr="00605771">
        <w:t>’</w:t>
      </w:r>
      <w:r w:rsidR="003C2867" w:rsidRPr="00605771">
        <w:t>au 31 </w:t>
      </w:r>
      <w:r w:rsidR="00ED3721" w:rsidRPr="00605771">
        <w:t xml:space="preserve">mai 2017 </w:t>
      </w:r>
      <w:r w:rsidRPr="00605771">
        <w:t>d</w:t>
      </w:r>
      <w:r w:rsidR="00605771" w:rsidRPr="00605771">
        <w:t>’</w:t>
      </w:r>
      <w:r w:rsidRPr="00605771">
        <w:t xml:space="preserve">un permis de séjour </w:t>
      </w:r>
      <w:r w:rsidR="00ED3721" w:rsidRPr="00605771">
        <w:t>délivré conformément aux</w:t>
      </w:r>
      <w:r w:rsidRPr="00605771">
        <w:t xml:space="preserve"> dispositions du droit interne accordant une protection aux victimes de </w:t>
      </w:r>
      <w:r w:rsidR="00B0167F" w:rsidRPr="00605771">
        <w:t xml:space="preserve">la </w:t>
      </w:r>
      <w:r w:rsidRPr="00605771">
        <w:t xml:space="preserve">traite des êtres humains. </w:t>
      </w:r>
      <w:r w:rsidR="00ED3721" w:rsidRPr="00605771">
        <w:t>Il en ressort aussi que l</w:t>
      </w:r>
      <w:r w:rsidRPr="00605771">
        <w:t xml:space="preserve">a première </w:t>
      </w:r>
      <w:r w:rsidR="006206A0" w:rsidRPr="00605771">
        <w:t>requérante bénéficiai</w:t>
      </w:r>
      <w:r w:rsidRPr="00605771">
        <w:t>t d</w:t>
      </w:r>
      <w:r w:rsidR="00605771" w:rsidRPr="00605771">
        <w:t>’</w:t>
      </w:r>
      <w:r w:rsidR="006206A0" w:rsidRPr="00605771">
        <w:t>un</w:t>
      </w:r>
      <w:r w:rsidRPr="00605771">
        <w:t xml:space="preserve"> permis de </w:t>
      </w:r>
      <w:r w:rsidR="006206A0" w:rsidRPr="00605771">
        <w:t>séjour d</w:t>
      </w:r>
      <w:r w:rsidR="00ED3721" w:rsidRPr="00605771">
        <w:t>u même</w:t>
      </w:r>
      <w:r w:rsidR="006206A0" w:rsidRPr="00605771">
        <w:t xml:space="preserve"> type</w:t>
      </w:r>
      <w:r w:rsidR="00D573BA" w:rsidRPr="00605771">
        <w:t xml:space="preserve"> jusqu</w:t>
      </w:r>
      <w:r w:rsidR="00605771" w:rsidRPr="00605771">
        <w:t>’</w:t>
      </w:r>
      <w:r w:rsidR="00D573BA" w:rsidRPr="00605771">
        <w:t>à l</w:t>
      </w:r>
      <w:r w:rsidR="00605771" w:rsidRPr="00605771">
        <w:t>’</w:t>
      </w:r>
      <w:r w:rsidR="00D573BA" w:rsidRPr="00605771">
        <w:t>obtention par elle, en 2010, d</w:t>
      </w:r>
      <w:r w:rsidR="00605771" w:rsidRPr="00605771">
        <w:t>’</w:t>
      </w:r>
      <w:r w:rsidR="00D573BA" w:rsidRPr="00605771">
        <w:t>un</w:t>
      </w:r>
      <w:r w:rsidRPr="00605771">
        <w:t xml:space="preserve"> permis de séjour </w:t>
      </w:r>
      <w:r w:rsidR="00ED3721" w:rsidRPr="00605771">
        <w:t>en tant que</w:t>
      </w:r>
      <w:r w:rsidRPr="00605771">
        <w:t xml:space="preserve"> conjointe </w:t>
      </w:r>
      <w:r w:rsidR="006206A0" w:rsidRPr="00605771">
        <w:t>d</w:t>
      </w:r>
      <w:r w:rsidR="00605771" w:rsidRPr="00605771">
        <w:t>’</w:t>
      </w:r>
      <w:r w:rsidR="006206A0" w:rsidRPr="00605771">
        <w:t>un</w:t>
      </w:r>
      <w:r w:rsidRPr="00605771">
        <w:t xml:space="preserve"> citoyen grec.</w:t>
      </w:r>
    </w:p>
    <w:p w:rsidR="002C7F5B" w:rsidRPr="00605771" w:rsidRDefault="00DB1446" w:rsidP="00605771">
      <w:pPr>
        <w:pStyle w:val="JuHA"/>
      </w:pPr>
      <w:r w:rsidRPr="00605771">
        <w:t xml:space="preserve">Les procédures </w:t>
      </w:r>
      <w:r w:rsidR="00155686" w:rsidRPr="00605771">
        <w:t>portant sur</w:t>
      </w:r>
      <w:r w:rsidRPr="00605771">
        <w:t xml:space="preserve"> la délivrance</w:t>
      </w:r>
      <w:r w:rsidR="00155686" w:rsidRPr="00605771">
        <w:t>, par le consulat,</w:t>
      </w:r>
      <w:r w:rsidRPr="00605771">
        <w:t xml:space="preserve"> de visa</w:t>
      </w:r>
      <w:r w:rsidR="00CE58D4" w:rsidRPr="00605771">
        <w:t>s aux requérantes</w:t>
      </w:r>
    </w:p>
    <w:p w:rsidR="002C7F5B"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63</w:t>
      </w:r>
      <w:r w:rsidRPr="00605771">
        <w:fldChar w:fldCharType="end"/>
      </w:r>
      <w:r w:rsidRPr="00605771">
        <w:t>.  Le 16 mars 2005, le représentant du Moniteur grec Helsinki et les requérantes introd</w:t>
      </w:r>
      <w:r w:rsidR="00CE58D4" w:rsidRPr="00605771">
        <w:t>uisirent une demande auprès du c</w:t>
      </w:r>
      <w:r w:rsidRPr="00605771">
        <w:t xml:space="preserve">onsulat afin de recevoir </w:t>
      </w:r>
      <w:r w:rsidR="00431615" w:rsidRPr="00605771">
        <w:t>des</w:t>
      </w:r>
      <w:r w:rsidR="00ED3721" w:rsidRPr="00605771">
        <w:t xml:space="preserve"> </w:t>
      </w:r>
      <w:r w:rsidRPr="00605771">
        <w:t>copie</w:t>
      </w:r>
      <w:r w:rsidR="00431615" w:rsidRPr="00605771">
        <w:t>s</w:t>
      </w:r>
      <w:r w:rsidRPr="00605771">
        <w:t xml:space="preserve"> des documents ayant </w:t>
      </w:r>
      <w:r w:rsidR="00ED3721" w:rsidRPr="00605771">
        <w:t>permis</w:t>
      </w:r>
      <w:r w:rsidRPr="00605771">
        <w:t xml:space="preserve"> la délivrance des visas</w:t>
      </w:r>
      <w:r w:rsidR="00ED3721" w:rsidRPr="00605771">
        <w:t xml:space="preserve"> </w:t>
      </w:r>
      <w:r w:rsidR="00431615" w:rsidRPr="00605771">
        <w:t>aux intéressées</w:t>
      </w:r>
      <w:r w:rsidRPr="00605771">
        <w:t>.</w:t>
      </w:r>
    </w:p>
    <w:p w:rsidR="002C7F5B"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64</w:t>
      </w:r>
      <w:r w:rsidRPr="00605771">
        <w:fldChar w:fldCharType="end"/>
      </w:r>
      <w:r w:rsidR="00CE58D4" w:rsidRPr="00605771">
        <w:t>.  Le 14 avril 2005, le c</w:t>
      </w:r>
      <w:r w:rsidRPr="00605771">
        <w:t>onsulat envoya les copies demandées aux requérantes.</w:t>
      </w:r>
    </w:p>
    <w:p w:rsidR="002C7F5B"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65</w:t>
      </w:r>
      <w:r w:rsidRPr="00605771">
        <w:fldChar w:fldCharType="end"/>
      </w:r>
      <w:r w:rsidRPr="00605771">
        <w:t xml:space="preserve">.  Le 26 mai 2005, le Moniteur grec Helsinki porta </w:t>
      </w:r>
      <w:r w:rsidR="00431615" w:rsidRPr="00605771">
        <w:t xml:space="preserve">lesdits documents </w:t>
      </w:r>
      <w:r w:rsidRPr="00605771">
        <w:t>à la connaissance d</w:t>
      </w:r>
      <w:r w:rsidR="00187C99" w:rsidRPr="00605771">
        <w:t>e la</w:t>
      </w:r>
      <w:r w:rsidRPr="00605771">
        <w:t xml:space="preserve"> procureur</w:t>
      </w:r>
      <w:r w:rsidR="00187C99" w:rsidRPr="00605771">
        <w:t>e</w:t>
      </w:r>
      <w:r w:rsidRPr="00605771">
        <w:t xml:space="preserve"> </w:t>
      </w:r>
      <w:r w:rsidR="00210E7C" w:rsidRPr="00605771">
        <w:t xml:space="preserve">près le tribunal correctionnel </w:t>
      </w:r>
      <w:r w:rsidR="007A5981" w:rsidRPr="00605771">
        <w:t>compétent</w:t>
      </w:r>
      <w:r w:rsidR="00187C99" w:rsidRPr="00605771">
        <w:t>e</w:t>
      </w:r>
      <w:r w:rsidR="007A5981" w:rsidRPr="00605771">
        <w:t xml:space="preserve"> en matière de</w:t>
      </w:r>
      <w:r w:rsidRPr="00605771">
        <w:t xml:space="preserve"> traite des êtres humains. </w:t>
      </w:r>
      <w:r w:rsidR="0092410D" w:rsidRPr="00605771">
        <w:t>Il ressort de</w:t>
      </w:r>
      <w:r w:rsidR="000567CC" w:rsidRPr="00605771">
        <w:t>s informations communiquées audit procureur lors de</w:t>
      </w:r>
      <w:r w:rsidR="0092410D" w:rsidRPr="00605771">
        <w:t xml:space="preserve"> la transmission de ces documents </w:t>
      </w:r>
      <w:r w:rsidR="00816E15" w:rsidRPr="00605771">
        <w:lastRenderedPageBreak/>
        <w:t>que, d</w:t>
      </w:r>
      <w:r w:rsidR="00605771" w:rsidRPr="00605771">
        <w:t>’</w:t>
      </w:r>
      <w:r w:rsidR="00816E15" w:rsidRPr="00605771">
        <w:t>après les</w:t>
      </w:r>
      <w:r w:rsidRPr="00605771">
        <w:t xml:space="preserve"> requérantes</w:t>
      </w:r>
      <w:r w:rsidR="00816E15" w:rsidRPr="00605771">
        <w:t xml:space="preserve">, </w:t>
      </w:r>
      <w:r w:rsidRPr="00605771">
        <w:t>ce</w:t>
      </w:r>
      <w:r w:rsidR="00816E15" w:rsidRPr="00605771">
        <w:t>ux-ci</w:t>
      </w:r>
      <w:r w:rsidRPr="00605771">
        <w:t xml:space="preserve"> contenaient de fausses in</w:t>
      </w:r>
      <w:r w:rsidR="000567CC" w:rsidRPr="00605771">
        <w:t>dica</w:t>
      </w:r>
      <w:r w:rsidRPr="00605771">
        <w:t>tions ainsi que des faits</w:t>
      </w:r>
      <w:r w:rsidR="009F316F" w:rsidRPr="00605771">
        <w:t xml:space="preserve"> et éléments</w:t>
      </w:r>
      <w:r w:rsidRPr="00605771">
        <w:t xml:space="preserve"> dont elles n</w:t>
      </w:r>
      <w:r w:rsidR="00605771" w:rsidRPr="00605771">
        <w:t>’</w:t>
      </w:r>
      <w:r w:rsidRPr="00605771">
        <w:t>avaient pas connaissance</w:t>
      </w:r>
      <w:r w:rsidR="009F316F" w:rsidRPr="00605771">
        <w:t xml:space="preserve"> : entre autres, </w:t>
      </w:r>
      <w:r w:rsidR="00816E15" w:rsidRPr="00605771">
        <w:t>les intéressées</w:t>
      </w:r>
      <w:r w:rsidRPr="00605771">
        <w:t xml:space="preserve"> </w:t>
      </w:r>
      <w:r w:rsidR="000567CC" w:rsidRPr="00605771">
        <w:t>allégua</w:t>
      </w:r>
      <w:r w:rsidR="009F316F" w:rsidRPr="00605771">
        <w:t>ient ne pas connaître</w:t>
      </w:r>
      <w:r w:rsidRPr="00605771">
        <w:t xml:space="preserve"> les agences de voyage </w:t>
      </w:r>
      <w:r w:rsidR="009F316F" w:rsidRPr="00605771">
        <w:t>et</w:t>
      </w:r>
      <w:r w:rsidRPr="00605771">
        <w:t xml:space="preserve"> les hôtels mentionnés dans les demandes de visa</w:t>
      </w:r>
      <w:r w:rsidR="002739D3" w:rsidRPr="00605771">
        <w:t xml:space="preserve"> faites à leur nom</w:t>
      </w:r>
      <w:r w:rsidR="009F316F" w:rsidRPr="00605771">
        <w:t>, et elles</w:t>
      </w:r>
      <w:r w:rsidRPr="00605771">
        <w:t xml:space="preserve"> </w:t>
      </w:r>
      <w:r w:rsidR="009F316F" w:rsidRPr="00605771">
        <w:t>exposaient</w:t>
      </w:r>
      <w:r w:rsidRPr="00605771">
        <w:t xml:space="preserve"> que ces documents mentionnaient de fau</w:t>
      </w:r>
      <w:r w:rsidR="009F316F" w:rsidRPr="00605771">
        <w:t>x salaires et</w:t>
      </w:r>
      <w:r w:rsidRPr="00605771">
        <w:t xml:space="preserve"> professions et qu</w:t>
      </w:r>
      <w:r w:rsidR="00605771" w:rsidRPr="00605771">
        <w:t>’</w:t>
      </w:r>
      <w:r w:rsidR="009F316F" w:rsidRPr="00605771">
        <w:t>ils</w:t>
      </w:r>
      <w:r w:rsidRPr="00605771">
        <w:t xml:space="preserve"> ne portaient pas leur signature. </w:t>
      </w:r>
      <w:r w:rsidR="00816E15" w:rsidRPr="00605771">
        <w:t>Il en ressort e</w:t>
      </w:r>
      <w:r w:rsidR="009F316F" w:rsidRPr="00605771">
        <w:t>n outre</w:t>
      </w:r>
      <w:r w:rsidR="00816E15" w:rsidRPr="00605771">
        <w:t xml:space="preserve"> que </w:t>
      </w:r>
      <w:r w:rsidRPr="00605771">
        <w:t>des empl</w:t>
      </w:r>
      <w:r w:rsidR="004E7D62" w:rsidRPr="00605771">
        <w:t>oyés du c</w:t>
      </w:r>
      <w:r w:rsidRPr="00605771">
        <w:t xml:space="preserve">onsulat et des </w:t>
      </w:r>
      <w:r w:rsidR="009F316F" w:rsidRPr="00605771">
        <w:t>sociétés</w:t>
      </w:r>
      <w:r w:rsidRPr="00605771">
        <w:t xml:space="preserve"> impliquées </w:t>
      </w:r>
      <w:r w:rsidR="00816E15" w:rsidRPr="00605771">
        <w:t xml:space="preserve">étaient accusés par les requérantes </w:t>
      </w:r>
      <w:r w:rsidR="009F316F" w:rsidRPr="00605771">
        <w:t>d</w:t>
      </w:r>
      <w:r w:rsidR="00605771" w:rsidRPr="00605771">
        <w:t>’</w:t>
      </w:r>
      <w:r w:rsidR="009F316F" w:rsidRPr="00605771">
        <w:t>avoir</w:t>
      </w:r>
      <w:r w:rsidRPr="00605771">
        <w:t xml:space="preserve"> facilité leur transfert en Grèce. </w:t>
      </w:r>
      <w:r w:rsidR="000567CC" w:rsidRPr="00605771">
        <w:t>Aucune enquête ne fut ouverte par le</w:t>
      </w:r>
      <w:r w:rsidRPr="00605771">
        <w:t xml:space="preserve"> procureur sur les allégations en cause.</w:t>
      </w:r>
    </w:p>
    <w:p w:rsidR="002C7F5B"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66</w:t>
      </w:r>
      <w:r w:rsidRPr="00605771">
        <w:fldChar w:fldCharType="end"/>
      </w:r>
      <w:r w:rsidRPr="00605771">
        <w:t xml:space="preserve">.  Le 17 janvier 2006, le Moniteur grec Helsinki </w:t>
      </w:r>
      <w:r w:rsidR="00763455" w:rsidRPr="00605771">
        <w:t>demanda au</w:t>
      </w:r>
      <w:r w:rsidRPr="00605771">
        <w:t xml:space="preserve"> procureur près la Cour de cassation</w:t>
      </w:r>
      <w:r w:rsidR="00763455" w:rsidRPr="00605771">
        <w:t xml:space="preserve"> d</w:t>
      </w:r>
      <w:r w:rsidR="00605771" w:rsidRPr="00605771">
        <w:t>’</w:t>
      </w:r>
      <w:r w:rsidR="00763455" w:rsidRPr="00605771">
        <w:t>ordonner l</w:t>
      </w:r>
      <w:r w:rsidR="00605771" w:rsidRPr="00605771">
        <w:t>’</w:t>
      </w:r>
      <w:r w:rsidR="00763455" w:rsidRPr="00605771">
        <w:t>ouverture d</w:t>
      </w:r>
      <w:r w:rsidR="00605771" w:rsidRPr="00605771">
        <w:t>’</w:t>
      </w:r>
      <w:r w:rsidR="00763455" w:rsidRPr="00605771">
        <w:t xml:space="preserve">une information </w:t>
      </w:r>
      <w:r w:rsidR="00907391" w:rsidRPr="00605771">
        <w:t xml:space="preserve">judiciaire </w:t>
      </w:r>
      <w:r w:rsidR="00763455" w:rsidRPr="00605771">
        <w:t>sur les faits en cause. Il précisait, dans sa demande, que s</w:t>
      </w:r>
      <w:r w:rsidRPr="00605771">
        <w:t xml:space="preserve">es démarches </w:t>
      </w:r>
      <w:r w:rsidR="00FB5115" w:rsidRPr="00605771">
        <w:t>auprès d</w:t>
      </w:r>
      <w:r w:rsidR="00187C99" w:rsidRPr="00605771">
        <w:t>e la</w:t>
      </w:r>
      <w:r w:rsidRPr="00605771">
        <w:t xml:space="preserve"> procureur</w:t>
      </w:r>
      <w:r w:rsidR="00187C99" w:rsidRPr="00605771">
        <w:t>e</w:t>
      </w:r>
      <w:r w:rsidRPr="00605771">
        <w:t xml:space="preserve"> près le tribunal correctionnel </w:t>
      </w:r>
      <w:r w:rsidR="007A5981" w:rsidRPr="00605771">
        <w:t>compétent</w:t>
      </w:r>
      <w:r w:rsidR="00187C99" w:rsidRPr="00605771">
        <w:t>e</w:t>
      </w:r>
      <w:r w:rsidR="007A5981" w:rsidRPr="00605771">
        <w:t xml:space="preserve"> en matière </w:t>
      </w:r>
      <w:r w:rsidRPr="00605771">
        <w:t>de traite des êtres humains n</w:t>
      </w:r>
      <w:r w:rsidR="00605771" w:rsidRPr="00605771">
        <w:t>’</w:t>
      </w:r>
      <w:r w:rsidRPr="00605771">
        <w:t>a</w:t>
      </w:r>
      <w:r w:rsidR="00763455" w:rsidRPr="00605771">
        <w:t>vaient</w:t>
      </w:r>
      <w:r w:rsidRPr="00605771">
        <w:t xml:space="preserve"> pas abouti.</w:t>
      </w:r>
    </w:p>
    <w:p w:rsidR="002C7F5B"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67</w:t>
      </w:r>
      <w:r w:rsidRPr="00605771">
        <w:fldChar w:fldCharType="end"/>
      </w:r>
      <w:r w:rsidRPr="00605771">
        <w:t xml:space="preserve">.  Le 27 janvier 2006, </w:t>
      </w:r>
      <w:r w:rsidR="00907391" w:rsidRPr="00605771">
        <w:t xml:space="preserve">à la </w:t>
      </w:r>
      <w:r w:rsidRPr="00605771">
        <w:t xml:space="preserve">suite </w:t>
      </w:r>
      <w:r w:rsidR="00907391" w:rsidRPr="00605771">
        <w:t>de la parution d</w:t>
      </w:r>
      <w:r w:rsidR="00605771" w:rsidRPr="00605771">
        <w:t>’</w:t>
      </w:r>
      <w:r w:rsidRPr="00605771">
        <w:t>articles dans la presse grecque concernant la délivrance pré</w:t>
      </w:r>
      <w:r w:rsidR="00CE58D4" w:rsidRPr="00605771">
        <w:t>tendument illégale de visas</w:t>
      </w:r>
      <w:r w:rsidRPr="00605771">
        <w:t xml:space="preserve">, le </w:t>
      </w:r>
      <w:r w:rsidR="00907391" w:rsidRPr="00605771">
        <w:t>m</w:t>
      </w:r>
      <w:r w:rsidRPr="00605771">
        <w:t xml:space="preserve">inistère des </w:t>
      </w:r>
      <w:r w:rsidR="00907391" w:rsidRPr="00605771">
        <w:t>A</w:t>
      </w:r>
      <w:r w:rsidRPr="00605771">
        <w:t>ffaires étrangères publia un communiqué de presse</w:t>
      </w:r>
      <w:r w:rsidR="00DC071E" w:rsidRPr="00605771">
        <w:t xml:space="preserve"> dans lequel son</w:t>
      </w:r>
      <w:r w:rsidRPr="00605771">
        <w:t xml:space="preserve"> porte-parole </w:t>
      </w:r>
      <w:r w:rsidR="00F95F6A" w:rsidRPr="00605771">
        <w:t>déclar</w:t>
      </w:r>
      <w:r w:rsidRPr="00605771">
        <w:t>a</w:t>
      </w:r>
      <w:r w:rsidR="00DC071E" w:rsidRPr="00605771">
        <w:t>it</w:t>
      </w:r>
      <w:r w:rsidRPr="00605771">
        <w:t xml:space="preserve"> qu</w:t>
      </w:r>
      <w:r w:rsidR="00F95F6A" w:rsidRPr="00605771">
        <w:t>e le ministère n</w:t>
      </w:r>
      <w:r w:rsidR="00605771" w:rsidRPr="00605771">
        <w:t>’</w:t>
      </w:r>
      <w:r w:rsidR="00F95F6A" w:rsidRPr="00605771">
        <w:t xml:space="preserve">avait reçu </w:t>
      </w:r>
      <w:r w:rsidRPr="00605771">
        <w:t>aucun rapport</w:t>
      </w:r>
      <w:r w:rsidR="00D44A63" w:rsidRPr="00605771">
        <w:t xml:space="preserve"> </w:t>
      </w:r>
      <w:r w:rsidRPr="00605771">
        <w:t>et qu</w:t>
      </w:r>
      <w:r w:rsidR="00605771" w:rsidRPr="00605771">
        <w:t>’</w:t>
      </w:r>
      <w:r w:rsidR="00F95F6A" w:rsidRPr="00605771">
        <w:t>il</w:t>
      </w:r>
      <w:r w:rsidRPr="00605771">
        <w:t xml:space="preserve"> avait l</w:t>
      </w:r>
      <w:r w:rsidR="00605771" w:rsidRPr="00605771">
        <w:t>’</w:t>
      </w:r>
      <w:r w:rsidRPr="00605771">
        <w:t>intention</w:t>
      </w:r>
      <w:r w:rsidR="00F95F6A" w:rsidRPr="00605771">
        <w:t>, dès la réception d</w:t>
      </w:r>
      <w:r w:rsidR="00605771" w:rsidRPr="00605771">
        <w:t>’</w:t>
      </w:r>
      <w:r w:rsidR="00F95F6A" w:rsidRPr="00605771">
        <w:t>informations à ce sujet,</w:t>
      </w:r>
      <w:r w:rsidRPr="00605771">
        <w:t xml:space="preserve"> de </w:t>
      </w:r>
      <w:r w:rsidR="00D7535B" w:rsidRPr="00605771">
        <w:t>procéder à la conduite d</w:t>
      </w:r>
      <w:r w:rsidR="00605771" w:rsidRPr="00605771">
        <w:t>’</w:t>
      </w:r>
      <w:r w:rsidR="00D7535B" w:rsidRPr="00605771">
        <w:t>une enquête sur</w:t>
      </w:r>
      <w:r w:rsidRPr="00605771">
        <w:t xml:space="preserve"> l</w:t>
      </w:r>
      <w:r w:rsidR="00605771" w:rsidRPr="00605771">
        <w:t>’</w:t>
      </w:r>
      <w:r w:rsidRPr="00605771">
        <w:t>affaire.</w:t>
      </w:r>
    </w:p>
    <w:p w:rsidR="002C7F5B"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68</w:t>
      </w:r>
      <w:r w:rsidRPr="00605771">
        <w:fldChar w:fldCharType="end"/>
      </w:r>
      <w:r w:rsidRPr="00605771">
        <w:t>.  </w:t>
      </w:r>
      <w:r w:rsidR="00505E77" w:rsidRPr="00605771">
        <w:t>Le Moniteur grec Helsinki répliqua par</w:t>
      </w:r>
      <w:r w:rsidR="003C2867" w:rsidRPr="00605771">
        <w:t xml:space="preserve"> un communiqué de presse du 29 </w:t>
      </w:r>
      <w:r w:rsidRPr="00605771">
        <w:t xml:space="preserve">janvier 2006, </w:t>
      </w:r>
      <w:r w:rsidR="002C5D76" w:rsidRPr="00605771">
        <w:t>Il indiqua</w:t>
      </w:r>
      <w:r w:rsidR="00D91DC6" w:rsidRPr="00605771">
        <w:t>it</w:t>
      </w:r>
      <w:r w:rsidR="002C5D76" w:rsidRPr="00605771">
        <w:t xml:space="preserve">, </w:t>
      </w:r>
      <w:r w:rsidRPr="00605771">
        <w:t>entre autres, qu</w:t>
      </w:r>
      <w:r w:rsidR="00605771" w:rsidRPr="00605771">
        <w:t>’</w:t>
      </w:r>
      <w:r w:rsidRPr="00605771">
        <w:t xml:space="preserve">il avait informé le </w:t>
      </w:r>
      <w:r w:rsidR="00907391" w:rsidRPr="00605771">
        <w:t>m</w:t>
      </w:r>
      <w:r w:rsidRPr="00605771">
        <w:t xml:space="preserve">inistère des </w:t>
      </w:r>
      <w:r w:rsidR="00907391" w:rsidRPr="00605771">
        <w:t>A</w:t>
      </w:r>
      <w:r w:rsidRPr="00605771">
        <w:t xml:space="preserve">ffaires étrangères </w:t>
      </w:r>
      <w:r w:rsidR="00DC3B5E" w:rsidRPr="00605771">
        <w:t xml:space="preserve">depuis 2004 </w:t>
      </w:r>
      <w:r w:rsidRPr="00605771">
        <w:t xml:space="preserve">de la délivrance prétendument illégale des visas des requérantes. </w:t>
      </w:r>
      <w:r w:rsidR="00DC3B5E" w:rsidRPr="00605771">
        <w:t>Il ajouta</w:t>
      </w:r>
      <w:r w:rsidR="00D91DC6" w:rsidRPr="00605771">
        <w:t>it</w:t>
      </w:r>
      <w:r w:rsidR="00DC3B5E" w:rsidRPr="00605771">
        <w:t xml:space="preserve"> que c</w:t>
      </w:r>
      <w:r w:rsidRPr="00605771">
        <w:t>e dernier lui a</w:t>
      </w:r>
      <w:r w:rsidR="00DC3B5E" w:rsidRPr="00605771">
        <w:t>v</w:t>
      </w:r>
      <w:r w:rsidRPr="00605771">
        <w:t>ait recommandé d</w:t>
      </w:r>
      <w:r w:rsidR="000F1851" w:rsidRPr="00605771">
        <w:t>e s</w:t>
      </w:r>
      <w:r w:rsidR="00605771" w:rsidRPr="00605771">
        <w:t>’</w:t>
      </w:r>
      <w:r w:rsidR="000F1851" w:rsidRPr="00605771">
        <w:t xml:space="preserve">adresser au procureur en lui </w:t>
      </w:r>
      <w:r w:rsidRPr="00605771">
        <w:t>envoy</w:t>
      </w:r>
      <w:r w:rsidR="000F1851" w:rsidRPr="00605771">
        <w:t>ant</w:t>
      </w:r>
      <w:r w:rsidRPr="00605771">
        <w:t xml:space="preserve"> des informations pertinentes</w:t>
      </w:r>
      <w:r w:rsidR="000F1851" w:rsidRPr="00605771">
        <w:t xml:space="preserve"> </w:t>
      </w:r>
      <w:r w:rsidR="00DC3B5E" w:rsidRPr="00605771">
        <w:t>au motif qu</w:t>
      </w:r>
      <w:r w:rsidR="00605771" w:rsidRPr="00605771">
        <w:t>’</w:t>
      </w:r>
      <w:r w:rsidR="00DC3B5E" w:rsidRPr="00605771">
        <w:t>u</w:t>
      </w:r>
      <w:r w:rsidRPr="00605771">
        <w:t xml:space="preserve">ne </w:t>
      </w:r>
      <w:r w:rsidR="00DC3B5E" w:rsidRPr="00605771">
        <w:t>« </w:t>
      </w:r>
      <w:r w:rsidRPr="00605771">
        <w:t>enquête administrative sous serment</w:t>
      </w:r>
      <w:r w:rsidR="00DC3B5E" w:rsidRPr="00605771">
        <w:t> »</w:t>
      </w:r>
      <w:r w:rsidRPr="00605771">
        <w:t xml:space="preserve"> (</w:t>
      </w:r>
      <w:r w:rsidRPr="00605771">
        <w:rPr>
          <w:i/>
          <w:lang w:val="el-GR"/>
        </w:rPr>
        <w:t>Ένορκη</w:t>
      </w:r>
      <w:r w:rsidRPr="00605771">
        <w:rPr>
          <w:i/>
        </w:rPr>
        <w:t xml:space="preserve"> </w:t>
      </w:r>
      <w:r w:rsidRPr="00605771">
        <w:rPr>
          <w:i/>
          <w:lang w:val="el-GR"/>
        </w:rPr>
        <w:t>Διοικητική</w:t>
      </w:r>
      <w:r w:rsidRPr="00605771">
        <w:rPr>
          <w:i/>
        </w:rPr>
        <w:t xml:space="preserve"> </w:t>
      </w:r>
      <w:r w:rsidRPr="00605771">
        <w:rPr>
          <w:i/>
          <w:lang w:val="el-GR"/>
        </w:rPr>
        <w:t>Εξέταση</w:t>
      </w:r>
      <w:r w:rsidR="008B779F" w:rsidRPr="00605771">
        <w:t xml:space="preserve">) </w:t>
      </w:r>
      <w:r w:rsidRPr="00605771">
        <w:t>serait trop longue.</w:t>
      </w:r>
    </w:p>
    <w:p w:rsidR="002C7F5B"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69</w:t>
      </w:r>
      <w:r w:rsidRPr="00605771">
        <w:fldChar w:fldCharType="end"/>
      </w:r>
      <w:r w:rsidRPr="00605771">
        <w:t xml:space="preserve">.  Le 14 février 2006, le procureur près la Cour de cassation </w:t>
      </w:r>
      <w:r w:rsidR="000B1E19" w:rsidRPr="00605771">
        <w:t>enjoignit au</w:t>
      </w:r>
      <w:r w:rsidRPr="00605771">
        <w:t xml:space="preserve"> </w:t>
      </w:r>
      <w:r w:rsidR="000B1E19" w:rsidRPr="00605771">
        <w:t xml:space="preserve">procureur en </w:t>
      </w:r>
      <w:r w:rsidRPr="00605771">
        <w:t xml:space="preserve">chef </w:t>
      </w:r>
      <w:r w:rsidR="000B1E19" w:rsidRPr="00605771">
        <w:t>près le</w:t>
      </w:r>
      <w:r w:rsidRPr="00605771">
        <w:t xml:space="preserve"> tribunal de première instance d</w:t>
      </w:r>
      <w:r w:rsidR="00605771" w:rsidRPr="00605771">
        <w:t>’</w:t>
      </w:r>
      <w:r w:rsidRPr="00605771">
        <w:t>Athènes d</w:t>
      </w:r>
      <w:r w:rsidR="00605771" w:rsidRPr="00605771">
        <w:t>’</w:t>
      </w:r>
      <w:r w:rsidRPr="00605771">
        <w:t>ouvrir une enquête préliminaire en urgence.</w:t>
      </w:r>
    </w:p>
    <w:p w:rsidR="00A7212B" w:rsidRPr="00605771" w:rsidRDefault="00A7212B"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70</w:t>
      </w:r>
      <w:r w:rsidRPr="00605771">
        <w:fldChar w:fldCharType="end"/>
      </w:r>
      <w:r w:rsidR="005F582A" w:rsidRPr="00605771">
        <w:t>.  Le 11</w:t>
      </w:r>
      <w:r w:rsidRPr="00605771">
        <w:t xml:space="preserve"> avril 2006, le procureur </w:t>
      </w:r>
      <w:r w:rsidR="00534D4E" w:rsidRPr="00605771">
        <w:t>près le</w:t>
      </w:r>
      <w:r w:rsidRPr="00605771">
        <w:t xml:space="preserve"> tribunal correctionnel d</w:t>
      </w:r>
      <w:r w:rsidR="00605771" w:rsidRPr="00605771">
        <w:t>’</w:t>
      </w:r>
      <w:r w:rsidRPr="00605771">
        <w:t xml:space="preserve">Athènes </w:t>
      </w:r>
      <w:r w:rsidR="004A7D43" w:rsidRPr="00605771">
        <w:t>demanda au</w:t>
      </w:r>
      <w:r w:rsidRPr="00605771">
        <w:t xml:space="preserve"> </w:t>
      </w:r>
      <w:r w:rsidR="007E4059" w:rsidRPr="00605771">
        <w:t>magistrat d</w:t>
      </w:r>
      <w:r w:rsidR="00605771" w:rsidRPr="00605771">
        <w:t>’</w:t>
      </w:r>
      <w:r w:rsidR="007E4059" w:rsidRPr="00605771">
        <w:t xml:space="preserve">Athènes </w:t>
      </w:r>
      <w:r w:rsidR="00147EF0" w:rsidRPr="00605771">
        <w:t>à ce qu</w:t>
      </w:r>
      <w:r w:rsidR="00605771" w:rsidRPr="00605771">
        <w:t>’</w:t>
      </w:r>
      <w:r w:rsidR="00147EF0" w:rsidRPr="00605771">
        <w:t xml:space="preserve">il fût </w:t>
      </w:r>
      <w:r w:rsidR="007E4059" w:rsidRPr="00605771">
        <w:t>procéd</w:t>
      </w:r>
      <w:r w:rsidR="00147EF0" w:rsidRPr="00605771">
        <w:t>é</w:t>
      </w:r>
      <w:r w:rsidR="007E4059" w:rsidRPr="00605771">
        <w:t xml:space="preserve"> à </w:t>
      </w:r>
      <w:r w:rsidR="00166457" w:rsidRPr="00605771">
        <w:t>la conduite d</w:t>
      </w:r>
      <w:r w:rsidR="00605771" w:rsidRPr="00605771">
        <w:t>’</w:t>
      </w:r>
      <w:r w:rsidR="007E4059" w:rsidRPr="00605771">
        <w:t>une enquête (</w:t>
      </w:r>
      <w:r w:rsidR="007E4059" w:rsidRPr="00605771">
        <w:rPr>
          <w:i/>
          <w:lang w:val="el-GR"/>
        </w:rPr>
        <w:t>προκαταρκτική</w:t>
      </w:r>
      <w:r w:rsidR="007E4059" w:rsidRPr="00605771">
        <w:rPr>
          <w:i/>
        </w:rPr>
        <w:t xml:space="preserve"> </w:t>
      </w:r>
      <w:r w:rsidR="007E4059" w:rsidRPr="00605771">
        <w:rPr>
          <w:i/>
          <w:lang w:val="el-GR"/>
        </w:rPr>
        <w:t>εξέταση</w:t>
      </w:r>
      <w:r w:rsidR="005F582A" w:rsidRPr="00605771">
        <w:t>)</w:t>
      </w:r>
      <w:r w:rsidR="007E4059" w:rsidRPr="00605771">
        <w:t>.</w:t>
      </w:r>
    </w:p>
    <w:p w:rsidR="002C7F5B"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71</w:t>
      </w:r>
      <w:r w:rsidRPr="00605771">
        <w:fldChar w:fldCharType="end"/>
      </w:r>
      <w:r w:rsidRPr="00605771">
        <w:t>.  Le 8 mai 2006, le représentant du Moniteur grec Helsinki soumit un mémoire concernant l</w:t>
      </w:r>
      <w:r w:rsidR="00605771" w:rsidRPr="00605771">
        <w:t>’</w:t>
      </w:r>
      <w:r w:rsidRPr="00605771">
        <w:t>affaire en cause.</w:t>
      </w:r>
    </w:p>
    <w:p w:rsidR="002C7F5B"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72</w:t>
      </w:r>
      <w:r w:rsidRPr="00605771">
        <w:fldChar w:fldCharType="end"/>
      </w:r>
      <w:r w:rsidRPr="00605771">
        <w:t>.  Le 16 mai 2006, les requérantes introduisirent, par l</w:t>
      </w:r>
      <w:r w:rsidR="00605771" w:rsidRPr="00605771">
        <w:t>’</w:t>
      </w:r>
      <w:r w:rsidRPr="00605771">
        <w:t>intermédiaire de leur avocat, des demandes de constitution de partie civile</w:t>
      </w:r>
      <w:r w:rsidR="008A347B" w:rsidRPr="00605771">
        <w:t>. Ces demandes,</w:t>
      </w:r>
      <w:r w:rsidRPr="00605771">
        <w:t xml:space="preserve"> qui co</w:t>
      </w:r>
      <w:r w:rsidR="00FE5703" w:rsidRPr="00605771">
        <w:t>nte</w:t>
      </w:r>
      <w:r w:rsidRPr="00605771">
        <w:t>naient</w:t>
      </w:r>
      <w:r w:rsidR="00FE5703" w:rsidRPr="00605771">
        <w:t xml:space="preserve"> par ailleurs</w:t>
      </w:r>
      <w:r w:rsidRPr="00605771">
        <w:t xml:space="preserve"> des informations dét</w:t>
      </w:r>
      <w:r w:rsidR="00635421" w:rsidRPr="00605771">
        <w:t>aillées sur les faits en cause</w:t>
      </w:r>
      <w:r w:rsidR="008A347B" w:rsidRPr="00605771">
        <w:t>, comportaient la mention de l</w:t>
      </w:r>
      <w:r w:rsidR="00605771" w:rsidRPr="00605771">
        <w:t>’</w:t>
      </w:r>
      <w:r w:rsidR="00FE5703" w:rsidRPr="00605771">
        <w:t xml:space="preserve">adresse </w:t>
      </w:r>
      <w:r w:rsidR="008A347B" w:rsidRPr="00605771">
        <w:t>des requérantes comme étant</w:t>
      </w:r>
      <w:r w:rsidR="00FE5703" w:rsidRPr="00605771">
        <w:t xml:space="preserve"> </w:t>
      </w:r>
      <w:r w:rsidR="000E187D" w:rsidRPr="00605771">
        <w:t>« Konstantinoupoleos 82</w:t>
      </w:r>
      <w:r w:rsidR="009712F0" w:rsidRPr="00605771">
        <w:t>, Athènes</w:t>
      </w:r>
      <w:r w:rsidR="000E187D" w:rsidRPr="00605771">
        <w:t xml:space="preserve"> ». </w:t>
      </w:r>
      <w:r w:rsidR="006C2262" w:rsidRPr="00605771">
        <w:t>Dans</w:t>
      </w:r>
      <w:r w:rsidR="008A347B" w:rsidRPr="00605771">
        <w:t xml:space="preserve"> ce</w:t>
      </w:r>
      <w:r w:rsidR="00797CC4" w:rsidRPr="00605771">
        <w:t>s</w:t>
      </w:r>
      <w:r w:rsidR="008A347B" w:rsidRPr="00605771">
        <w:t xml:space="preserve"> demandes, les intéressées</w:t>
      </w:r>
      <w:r w:rsidR="00FE5703" w:rsidRPr="00605771">
        <w:t xml:space="preserve"> </w:t>
      </w:r>
      <w:r w:rsidR="006C2262" w:rsidRPr="00605771">
        <w:t>spécifiaient</w:t>
      </w:r>
      <w:r w:rsidR="00FE5703" w:rsidRPr="00605771">
        <w:t xml:space="preserve"> </w:t>
      </w:r>
      <w:r w:rsidR="00225104" w:rsidRPr="00605771">
        <w:t>qu</w:t>
      </w:r>
      <w:r w:rsidR="00797CC4" w:rsidRPr="00605771">
        <w:t>e, au cas où le procureur compétent serait amené</w:t>
      </w:r>
      <w:r w:rsidR="001B4CDA" w:rsidRPr="00605771">
        <w:t xml:space="preserve"> à considérer</w:t>
      </w:r>
      <w:r w:rsidR="00F97FE5" w:rsidRPr="00605771">
        <w:t>, dans sa proposition,</w:t>
      </w:r>
      <w:r w:rsidR="001B4CDA" w:rsidRPr="00605771">
        <w:t xml:space="preserve"> </w:t>
      </w:r>
      <w:r w:rsidR="00797CC4" w:rsidRPr="00605771">
        <w:t>qu</w:t>
      </w:r>
      <w:r w:rsidR="00605771" w:rsidRPr="00605771">
        <w:t>’</w:t>
      </w:r>
      <w:r w:rsidR="00797CC4" w:rsidRPr="00605771">
        <w:t>il n</w:t>
      </w:r>
      <w:r w:rsidR="00605771" w:rsidRPr="00605771">
        <w:t>’</w:t>
      </w:r>
      <w:r w:rsidR="00797CC4" w:rsidRPr="00605771">
        <w:t xml:space="preserve">existait pas des indices sérieux justifiant le renvoi </w:t>
      </w:r>
      <w:r w:rsidR="002D64FB" w:rsidRPr="00605771">
        <w:t>d</w:t>
      </w:r>
      <w:r w:rsidR="00797CC4" w:rsidRPr="00605771">
        <w:t xml:space="preserve">es </w:t>
      </w:r>
      <w:r w:rsidR="00292C43" w:rsidRPr="00605771">
        <w:t>auteurs présumés des faits</w:t>
      </w:r>
      <w:r w:rsidR="00797CC4" w:rsidRPr="00605771">
        <w:t xml:space="preserve"> en jugement, </w:t>
      </w:r>
      <w:r w:rsidR="00225104" w:rsidRPr="00605771">
        <w:t xml:space="preserve">elles </w:t>
      </w:r>
      <w:r w:rsidR="00225104" w:rsidRPr="00605771">
        <w:lastRenderedPageBreak/>
        <w:t>souhaitaient</w:t>
      </w:r>
      <w:r w:rsidR="00797CC4" w:rsidRPr="00605771">
        <w:t>, conformément à l</w:t>
      </w:r>
      <w:r w:rsidR="00605771" w:rsidRPr="00605771">
        <w:t>’</w:t>
      </w:r>
      <w:r w:rsidR="00797CC4" w:rsidRPr="00605771">
        <w:t>article 308 § 2 du code de procédure pénale (CPP),</w:t>
      </w:r>
      <w:r w:rsidR="00FE5703" w:rsidRPr="00605771">
        <w:t xml:space="preserve"> se voir notifier</w:t>
      </w:r>
      <w:r w:rsidR="00797CC4" w:rsidRPr="00605771">
        <w:t xml:space="preserve"> cette </w:t>
      </w:r>
      <w:r w:rsidR="00225104" w:rsidRPr="00605771">
        <w:t>proposition.</w:t>
      </w:r>
    </w:p>
    <w:p w:rsidR="002C7F5B"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73</w:t>
      </w:r>
      <w:r w:rsidRPr="00605771">
        <w:fldChar w:fldCharType="end"/>
      </w:r>
      <w:r w:rsidRPr="00605771">
        <w:t xml:space="preserve">.  Le 7 juin 2006, le ministère des </w:t>
      </w:r>
      <w:r w:rsidR="00907391" w:rsidRPr="00605771">
        <w:t>A</w:t>
      </w:r>
      <w:r w:rsidRPr="00605771">
        <w:t xml:space="preserve">ffaires étrangères ouvrit une </w:t>
      </w:r>
      <w:r w:rsidR="00DC3B5E" w:rsidRPr="00605771">
        <w:t>« </w:t>
      </w:r>
      <w:r w:rsidRPr="00605771">
        <w:t>enquête administrative sous serment</w:t>
      </w:r>
      <w:r w:rsidR="00DC3B5E" w:rsidRPr="00605771">
        <w:t> »</w:t>
      </w:r>
      <w:r w:rsidRPr="00605771">
        <w:t xml:space="preserve"> afin de déterminer si des infractions disciplinaires avaient ét</w:t>
      </w:r>
      <w:r w:rsidR="00CE58D4" w:rsidRPr="00605771">
        <w:t>é commises par les employés du c</w:t>
      </w:r>
      <w:r w:rsidRPr="00605771">
        <w:t xml:space="preserve">onsulat lors de la délivrance des visas des requérantes. </w:t>
      </w:r>
      <w:r w:rsidR="00251507" w:rsidRPr="00605771">
        <w:t>Celles-ci</w:t>
      </w:r>
      <w:r w:rsidRPr="00605771">
        <w:t xml:space="preserve"> allèguent </w:t>
      </w:r>
      <w:r w:rsidR="00251507" w:rsidRPr="00605771">
        <w:t>n</w:t>
      </w:r>
      <w:r w:rsidR="00605771" w:rsidRPr="00605771">
        <w:t>’</w:t>
      </w:r>
      <w:r w:rsidR="00251507" w:rsidRPr="00605771">
        <w:t xml:space="preserve">avoir été informées </w:t>
      </w:r>
      <w:r w:rsidRPr="00605771">
        <w:t xml:space="preserve">de </w:t>
      </w:r>
      <w:r w:rsidR="005362B0" w:rsidRPr="00605771">
        <w:t xml:space="preserve">la conduite de cette </w:t>
      </w:r>
      <w:r w:rsidRPr="00605771">
        <w:t>enquête qu</w:t>
      </w:r>
      <w:r w:rsidR="00605771" w:rsidRPr="00605771">
        <w:t>’</w:t>
      </w:r>
      <w:r w:rsidRPr="00605771">
        <w:t>en 2010.</w:t>
      </w:r>
    </w:p>
    <w:p w:rsidR="002C7F5B"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74</w:t>
      </w:r>
      <w:r w:rsidRPr="00605771">
        <w:fldChar w:fldCharType="end"/>
      </w:r>
      <w:r w:rsidRPr="00605771">
        <w:t xml:space="preserve">.  Le 21 juin 2006, cette enquête fut </w:t>
      </w:r>
      <w:r w:rsidR="00251507" w:rsidRPr="00605771">
        <w:t>cl</w:t>
      </w:r>
      <w:r w:rsidR="0098466B" w:rsidRPr="00605771">
        <w:t>ôturée</w:t>
      </w:r>
      <w:r w:rsidRPr="00605771">
        <w:t xml:space="preserve"> et l</w:t>
      </w:r>
      <w:r w:rsidR="00605771" w:rsidRPr="00605771">
        <w:t>’</w:t>
      </w:r>
      <w:r w:rsidRPr="00605771">
        <w:t xml:space="preserve">affaire fut classée. Plus précisément, il fut constaté que </w:t>
      </w:r>
      <w:r w:rsidR="00C32ADD" w:rsidRPr="00605771">
        <w:t>la procédure d</w:t>
      </w:r>
      <w:r w:rsidR="00605771" w:rsidRPr="00605771">
        <w:t>’</w:t>
      </w:r>
      <w:r w:rsidRPr="00605771">
        <w:t>examen des</w:t>
      </w:r>
      <w:r w:rsidR="005A6484" w:rsidRPr="00605771">
        <w:t xml:space="preserve"> demandes de</w:t>
      </w:r>
      <w:r w:rsidRPr="00605771">
        <w:t xml:space="preserve"> visa </w:t>
      </w:r>
      <w:r w:rsidR="004E163E" w:rsidRPr="00605771">
        <w:t xml:space="preserve">des requérantes </w:t>
      </w:r>
      <w:r w:rsidR="00C32ADD" w:rsidRPr="00605771">
        <w:t>avait été menée de manière</w:t>
      </w:r>
      <w:r w:rsidRPr="00605771">
        <w:t xml:space="preserve"> conforme aux </w:t>
      </w:r>
      <w:r w:rsidR="00C32ADD" w:rsidRPr="00605771">
        <w:t>règles</w:t>
      </w:r>
      <w:r w:rsidRPr="00605771">
        <w:t xml:space="preserve"> prévues par les dispositions </w:t>
      </w:r>
      <w:r w:rsidR="00C32ADD" w:rsidRPr="00605771">
        <w:t>pertinentes en la matière</w:t>
      </w:r>
      <w:r w:rsidRPr="00605771">
        <w:t xml:space="preserve"> et qu</w:t>
      </w:r>
      <w:r w:rsidR="00605771" w:rsidRPr="00605771">
        <w:t>’</w:t>
      </w:r>
      <w:r w:rsidRPr="00605771">
        <w:t xml:space="preserve">aucune </w:t>
      </w:r>
      <w:r w:rsidR="000509F4" w:rsidRPr="00605771">
        <w:t>responsabilité des employés du c</w:t>
      </w:r>
      <w:r w:rsidRPr="00605771">
        <w:t>onsulat ne ressortait des documents ou des témoignages. En particulier, il fut noté que la présence du demandeur n</w:t>
      </w:r>
      <w:r w:rsidR="00605771" w:rsidRPr="00605771">
        <w:t>’</w:t>
      </w:r>
      <w:r w:rsidRPr="00605771">
        <w:t>était pas obligatoire lors de la délivrance d</w:t>
      </w:r>
      <w:r w:rsidR="004E163E" w:rsidRPr="00605771">
        <w:t>u</w:t>
      </w:r>
      <w:r w:rsidRPr="00605771">
        <w:t xml:space="preserve"> visa </w:t>
      </w:r>
      <w:r w:rsidR="000509F4" w:rsidRPr="00605771">
        <w:t>et que la charge de travail du c</w:t>
      </w:r>
      <w:r w:rsidRPr="00605771">
        <w:t>onsulat était excessive à l</w:t>
      </w:r>
      <w:r w:rsidR="00605771" w:rsidRPr="00605771">
        <w:t>’</w:t>
      </w:r>
      <w:r w:rsidRPr="00605771">
        <w:t>époque.</w:t>
      </w:r>
    </w:p>
    <w:p w:rsidR="002C7F5B"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75</w:t>
      </w:r>
      <w:r w:rsidRPr="00605771">
        <w:fldChar w:fldCharType="end"/>
      </w:r>
      <w:r w:rsidRPr="00605771">
        <w:t>.  Le 18 juillet 2006, l</w:t>
      </w:r>
      <w:r w:rsidR="00605771" w:rsidRPr="00605771">
        <w:t>’</w:t>
      </w:r>
      <w:r w:rsidRPr="00605771">
        <w:t>affaire pénale fut attribuée à la procureure près le tribunal correctionnel d</w:t>
      </w:r>
      <w:r w:rsidR="00605771" w:rsidRPr="00605771">
        <w:t>’</w:t>
      </w:r>
      <w:r w:rsidRPr="00605771">
        <w:t>Athènes.</w:t>
      </w:r>
    </w:p>
    <w:bookmarkStart w:id="12" w:name="procureuretribcor"/>
    <w:p w:rsidR="002C7F5B"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76</w:t>
      </w:r>
      <w:r w:rsidRPr="00605771">
        <w:fldChar w:fldCharType="end"/>
      </w:r>
      <w:bookmarkEnd w:id="12"/>
      <w:r w:rsidRPr="00605771">
        <w:t xml:space="preserve">.  Le 6 octobre 2006, </w:t>
      </w:r>
      <w:r w:rsidR="00A07D66" w:rsidRPr="00605771">
        <w:t>la</w:t>
      </w:r>
      <w:r w:rsidR="00911A26" w:rsidRPr="00605771">
        <w:t xml:space="preserve">dite </w:t>
      </w:r>
      <w:r w:rsidR="00A07D66" w:rsidRPr="00605771">
        <w:t xml:space="preserve">procureure </w:t>
      </w:r>
      <w:r w:rsidRPr="00605771">
        <w:t>renvoya l</w:t>
      </w:r>
      <w:r w:rsidR="00605771" w:rsidRPr="00605771">
        <w:t>’</w:t>
      </w:r>
      <w:r w:rsidRPr="00605771">
        <w:t>affaire</w:t>
      </w:r>
      <w:r w:rsidR="00383402" w:rsidRPr="00605771">
        <w:t>,</w:t>
      </w:r>
      <w:r w:rsidRPr="00605771">
        <w:t xml:space="preserve"> avec ses conclusions</w:t>
      </w:r>
      <w:r w:rsidR="00112C36" w:rsidRPr="00605771">
        <w:t xml:space="preserve"> sur celle-ci</w:t>
      </w:r>
      <w:r w:rsidR="00383402" w:rsidRPr="00605771">
        <w:t>,</w:t>
      </w:r>
      <w:r w:rsidRPr="00605771">
        <w:t xml:space="preserve"> au </w:t>
      </w:r>
      <w:r w:rsidR="000B1E19" w:rsidRPr="00605771">
        <w:t xml:space="preserve">procureur en </w:t>
      </w:r>
      <w:r w:rsidRPr="00605771">
        <w:t xml:space="preserve">chef </w:t>
      </w:r>
      <w:r w:rsidR="000B1E19" w:rsidRPr="00605771">
        <w:t>près le</w:t>
      </w:r>
      <w:r w:rsidRPr="00605771">
        <w:t xml:space="preserve"> tribunal correctionnel d</w:t>
      </w:r>
      <w:r w:rsidR="00605771" w:rsidRPr="00605771">
        <w:t>’</w:t>
      </w:r>
      <w:r w:rsidRPr="00605771">
        <w:t xml:space="preserve">Athènes. </w:t>
      </w:r>
      <w:r w:rsidR="001818E5" w:rsidRPr="00605771">
        <w:t>E</w:t>
      </w:r>
      <w:r w:rsidRPr="00605771">
        <w:t>lle estima qu</w:t>
      </w:r>
      <w:r w:rsidR="00605771" w:rsidRPr="00605771">
        <w:t>’</w:t>
      </w:r>
      <w:r w:rsidRPr="00605771">
        <w:t>une enquête devrait déterminer, entre autres, si des crimes d</w:t>
      </w:r>
      <w:r w:rsidR="00605771" w:rsidRPr="00605771">
        <w:t>’</w:t>
      </w:r>
      <w:r w:rsidRPr="00605771">
        <w:t>organisation criminelle, de traite des êtres humains par complicité, d</w:t>
      </w:r>
      <w:r w:rsidR="00605771" w:rsidRPr="00605771">
        <w:t>’</w:t>
      </w:r>
      <w:r w:rsidRPr="00605771">
        <w:t>usage de faux et d</w:t>
      </w:r>
      <w:r w:rsidR="006B3C5D" w:rsidRPr="00605771">
        <w:t>e</w:t>
      </w:r>
      <w:r w:rsidRPr="00605771">
        <w:t xml:space="preserve"> manquement au</w:t>
      </w:r>
      <w:r w:rsidR="006B3C5D" w:rsidRPr="00605771">
        <w:t>x</w:t>
      </w:r>
      <w:r w:rsidRPr="00605771">
        <w:t xml:space="preserve"> devoir</w:t>
      </w:r>
      <w:r w:rsidR="006B3C5D" w:rsidRPr="00605771">
        <w:t>s</w:t>
      </w:r>
      <w:r w:rsidRPr="00605771">
        <w:t xml:space="preserve"> </w:t>
      </w:r>
      <w:r w:rsidR="009B7E68" w:rsidRPr="00605771">
        <w:t xml:space="preserve">professionnels </w:t>
      </w:r>
      <w:r w:rsidRPr="00605771">
        <w:t xml:space="preserve">avaient été commis. </w:t>
      </w:r>
      <w:r w:rsidR="00383402" w:rsidRPr="00605771">
        <w:t xml:space="preserve">Après avoir procédé à un </w:t>
      </w:r>
      <w:r w:rsidR="00A07D66" w:rsidRPr="00605771">
        <w:t>résum</w:t>
      </w:r>
      <w:r w:rsidR="00383402" w:rsidRPr="00605771">
        <w:t>é</w:t>
      </w:r>
      <w:r w:rsidR="00A07D66" w:rsidRPr="00605771">
        <w:t xml:space="preserve"> </w:t>
      </w:r>
      <w:r w:rsidR="00383402" w:rsidRPr="00605771">
        <w:t>d</w:t>
      </w:r>
      <w:r w:rsidR="00A07D66" w:rsidRPr="00605771">
        <w:t xml:space="preserve">es allégations des requérantes ainsi que </w:t>
      </w:r>
      <w:r w:rsidR="00383402" w:rsidRPr="00605771">
        <w:t>d</w:t>
      </w:r>
      <w:r w:rsidR="00A07D66" w:rsidRPr="00605771">
        <w:t>es témoignages des employés du consulat</w:t>
      </w:r>
      <w:r w:rsidR="00CD6C35" w:rsidRPr="00605771">
        <w:t>, e</w:t>
      </w:r>
      <w:r w:rsidR="00A07D66" w:rsidRPr="00605771">
        <w:t xml:space="preserve">lle </w:t>
      </w:r>
      <w:r w:rsidR="006B3C5D" w:rsidRPr="00605771">
        <w:t>indiqua</w:t>
      </w:r>
      <w:r w:rsidR="00A07D66" w:rsidRPr="00605771">
        <w:t xml:space="preserve"> qu</w:t>
      </w:r>
      <w:r w:rsidR="00605771" w:rsidRPr="00605771">
        <w:t>’</w:t>
      </w:r>
      <w:r w:rsidR="006B3C5D" w:rsidRPr="00605771">
        <w:t xml:space="preserve">il </w:t>
      </w:r>
      <w:r w:rsidR="00A07D66" w:rsidRPr="00605771">
        <w:t>était étonnant que ces employés n</w:t>
      </w:r>
      <w:r w:rsidR="00605771" w:rsidRPr="00605771">
        <w:t>’</w:t>
      </w:r>
      <w:r w:rsidR="008239FB" w:rsidRPr="00605771">
        <w:t>eussent</w:t>
      </w:r>
      <w:r w:rsidR="00A07D66" w:rsidRPr="00605771">
        <w:t xml:space="preserve"> procédé à aucune </w:t>
      </w:r>
      <w:r w:rsidR="00563BC4" w:rsidRPr="00605771">
        <w:t xml:space="preserve">vérification </w:t>
      </w:r>
      <w:r w:rsidR="00A07D66" w:rsidRPr="00605771">
        <w:t>avant</w:t>
      </w:r>
      <w:r w:rsidR="00BE517A" w:rsidRPr="00605771">
        <w:t xml:space="preserve"> </w:t>
      </w:r>
      <w:r w:rsidR="00911A26" w:rsidRPr="00605771">
        <w:t>la</w:t>
      </w:r>
      <w:r w:rsidR="00BE517A" w:rsidRPr="00605771">
        <w:t xml:space="preserve"> délivr</w:t>
      </w:r>
      <w:r w:rsidR="00911A26" w:rsidRPr="00605771">
        <w:t>ance d</w:t>
      </w:r>
      <w:r w:rsidR="00BE517A" w:rsidRPr="00605771">
        <w:t>es visas en cause et</w:t>
      </w:r>
      <w:r w:rsidR="00A07D66" w:rsidRPr="00605771">
        <w:t xml:space="preserve"> qu</w:t>
      </w:r>
      <w:r w:rsidR="00605771" w:rsidRPr="00605771">
        <w:t>’</w:t>
      </w:r>
      <w:r w:rsidR="00A07D66" w:rsidRPr="00605771">
        <w:t>ils n</w:t>
      </w:r>
      <w:r w:rsidR="00605771" w:rsidRPr="00605771">
        <w:t>’</w:t>
      </w:r>
      <w:r w:rsidR="008239FB" w:rsidRPr="00605771">
        <w:t>eussent</w:t>
      </w:r>
      <w:r w:rsidR="00A07D66" w:rsidRPr="00605771">
        <w:t xml:space="preserve"> pas remarqué </w:t>
      </w:r>
      <w:r w:rsidR="00BE517A" w:rsidRPr="00605771">
        <w:t>qu</w:t>
      </w:r>
      <w:r w:rsidR="00605771" w:rsidRPr="00605771">
        <w:t>’</w:t>
      </w:r>
      <w:r w:rsidR="00CD6C35" w:rsidRPr="00605771">
        <w:t>il y avait des différences entre les demandes de visa et les passeports quant aux</w:t>
      </w:r>
      <w:r w:rsidR="00BE517A" w:rsidRPr="00605771">
        <w:t xml:space="preserve"> prénom</w:t>
      </w:r>
      <w:r w:rsidR="00CD6C35" w:rsidRPr="00605771">
        <w:t>s respectifs</w:t>
      </w:r>
      <w:r w:rsidR="00BE517A" w:rsidRPr="00605771">
        <w:t xml:space="preserve"> des mères des requérantes</w:t>
      </w:r>
      <w:r w:rsidR="00911A26" w:rsidRPr="00605771">
        <w:t xml:space="preserve">. À cet égard, elle </w:t>
      </w:r>
      <w:r w:rsidR="00CD6C35" w:rsidRPr="00605771">
        <w:t>ajout</w:t>
      </w:r>
      <w:r w:rsidR="00911A26" w:rsidRPr="00605771">
        <w:t>a qu</w:t>
      </w:r>
      <w:r w:rsidR="00605771" w:rsidRPr="00605771">
        <w:t>’</w:t>
      </w:r>
      <w:r w:rsidR="00911A26" w:rsidRPr="00605771">
        <w:t>il était pourtant</w:t>
      </w:r>
      <w:r w:rsidR="00BE517A" w:rsidRPr="00605771">
        <w:t xml:space="preserve"> « bien connu </w:t>
      </w:r>
      <w:r w:rsidR="001C477B" w:rsidRPr="00605771">
        <w:t xml:space="preserve">– </w:t>
      </w:r>
      <w:r w:rsidR="00BE517A" w:rsidRPr="00605771">
        <w:t>d</w:t>
      </w:r>
      <w:r w:rsidR="00605771" w:rsidRPr="00605771">
        <w:t>’</w:t>
      </w:r>
      <w:r w:rsidR="00BE517A" w:rsidRPr="00605771">
        <w:t xml:space="preserve">autant plus </w:t>
      </w:r>
      <w:r w:rsidR="001C477B" w:rsidRPr="00605771">
        <w:t>[</w:t>
      </w:r>
      <w:r w:rsidR="00911A26" w:rsidRPr="00605771">
        <w:t>de ces employés</w:t>
      </w:r>
      <w:r w:rsidR="001C477B" w:rsidRPr="00605771">
        <w:t>]</w:t>
      </w:r>
      <w:r w:rsidR="0016723B" w:rsidRPr="00605771">
        <w:t xml:space="preserve"> </w:t>
      </w:r>
      <w:r w:rsidR="00BE517A" w:rsidRPr="00605771">
        <w:t>personnellement</w:t>
      </w:r>
      <w:r w:rsidR="001C477B" w:rsidRPr="00605771">
        <w:t xml:space="preserve"> –</w:t>
      </w:r>
      <w:r w:rsidR="00BE517A" w:rsidRPr="00605771">
        <w:t xml:space="preserve"> à quel</w:t>
      </w:r>
      <w:r w:rsidR="001C477B" w:rsidRPr="00605771">
        <w:t>le</w:t>
      </w:r>
      <w:r w:rsidR="00BE517A" w:rsidRPr="00605771">
        <w:t xml:space="preserve"> fin les étrangères, ressortissantes russes, voyageaient en Grèce, </w:t>
      </w:r>
      <w:r w:rsidR="0016723B" w:rsidRPr="00605771">
        <w:t xml:space="preserve">étant donné </w:t>
      </w:r>
      <w:r w:rsidR="00BE517A" w:rsidRPr="00605771">
        <w:t>que</w:t>
      </w:r>
      <w:r w:rsidR="001C477B" w:rsidRPr="00605771">
        <w:t>,</w:t>
      </w:r>
      <w:r w:rsidR="00BE517A" w:rsidRPr="00605771">
        <w:t xml:space="preserve"> pour chaque visa, la somme de 1 000 EUR ou </w:t>
      </w:r>
      <w:r w:rsidR="001C477B" w:rsidRPr="00605771">
        <w:t xml:space="preserve">de </w:t>
      </w:r>
      <w:r w:rsidR="00BE517A" w:rsidRPr="00605771">
        <w:t>1 000</w:t>
      </w:r>
      <w:r w:rsidR="001C477B" w:rsidRPr="00605771">
        <w:t xml:space="preserve"> à </w:t>
      </w:r>
      <w:r w:rsidR="00BE517A" w:rsidRPr="00605771">
        <w:t xml:space="preserve">2 000 dollars était demandée </w:t>
      </w:r>
      <w:r w:rsidR="001C477B" w:rsidRPr="00605771">
        <w:t>aux</w:t>
      </w:r>
      <w:r w:rsidR="00BE517A" w:rsidRPr="00605771">
        <w:t xml:space="preserve"> intéressées ». </w:t>
      </w:r>
      <w:r w:rsidRPr="00605771">
        <w:t xml:space="preserve">Elle souligna </w:t>
      </w:r>
      <w:r w:rsidR="00A07D66" w:rsidRPr="00605771">
        <w:t xml:space="preserve">enfin </w:t>
      </w:r>
      <w:r w:rsidRPr="00605771">
        <w:t xml:space="preserve">la gravité des faits et demanda </w:t>
      </w:r>
      <w:r w:rsidR="001C477B" w:rsidRPr="00605771">
        <w:t>à se voir autoriser à t</w:t>
      </w:r>
      <w:r w:rsidRPr="00605771">
        <w:t>raiter le dossier, malgré le fait qu</w:t>
      </w:r>
      <w:r w:rsidR="00605771" w:rsidRPr="00605771">
        <w:t>’</w:t>
      </w:r>
      <w:r w:rsidRPr="00605771">
        <w:t>il s</w:t>
      </w:r>
      <w:r w:rsidR="00605771" w:rsidRPr="00605771">
        <w:t>’</w:t>
      </w:r>
      <w:r w:rsidRPr="00605771">
        <w:t>agissait de crimes et non pas de délits.</w:t>
      </w:r>
    </w:p>
    <w:bookmarkStart w:id="13" w:name="demandeprocureure3"/>
    <w:p w:rsidR="002C7F5B" w:rsidRPr="00605771" w:rsidRDefault="00DB1446" w:rsidP="00605771">
      <w:pPr>
        <w:pStyle w:val="JuPara"/>
        <w:rPr>
          <w:rFonts w:ascii="Times New Roman" w:eastAsia="Times New Roman" w:hAnsi="Times New Roman" w:cs="Times New Roman"/>
        </w:rPr>
      </w:pPr>
      <w:r w:rsidRPr="00605771">
        <w:fldChar w:fldCharType="begin"/>
      </w:r>
      <w:r w:rsidRPr="00605771">
        <w:instrText xml:space="preserve"> SEQ level0 \*arabic </w:instrText>
      </w:r>
      <w:r w:rsidRPr="00605771">
        <w:fldChar w:fldCharType="separate"/>
      </w:r>
      <w:r w:rsidR="00605771" w:rsidRPr="00605771">
        <w:rPr>
          <w:noProof/>
        </w:rPr>
        <w:t>77</w:t>
      </w:r>
      <w:r w:rsidRPr="00605771">
        <w:fldChar w:fldCharType="end"/>
      </w:r>
      <w:bookmarkEnd w:id="13"/>
      <w:r w:rsidRPr="00605771">
        <w:t xml:space="preserve">.  Le 30 octobre 2006, la procureure </w:t>
      </w:r>
      <w:r w:rsidR="001B571D" w:rsidRPr="00605771">
        <w:t>près le tribunal correctionnel d</w:t>
      </w:r>
      <w:r w:rsidR="00605771" w:rsidRPr="00605771">
        <w:t>’</w:t>
      </w:r>
      <w:r w:rsidR="001B571D" w:rsidRPr="00605771">
        <w:t xml:space="preserve">Athènes </w:t>
      </w:r>
      <w:r w:rsidRPr="00605771">
        <w:t>renvoya le dossier de l</w:t>
      </w:r>
      <w:r w:rsidR="00605771" w:rsidRPr="00605771">
        <w:t>’</w:t>
      </w:r>
      <w:r w:rsidRPr="00605771">
        <w:t xml:space="preserve">affaire à </w:t>
      </w:r>
      <w:r w:rsidRPr="00605771">
        <w:rPr>
          <w:rFonts w:ascii="Times New Roman" w:eastAsia="Times New Roman" w:hAnsi="Times New Roman" w:cs="Times New Roman"/>
        </w:rPr>
        <w:t xml:space="preserve">la </w:t>
      </w:r>
      <w:r w:rsidR="0062170F" w:rsidRPr="00605771">
        <w:rPr>
          <w:rFonts w:ascii="Times New Roman" w:eastAsia="Times New Roman" w:hAnsi="Times New Roman" w:cs="Times New Roman"/>
        </w:rPr>
        <w:t>d</w:t>
      </w:r>
      <w:r w:rsidRPr="00605771">
        <w:rPr>
          <w:rFonts w:ascii="Times New Roman" w:eastAsia="Times New Roman" w:hAnsi="Times New Roman" w:cs="Times New Roman"/>
        </w:rPr>
        <w:t>irection de</w:t>
      </w:r>
      <w:r w:rsidR="005731CC" w:rsidRPr="00605771">
        <w:rPr>
          <w:rFonts w:ascii="Times New Roman" w:eastAsia="Times New Roman" w:hAnsi="Times New Roman" w:cs="Times New Roman"/>
        </w:rPr>
        <w:t xml:space="preserve"> la</w:t>
      </w:r>
      <w:r w:rsidRPr="00605771">
        <w:rPr>
          <w:rFonts w:ascii="Times New Roman" w:eastAsia="Times New Roman" w:hAnsi="Times New Roman" w:cs="Times New Roman"/>
        </w:rPr>
        <w:t xml:space="preserve"> sécurité de la police de l</w:t>
      </w:r>
      <w:r w:rsidR="00605771" w:rsidRPr="00605771">
        <w:rPr>
          <w:rFonts w:ascii="Times New Roman" w:eastAsia="Times New Roman" w:hAnsi="Times New Roman" w:cs="Times New Roman"/>
        </w:rPr>
        <w:t>’</w:t>
      </w:r>
      <w:r w:rsidRPr="00605771">
        <w:rPr>
          <w:rFonts w:ascii="Times New Roman" w:eastAsia="Times New Roman" w:hAnsi="Times New Roman" w:cs="Times New Roman"/>
        </w:rPr>
        <w:t xml:space="preserve">Attique </w:t>
      </w:r>
      <w:r w:rsidR="001B571D" w:rsidRPr="00605771">
        <w:rPr>
          <w:rFonts w:ascii="Times New Roman" w:eastAsia="Times New Roman" w:hAnsi="Times New Roman" w:cs="Times New Roman"/>
        </w:rPr>
        <w:t>aux fins de la conduite d</w:t>
      </w:r>
      <w:r w:rsidR="00605771" w:rsidRPr="00605771">
        <w:rPr>
          <w:rFonts w:ascii="Times New Roman" w:eastAsia="Times New Roman" w:hAnsi="Times New Roman" w:cs="Times New Roman"/>
        </w:rPr>
        <w:t>’</w:t>
      </w:r>
      <w:r w:rsidRPr="00605771">
        <w:rPr>
          <w:rFonts w:ascii="Times New Roman" w:eastAsia="Times New Roman" w:hAnsi="Times New Roman" w:cs="Times New Roman"/>
        </w:rPr>
        <w:t xml:space="preserve">une enquête préliminaire supplémentaire. </w:t>
      </w:r>
      <w:r w:rsidR="001F7FDE" w:rsidRPr="00605771">
        <w:rPr>
          <w:rFonts w:ascii="Times New Roman" w:eastAsia="Times New Roman" w:hAnsi="Times New Roman" w:cs="Times New Roman"/>
        </w:rPr>
        <w:t>E</w:t>
      </w:r>
      <w:r w:rsidR="001B571D" w:rsidRPr="00605771">
        <w:rPr>
          <w:rFonts w:ascii="Times New Roman" w:eastAsia="Times New Roman" w:hAnsi="Times New Roman" w:cs="Times New Roman"/>
        </w:rPr>
        <w:t>lle demanda en</w:t>
      </w:r>
      <w:r w:rsidR="001F7FDE" w:rsidRPr="00605771">
        <w:rPr>
          <w:rFonts w:ascii="Times New Roman" w:eastAsia="Times New Roman" w:hAnsi="Times New Roman" w:cs="Times New Roman"/>
        </w:rPr>
        <w:t xml:space="preserve"> particulier</w:t>
      </w:r>
      <w:r w:rsidR="001B571D" w:rsidRPr="00605771">
        <w:rPr>
          <w:rFonts w:ascii="Times New Roman" w:eastAsia="Times New Roman" w:hAnsi="Times New Roman" w:cs="Times New Roman"/>
        </w:rPr>
        <w:t xml:space="preserve"> à ce que le champ de </w:t>
      </w:r>
      <w:r w:rsidR="001F7FDE" w:rsidRPr="00605771">
        <w:rPr>
          <w:rFonts w:ascii="Times New Roman" w:eastAsia="Times New Roman" w:hAnsi="Times New Roman" w:cs="Times New Roman"/>
        </w:rPr>
        <w:t>l</w:t>
      </w:r>
      <w:r w:rsidR="00605771" w:rsidRPr="00605771">
        <w:rPr>
          <w:rFonts w:ascii="Times New Roman" w:eastAsia="Times New Roman" w:hAnsi="Times New Roman" w:cs="Times New Roman"/>
        </w:rPr>
        <w:t>’</w:t>
      </w:r>
      <w:r w:rsidR="001F7FDE" w:rsidRPr="00605771">
        <w:rPr>
          <w:rFonts w:ascii="Times New Roman" w:eastAsia="Times New Roman" w:hAnsi="Times New Roman" w:cs="Times New Roman"/>
        </w:rPr>
        <w:t xml:space="preserve">enquête </w:t>
      </w:r>
      <w:r w:rsidR="001B571D" w:rsidRPr="00605771">
        <w:rPr>
          <w:rFonts w:ascii="Times New Roman" w:eastAsia="Times New Roman" w:hAnsi="Times New Roman" w:cs="Times New Roman"/>
        </w:rPr>
        <w:t xml:space="preserve">fût étendu, et ce </w:t>
      </w:r>
      <w:r w:rsidR="001F7FDE" w:rsidRPr="00605771">
        <w:rPr>
          <w:rFonts w:ascii="Times New Roman" w:eastAsia="Times New Roman" w:hAnsi="Times New Roman" w:cs="Times New Roman"/>
        </w:rPr>
        <w:t xml:space="preserve">afin </w:t>
      </w:r>
      <w:r w:rsidR="001B571D" w:rsidRPr="00605771">
        <w:rPr>
          <w:rFonts w:ascii="Times New Roman" w:eastAsia="Times New Roman" w:hAnsi="Times New Roman" w:cs="Times New Roman"/>
        </w:rPr>
        <w:t>que</w:t>
      </w:r>
      <w:r w:rsidR="001F7FDE" w:rsidRPr="00605771">
        <w:rPr>
          <w:rFonts w:ascii="Times New Roman" w:eastAsia="Times New Roman" w:hAnsi="Times New Roman" w:cs="Times New Roman"/>
        </w:rPr>
        <w:t xml:space="preserve"> des cas similaires </w:t>
      </w:r>
      <w:r w:rsidR="001B571D" w:rsidRPr="00605771">
        <w:rPr>
          <w:rFonts w:ascii="Times New Roman" w:eastAsia="Times New Roman" w:hAnsi="Times New Roman" w:cs="Times New Roman"/>
        </w:rPr>
        <w:t xml:space="preserve">concernant </w:t>
      </w:r>
      <w:r w:rsidR="001F7FDE" w:rsidRPr="00605771">
        <w:rPr>
          <w:rFonts w:ascii="Times New Roman" w:eastAsia="Times New Roman" w:hAnsi="Times New Roman" w:cs="Times New Roman"/>
        </w:rPr>
        <w:t xml:space="preserve">des ressortissantes russes </w:t>
      </w:r>
      <w:r w:rsidR="001B571D" w:rsidRPr="00605771">
        <w:rPr>
          <w:rFonts w:ascii="Times New Roman" w:eastAsia="Times New Roman" w:hAnsi="Times New Roman" w:cs="Times New Roman"/>
        </w:rPr>
        <w:t xml:space="preserve">ayant </w:t>
      </w:r>
      <w:r w:rsidR="001F7FDE" w:rsidRPr="00605771">
        <w:rPr>
          <w:rFonts w:ascii="Times New Roman" w:eastAsia="Times New Roman" w:hAnsi="Times New Roman" w:cs="Times New Roman"/>
        </w:rPr>
        <w:t>été arrêté</w:t>
      </w:r>
      <w:r w:rsidR="001B571D" w:rsidRPr="00605771">
        <w:rPr>
          <w:rFonts w:ascii="Times New Roman" w:eastAsia="Times New Roman" w:hAnsi="Times New Roman" w:cs="Times New Roman"/>
        </w:rPr>
        <w:t>e</w:t>
      </w:r>
      <w:r w:rsidR="001F7FDE" w:rsidRPr="00605771">
        <w:rPr>
          <w:rFonts w:ascii="Times New Roman" w:eastAsia="Times New Roman" w:hAnsi="Times New Roman" w:cs="Times New Roman"/>
        </w:rPr>
        <w:t xml:space="preserve">s pendant les années 2001 à 2004 </w:t>
      </w:r>
      <w:r w:rsidR="001B571D" w:rsidRPr="00605771">
        <w:rPr>
          <w:rFonts w:ascii="Times New Roman" w:eastAsia="Times New Roman" w:hAnsi="Times New Roman" w:cs="Times New Roman"/>
        </w:rPr>
        <w:t>fussent</w:t>
      </w:r>
      <w:r w:rsidR="00CD770A" w:rsidRPr="00605771">
        <w:rPr>
          <w:rFonts w:ascii="Times New Roman" w:eastAsia="Times New Roman" w:hAnsi="Times New Roman" w:cs="Times New Roman"/>
        </w:rPr>
        <w:t>, le cas échéant,</w:t>
      </w:r>
      <w:r w:rsidR="001B571D" w:rsidRPr="00605771">
        <w:rPr>
          <w:rFonts w:ascii="Times New Roman" w:eastAsia="Times New Roman" w:hAnsi="Times New Roman" w:cs="Times New Roman"/>
        </w:rPr>
        <w:t xml:space="preserve"> trouvé</w:t>
      </w:r>
      <w:r w:rsidR="008B2690" w:rsidRPr="00605771">
        <w:rPr>
          <w:rFonts w:ascii="Times New Roman" w:eastAsia="Times New Roman" w:hAnsi="Times New Roman" w:cs="Times New Roman"/>
        </w:rPr>
        <w:t>e</w:t>
      </w:r>
      <w:r w:rsidR="001B571D" w:rsidRPr="00605771">
        <w:rPr>
          <w:rFonts w:ascii="Times New Roman" w:eastAsia="Times New Roman" w:hAnsi="Times New Roman" w:cs="Times New Roman"/>
        </w:rPr>
        <w:t xml:space="preserve">s et </w:t>
      </w:r>
      <w:r w:rsidR="00CD770A" w:rsidRPr="00605771">
        <w:rPr>
          <w:rFonts w:ascii="Times New Roman" w:eastAsia="Times New Roman" w:hAnsi="Times New Roman" w:cs="Times New Roman"/>
        </w:rPr>
        <w:t>que celles-ci fussent</w:t>
      </w:r>
      <w:r w:rsidR="001B571D" w:rsidRPr="00605771">
        <w:rPr>
          <w:rFonts w:ascii="Times New Roman" w:eastAsia="Times New Roman" w:hAnsi="Times New Roman" w:cs="Times New Roman"/>
        </w:rPr>
        <w:t xml:space="preserve"> </w:t>
      </w:r>
      <w:r w:rsidR="00A53C0B" w:rsidRPr="00605771">
        <w:rPr>
          <w:rFonts w:ascii="Times New Roman" w:eastAsia="Times New Roman" w:hAnsi="Times New Roman" w:cs="Times New Roman"/>
        </w:rPr>
        <w:t>auditionnées</w:t>
      </w:r>
      <w:r w:rsidR="000509F4" w:rsidRPr="00605771">
        <w:rPr>
          <w:rFonts w:ascii="Times New Roman" w:eastAsia="Times New Roman" w:hAnsi="Times New Roman" w:cs="Times New Roman"/>
        </w:rPr>
        <w:t xml:space="preserve"> en tant que</w:t>
      </w:r>
      <w:r w:rsidR="001F7FDE" w:rsidRPr="00605771">
        <w:rPr>
          <w:rFonts w:ascii="Times New Roman" w:eastAsia="Times New Roman" w:hAnsi="Times New Roman" w:cs="Times New Roman"/>
        </w:rPr>
        <w:t xml:space="preserve"> témoins, </w:t>
      </w:r>
      <w:r w:rsidR="00A53C0B" w:rsidRPr="00605771">
        <w:rPr>
          <w:rFonts w:ascii="Times New Roman" w:eastAsia="Times New Roman" w:hAnsi="Times New Roman" w:cs="Times New Roman"/>
        </w:rPr>
        <w:t>que</w:t>
      </w:r>
      <w:r w:rsidR="001F7FDE" w:rsidRPr="00605771">
        <w:rPr>
          <w:rFonts w:ascii="Times New Roman" w:eastAsia="Times New Roman" w:hAnsi="Times New Roman" w:cs="Times New Roman"/>
        </w:rPr>
        <w:t xml:space="preserve"> des copies des visas délivrés pendant la même période</w:t>
      </w:r>
      <w:r w:rsidR="00A53C0B" w:rsidRPr="00605771">
        <w:rPr>
          <w:rFonts w:ascii="Times New Roman" w:eastAsia="Times New Roman" w:hAnsi="Times New Roman" w:cs="Times New Roman"/>
        </w:rPr>
        <w:t xml:space="preserve"> lui fussent </w:t>
      </w:r>
      <w:r w:rsidR="00C217D6" w:rsidRPr="00605771">
        <w:rPr>
          <w:rFonts w:ascii="Times New Roman" w:eastAsia="Times New Roman" w:hAnsi="Times New Roman" w:cs="Times New Roman"/>
        </w:rPr>
        <w:t>communiquées</w:t>
      </w:r>
      <w:r w:rsidR="001F7FDE" w:rsidRPr="00605771">
        <w:rPr>
          <w:rFonts w:ascii="Times New Roman" w:eastAsia="Times New Roman" w:hAnsi="Times New Roman" w:cs="Times New Roman"/>
        </w:rPr>
        <w:t xml:space="preserve">, </w:t>
      </w:r>
      <w:r w:rsidR="00A53C0B" w:rsidRPr="00605771">
        <w:rPr>
          <w:rFonts w:ascii="Times New Roman" w:eastAsia="Times New Roman" w:hAnsi="Times New Roman" w:cs="Times New Roman"/>
        </w:rPr>
        <w:t>que</w:t>
      </w:r>
      <w:r w:rsidR="001F7FDE" w:rsidRPr="00605771">
        <w:rPr>
          <w:rFonts w:ascii="Times New Roman" w:eastAsia="Times New Roman" w:hAnsi="Times New Roman" w:cs="Times New Roman"/>
        </w:rPr>
        <w:t xml:space="preserve"> les propriétaires des hôtels et </w:t>
      </w:r>
      <w:r w:rsidR="000509F4" w:rsidRPr="00605771">
        <w:rPr>
          <w:rFonts w:ascii="Times New Roman" w:eastAsia="Times New Roman" w:hAnsi="Times New Roman" w:cs="Times New Roman"/>
        </w:rPr>
        <w:t xml:space="preserve">des </w:t>
      </w:r>
      <w:r w:rsidR="001F7FDE" w:rsidRPr="00605771">
        <w:rPr>
          <w:rFonts w:ascii="Times New Roman" w:eastAsia="Times New Roman" w:hAnsi="Times New Roman" w:cs="Times New Roman"/>
        </w:rPr>
        <w:t xml:space="preserve">agences de tourisme </w:t>
      </w:r>
      <w:r w:rsidR="001F7FDE" w:rsidRPr="00605771">
        <w:rPr>
          <w:rFonts w:ascii="Times New Roman" w:eastAsia="Times New Roman" w:hAnsi="Times New Roman" w:cs="Times New Roman"/>
        </w:rPr>
        <w:lastRenderedPageBreak/>
        <w:t xml:space="preserve">impliqués </w:t>
      </w:r>
      <w:r w:rsidR="00A53C0B" w:rsidRPr="00605771">
        <w:rPr>
          <w:rFonts w:ascii="Times New Roman" w:eastAsia="Times New Roman" w:hAnsi="Times New Roman" w:cs="Times New Roman"/>
        </w:rPr>
        <w:t xml:space="preserve">fussent interrogés </w:t>
      </w:r>
      <w:r w:rsidR="001F7FDE" w:rsidRPr="00605771">
        <w:rPr>
          <w:rFonts w:ascii="Times New Roman" w:eastAsia="Times New Roman" w:hAnsi="Times New Roman" w:cs="Times New Roman"/>
        </w:rPr>
        <w:t xml:space="preserve">et </w:t>
      </w:r>
      <w:r w:rsidR="00A53C0B" w:rsidRPr="00605771">
        <w:rPr>
          <w:rFonts w:ascii="Times New Roman" w:eastAsia="Times New Roman" w:hAnsi="Times New Roman" w:cs="Times New Roman"/>
        </w:rPr>
        <w:t>que les</w:t>
      </w:r>
      <w:r w:rsidR="001F7FDE" w:rsidRPr="00605771">
        <w:rPr>
          <w:rFonts w:ascii="Times New Roman" w:eastAsia="Times New Roman" w:hAnsi="Times New Roman" w:cs="Times New Roman"/>
        </w:rPr>
        <w:t xml:space="preserve"> employés du ministère des </w:t>
      </w:r>
      <w:r w:rsidR="00907391" w:rsidRPr="00605771">
        <w:rPr>
          <w:rFonts w:ascii="Times New Roman" w:eastAsia="Times New Roman" w:hAnsi="Times New Roman" w:cs="Times New Roman"/>
        </w:rPr>
        <w:t>A</w:t>
      </w:r>
      <w:r w:rsidR="001F7FDE" w:rsidRPr="00605771">
        <w:rPr>
          <w:rFonts w:ascii="Times New Roman" w:eastAsia="Times New Roman" w:hAnsi="Times New Roman" w:cs="Times New Roman"/>
        </w:rPr>
        <w:t>ffaires étrangères à Athènes</w:t>
      </w:r>
      <w:r w:rsidR="00A53C0B" w:rsidRPr="00605771">
        <w:rPr>
          <w:rFonts w:ascii="Times New Roman" w:eastAsia="Times New Roman" w:hAnsi="Times New Roman" w:cs="Times New Roman"/>
        </w:rPr>
        <w:t xml:space="preserve"> fussent entendus</w:t>
      </w:r>
      <w:r w:rsidR="001F7FDE" w:rsidRPr="00605771">
        <w:rPr>
          <w:rFonts w:ascii="Times New Roman" w:eastAsia="Times New Roman" w:hAnsi="Times New Roman" w:cs="Times New Roman"/>
        </w:rPr>
        <w:t>.</w:t>
      </w:r>
    </w:p>
    <w:p w:rsidR="002C7F5B" w:rsidRPr="00605771" w:rsidRDefault="00DB1446" w:rsidP="00605771">
      <w:pPr>
        <w:pStyle w:val="JuPara"/>
      </w:pPr>
      <w:r w:rsidRPr="00605771">
        <w:rPr>
          <w:rFonts w:ascii="Times New Roman" w:eastAsia="Times New Roman" w:hAnsi="Times New Roman" w:cs="Times New Roman"/>
        </w:rPr>
        <w:fldChar w:fldCharType="begin"/>
      </w:r>
      <w:r w:rsidRPr="00605771">
        <w:rPr>
          <w:rFonts w:ascii="Times New Roman" w:eastAsia="Times New Roman" w:hAnsi="Times New Roman" w:cs="Times New Roman"/>
        </w:rPr>
        <w:instrText xml:space="preserve"> SEQ level0 \*arabic </w:instrText>
      </w:r>
      <w:r w:rsidRPr="00605771">
        <w:rPr>
          <w:rFonts w:ascii="Times New Roman" w:eastAsia="Times New Roman" w:hAnsi="Times New Roman" w:cs="Times New Roman"/>
        </w:rPr>
        <w:fldChar w:fldCharType="separate"/>
      </w:r>
      <w:r w:rsidR="00605771" w:rsidRPr="00605771">
        <w:rPr>
          <w:rFonts w:ascii="Times New Roman" w:eastAsia="Times New Roman" w:hAnsi="Times New Roman" w:cs="Times New Roman"/>
          <w:noProof/>
        </w:rPr>
        <w:t>78</w:t>
      </w:r>
      <w:r w:rsidRPr="00605771">
        <w:rPr>
          <w:rFonts w:ascii="Times New Roman" w:eastAsia="Times New Roman" w:hAnsi="Times New Roman" w:cs="Times New Roman"/>
        </w:rPr>
        <w:fldChar w:fldCharType="end"/>
      </w:r>
      <w:r w:rsidRPr="00605771">
        <w:rPr>
          <w:rFonts w:ascii="Times New Roman" w:eastAsia="Times New Roman" w:hAnsi="Times New Roman" w:cs="Times New Roman"/>
        </w:rPr>
        <w:t xml:space="preserve">.  Le 2 décembre 2006, le Moniteur grec Helsinki soumit au </w:t>
      </w:r>
      <w:r w:rsidR="000B1E19" w:rsidRPr="00605771">
        <w:rPr>
          <w:rFonts w:ascii="Times New Roman" w:eastAsia="Times New Roman" w:hAnsi="Times New Roman" w:cs="Times New Roman"/>
        </w:rPr>
        <w:t xml:space="preserve">procureur en </w:t>
      </w:r>
      <w:r w:rsidRPr="00605771">
        <w:rPr>
          <w:rFonts w:ascii="Times New Roman" w:eastAsia="Times New Roman" w:hAnsi="Times New Roman" w:cs="Times New Roman"/>
        </w:rPr>
        <w:t xml:space="preserve">chef </w:t>
      </w:r>
      <w:r w:rsidRPr="00605771">
        <w:t xml:space="preserve">près le tribunal </w:t>
      </w:r>
      <w:r w:rsidR="008E3BDD" w:rsidRPr="00605771">
        <w:t>correctionnel</w:t>
      </w:r>
      <w:r w:rsidRPr="00605771">
        <w:t xml:space="preserve"> d</w:t>
      </w:r>
      <w:r w:rsidR="00605771" w:rsidRPr="00605771">
        <w:t>’</w:t>
      </w:r>
      <w:r w:rsidRPr="00605771">
        <w:t xml:space="preserve">Athènes des </w:t>
      </w:r>
      <w:r w:rsidR="00BE0C79" w:rsidRPr="00605771">
        <w:t>éléments relatifs à d</w:t>
      </w:r>
      <w:r w:rsidR="00605771" w:rsidRPr="00605771">
        <w:t>’</w:t>
      </w:r>
      <w:r w:rsidR="00BE0C79" w:rsidRPr="00605771">
        <w:t xml:space="preserve">autres </w:t>
      </w:r>
      <w:r w:rsidRPr="00605771">
        <w:t>cas d</w:t>
      </w:r>
      <w:r w:rsidR="00BE0C79" w:rsidRPr="00605771">
        <w:t>e personnes</w:t>
      </w:r>
      <w:r w:rsidRPr="00605771">
        <w:t xml:space="preserve"> victimes de </w:t>
      </w:r>
      <w:r w:rsidR="00B0167F" w:rsidRPr="00605771">
        <w:t xml:space="preserve">la </w:t>
      </w:r>
      <w:r w:rsidRPr="00605771">
        <w:t>traite des êt</w:t>
      </w:r>
      <w:r w:rsidR="005F0E08" w:rsidRPr="00605771">
        <w:t>res humains pour lesquelles le c</w:t>
      </w:r>
      <w:r w:rsidRPr="00605771">
        <w:t>onsulat avait procédé à la délivrance de visas.</w:t>
      </w:r>
    </w:p>
    <w:p w:rsidR="002C7F5B" w:rsidRPr="00605771" w:rsidRDefault="00DB1446" w:rsidP="00605771">
      <w:pPr>
        <w:pStyle w:val="JuPara"/>
      </w:pPr>
      <w:r w:rsidRPr="00605771">
        <w:rPr>
          <w:rFonts w:ascii="Times New Roman" w:eastAsia="Times New Roman" w:hAnsi="Times New Roman" w:cs="Times New Roman"/>
        </w:rPr>
        <w:fldChar w:fldCharType="begin"/>
      </w:r>
      <w:r w:rsidRPr="00605771">
        <w:rPr>
          <w:rFonts w:ascii="Times New Roman" w:eastAsia="Times New Roman" w:hAnsi="Times New Roman" w:cs="Times New Roman"/>
        </w:rPr>
        <w:instrText xml:space="preserve"> SEQ level0 \*arabic </w:instrText>
      </w:r>
      <w:r w:rsidRPr="00605771">
        <w:rPr>
          <w:rFonts w:ascii="Times New Roman" w:eastAsia="Times New Roman" w:hAnsi="Times New Roman" w:cs="Times New Roman"/>
        </w:rPr>
        <w:fldChar w:fldCharType="separate"/>
      </w:r>
      <w:r w:rsidR="00605771" w:rsidRPr="00605771">
        <w:rPr>
          <w:rFonts w:ascii="Times New Roman" w:eastAsia="Times New Roman" w:hAnsi="Times New Roman" w:cs="Times New Roman"/>
          <w:noProof/>
        </w:rPr>
        <w:t>79</w:t>
      </w:r>
      <w:r w:rsidRPr="00605771">
        <w:rPr>
          <w:rFonts w:ascii="Times New Roman" w:eastAsia="Times New Roman" w:hAnsi="Times New Roman" w:cs="Times New Roman"/>
        </w:rPr>
        <w:fldChar w:fldCharType="end"/>
      </w:r>
      <w:r w:rsidR="009E76B7" w:rsidRPr="00605771">
        <w:rPr>
          <w:rFonts w:ascii="Times New Roman" w:eastAsia="Times New Roman" w:hAnsi="Times New Roman" w:cs="Times New Roman"/>
        </w:rPr>
        <w:t xml:space="preserve">.  Le 25 mai </w:t>
      </w:r>
      <w:r w:rsidRPr="00605771">
        <w:rPr>
          <w:rFonts w:ascii="Times New Roman" w:eastAsia="Times New Roman" w:hAnsi="Times New Roman" w:cs="Times New Roman"/>
        </w:rPr>
        <w:t>2009,</w:t>
      </w:r>
      <w:r w:rsidR="00253299" w:rsidRPr="00605771">
        <w:rPr>
          <w:rFonts w:ascii="Times New Roman" w:eastAsia="Times New Roman" w:hAnsi="Times New Roman" w:cs="Times New Roman"/>
        </w:rPr>
        <w:t xml:space="preserve"> après avoir </w:t>
      </w:r>
      <w:r w:rsidR="00BE0C79" w:rsidRPr="00605771">
        <w:rPr>
          <w:rFonts w:ascii="Times New Roman" w:eastAsia="Times New Roman" w:hAnsi="Times New Roman" w:cs="Times New Roman"/>
        </w:rPr>
        <w:t>cl</w:t>
      </w:r>
      <w:r w:rsidR="0098466B" w:rsidRPr="00605771">
        <w:rPr>
          <w:rFonts w:ascii="Times New Roman" w:eastAsia="Times New Roman" w:hAnsi="Times New Roman" w:cs="Times New Roman"/>
        </w:rPr>
        <w:t>ôturé</w:t>
      </w:r>
      <w:r w:rsidR="00253299" w:rsidRPr="00605771">
        <w:rPr>
          <w:rFonts w:ascii="Times New Roman" w:eastAsia="Times New Roman" w:hAnsi="Times New Roman" w:cs="Times New Roman"/>
        </w:rPr>
        <w:t xml:space="preserve"> l</w:t>
      </w:r>
      <w:r w:rsidR="00605771" w:rsidRPr="00605771">
        <w:rPr>
          <w:rFonts w:ascii="Times New Roman" w:eastAsia="Times New Roman" w:hAnsi="Times New Roman" w:cs="Times New Roman"/>
        </w:rPr>
        <w:t>’</w:t>
      </w:r>
      <w:r w:rsidR="00253299" w:rsidRPr="00605771">
        <w:rPr>
          <w:rFonts w:ascii="Times New Roman" w:eastAsia="Times New Roman" w:hAnsi="Times New Roman" w:cs="Times New Roman"/>
        </w:rPr>
        <w:t>enquête</w:t>
      </w:r>
      <w:r w:rsidR="00AC6779" w:rsidRPr="00605771">
        <w:rPr>
          <w:rFonts w:ascii="Times New Roman" w:eastAsia="Times New Roman" w:hAnsi="Times New Roman" w:cs="Times New Roman"/>
        </w:rPr>
        <w:t xml:space="preserve"> à son niveau</w:t>
      </w:r>
      <w:r w:rsidR="00253299" w:rsidRPr="00605771">
        <w:rPr>
          <w:rFonts w:ascii="Times New Roman" w:eastAsia="Times New Roman" w:hAnsi="Times New Roman" w:cs="Times New Roman"/>
        </w:rPr>
        <w:t>,</w:t>
      </w:r>
      <w:r w:rsidR="0062170F" w:rsidRPr="00605771">
        <w:rPr>
          <w:rFonts w:ascii="Times New Roman" w:eastAsia="Times New Roman" w:hAnsi="Times New Roman" w:cs="Times New Roman"/>
        </w:rPr>
        <w:t xml:space="preserve"> la d</w:t>
      </w:r>
      <w:r w:rsidRPr="00605771">
        <w:rPr>
          <w:rFonts w:ascii="Times New Roman" w:eastAsia="Times New Roman" w:hAnsi="Times New Roman" w:cs="Times New Roman"/>
        </w:rPr>
        <w:t xml:space="preserve">irection de </w:t>
      </w:r>
      <w:r w:rsidR="005731CC" w:rsidRPr="00605771">
        <w:rPr>
          <w:rFonts w:ascii="Times New Roman" w:eastAsia="Times New Roman" w:hAnsi="Times New Roman" w:cs="Times New Roman"/>
        </w:rPr>
        <w:t xml:space="preserve">la </w:t>
      </w:r>
      <w:r w:rsidRPr="00605771">
        <w:rPr>
          <w:rFonts w:ascii="Times New Roman" w:eastAsia="Times New Roman" w:hAnsi="Times New Roman" w:cs="Times New Roman"/>
        </w:rPr>
        <w:t>sécurité de la police de l</w:t>
      </w:r>
      <w:r w:rsidR="00605771" w:rsidRPr="00605771">
        <w:rPr>
          <w:rFonts w:ascii="Times New Roman" w:eastAsia="Times New Roman" w:hAnsi="Times New Roman" w:cs="Times New Roman"/>
        </w:rPr>
        <w:t>’</w:t>
      </w:r>
      <w:r w:rsidRPr="00605771">
        <w:rPr>
          <w:rFonts w:ascii="Times New Roman" w:eastAsia="Times New Roman" w:hAnsi="Times New Roman" w:cs="Times New Roman"/>
        </w:rPr>
        <w:t>Attique renvoya l</w:t>
      </w:r>
      <w:r w:rsidR="00605771" w:rsidRPr="00605771">
        <w:rPr>
          <w:rFonts w:ascii="Times New Roman" w:eastAsia="Times New Roman" w:hAnsi="Times New Roman" w:cs="Times New Roman"/>
        </w:rPr>
        <w:t>’</w:t>
      </w:r>
      <w:r w:rsidRPr="00605771">
        <w:rPr>
          <w:rFonts w:ascii="Times New Roman" w:eastAsia="Times New Roman" w:hAnsi="Times New Roman" w:cs="Times New Roman"/>
        </w:rPr>
        <w:t xml:space="preserve">affaire </w:t>
      </w:r>
      <w:r w:rsidR="00390AD3" w:rsidRPr="00605771">
        <w:rPr>
          <w:rFonts w:ascii="Times New Roman" w:eastAsia="Times New Roman" w:hAnsi="Times New Roman" w:cs="Times New Roman"/>
        </w:rPr>
        <w:t>au</w:t>
      </w:r>
      <w:r w:rsidRPr="00605771">
        <w:rPr>
          <w:rFonts w:ascii="Times New Roman" w:eastAsia="Times New Roman" w:hAnsi="Times New Roman" w:cs="Times New Roman"/>
        </w:rPr>
        <w:t xml:space="preserve"> </w:t>
      </w:r>
      <w:r w:rsidR="000B1E19" w:rsidRPr="00605771">
        <w:rPr>
          <w:rFonts w:ascii="Times New Roman" w:eastAsia="Times New Roman" w:hAnsi="Times New Roman" w:cs="Times New Roman"/>
        </w:rPr>
        <w:t xml:space="preserve">procureur </w:t>
      </w:r>
      <w:r w:rsidR="000B1E19" w:rsidRPr="00605771">
        <w:t>près le</w:t>
      </w:r>
      <w:r w:rsidRPr="00605771">
        <w:t xml:space="preserve"> tribunal </w:t>
      </w:r>
      <w:r w:rsidR="008E3BDD" w:rsidRPr="00605771">
        <w:t>correctionnel</w:t>
      </w:r>
      <w:r w:rsidR="00A30E64" w:rsidRPr="00605771">
        <w:t xml:space="preserve"> </w:t>
      </w:r>
      <w:r w:rsidRPr="00605771">
        <w:t>d</w:t>
      </w:r>
      <w:r w:rsidR="00605771" w:rsidRPr="00605771">
        <w:t>’</w:t>
      </w:r>
      <w:r w:rsidRPr="00605771">
        <w:t>Athènes</w:t>
      </w:r>
      <w:r w:rsidR="00FB4884" w:rsidRPr="00605771">
        <w:t>, en y joignant les éléments recueillis pendant l</w:t>
      </w:r>
      <w:r w:rsidR="00605771" w:rsidRPr="00605771">
        <w:t>’</w:t>
      </w:r>
      <w:r w:rsidR="00FB4884" w:rsidRPr="00605771">
        <w:t>enquête en cause</w:t>
      </w:r>
      <w:r w:rsidRPr="00605771">
        <w:t>.</w:t>
      </w:r>
    </w:p>
    <w:bookmarkStart w:id="14" w:name="conclusionenquêteprél3"/>
    <w:p w:rsidR="002C7F5B" w:rsidRPr="00605771" w:rsidRDefault="00E13D7B"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80</w:t>
      </w:r>
      <w:r w:rsidRPr="00605771">
        <w:fldChar w:fldCharType="end"/>
      </w:r>
      <w:bookmarkEnd w:id="14"/>
      <w:r w:rsidRPr="00605771">
        <w:t>.  </w:t>
      </w:r>
      <w:r w:rsidR="00DB1446" w:rsidRPr="00605771">
        <w:t>Le 4 décembre 2009, l</w:t>
      </w:r>
      <w:r w:rsidR="00605771" w:rsidRPr="00605771">
        <w:t>’</w:t>
      </w:r>
      <w:r w:rsidR="00DB1446" w:rsidRPr="00605771">
        <w:t xml:space="preserve">enquête préliminaire fut </w:t>
      </w:r>
      <w:r w:rsidR="0098466B" w:rsidRPr="00605771">
        <w:t>clôturée</w:t>
      </w:r>
      <w:r w:rsidR="00DB1446" w:rsidRPr="00605771">
        <w:t xml:space="preserve"> par </w:t>
      </w:r>
      <w:r w:rsidR="000A3DA5" w:rsidRPr="00605771">
        <w:t>l</w:t>
      </w:r>
      <w:r w:rsidR="00605771" w:rsidRPr="00605771">
        <w:t>’</w:t>
      </w:r>
      <w:r w:rsidR="00DB1446" w:rsidRPr="00605771">
        <w:t>ordonnance</w:t>
      </w:r>
      <w:r w:rsidR="000A3DA5" w:rsidRPr="00605771">
        <w:t xml:space="preserve"> n</w:t>
      </w:r>
      <w:r w:rsidR="000A3DA5" w:rsidRPr="00605771">
        <w:rPr>
          <w:vertAlign w:val="superscript"/>
        </w:rPr>
        <w:t>o</w:t>
      </w:r>
      <w:r w:rsidR="000A3DA5" w:rsidRPr="00605771">
        <w:t> </w:t>
      </w:r>
      <w:r w:rsidR="000A3DA5" w:rsidRPr="00605771">
        <w:rPr>
          <w:lang w:val="el-GR"/>
        </w:rPr>
        <w:t>ΕΓ</w:t>
      </w:r>
      <w:r w:rsidR="000A3DA5" w:rsidRPr="00605771">
        <w:t> 87 - 09/190/50</w:t>
      </w:r>
      <w:r w:rsidR="000A3DA5" w:rsidRPr="00605771">
        <w:rPr>
          <w:lang w:val="el-GR"/>
        </w:rPr>
        <w:t>Δ</w:t>
      </w:r>
      <w:r w:rsidR="000A3DA5" w:rsidRPr="00605771">
        <w:t>/4-12-2009</w:t>
      </w:r>
      <w:r w:rsidR="00DB1446" w:rsidRPr="00605771">
        <w:t xml:space="preserve"> du procureur près le tribunal correctionnel d</w:t>
      </w:r>
      <w:r w:rsidR="00605771" w:rsidRPr="00605771">
        <w:t>’</w:t>
      </w:r>
      <w:r w:rsidR="00DB1446" w:rsidRPr="00605771">
        <w:t>Athènes</w:t>
      </w:r>
      <w:r w:rsidR="00731A01" w:rsidRPr="00605771">
        <w:t xml:space="preserve"> (</w:t>
      </w:r>
      <w:r w:rsidR="000A3DA5" w:rsidRPr="00605771">
        <w:t xml:space="preserve">article 47 du </w:t>
      </w:r>
      <w:r w:rsidR="00AF0504" w:rsidRPr="00605771">
        <w:t>CPP</w:t>
      </w:r>
      <w:r w:rsidR="00B224FD" w:rsidRPr="00605771">
        <w:t>)</w:t>
      </w:r>
      <w:r w:rsidR="00BE2868" w:rsidRPr="00605771">
        <w:t xml:space="preserve">. </w:t>
      </w:r>
      <w:r w:rsidR="00DB1446" w:rsidRPr="00605771">
        <w:t xml:space="preserve">En premier lieu, le procureur </w:t>
      </w:r>
      <w:r w:rsidR="00B13806" w:rsidRPr="00605771">
        <w:t>releva</w:t>
      </w:r>
      <w:r w:rsidR="00DB1446" w:rsidRPr="00605771">
        <w:t xml:space="preserve"> que, les visas ayant été délivrés avant novembre 2003, les </w:t>
      </w:r>
      <w:r w:rsidR="00FC2E0D" w:rsidRPr="00605771">
        <w:t>infractions</w:t>
      </w:r>
      <w:r w:rsidR="00DB1446" w:rsidRPr="00605771">
        <w:t xml:space="preserve"> relati</w:t>
      </w:r>
      <w:r w:rsidR="00FC2E0D" w:rsidRPr="00605771">
        <w:t>ve</w:t>
      </w:r>
      <w:r w:rsidR="00DB1446" w:rsidRPr="00605771">
        <w:t>s à la falsification de documents et à l</w:t>
      </w:r>
      <w:r w:rsidR="00605771" w:rsidRPr="00605771">
        <w:t>’</w:t>
      </w:r>
      <w:r w:rsidR="00DB1446" w:rsidRPr="00605771">
        <w:t xml:space="preserve">usage de faux, constituant des délits, </w:t>
      </w:r>
      <w:r w:rsidR="00FC2E0D" w:rsidRPr="00605771">
        <w:t>étaient</w:t>
      </w:r>
      <w:r w:rsidR="000A3DA5" w:rsidRPr="00605771">
        <w:t xml:space="preserve"> prescrit</w:t>
      </w:r>
      <w:r w:rsidR="00FC2E0D" w:rsidRPr="00605771">
        <w:t>e</w:t>
      </w:r>
      <w:r w:rsidR="000A3DA5" w:rsidRPr="00605771">
        <w:t>s</w:t>
      </w:r>
      <w:r w:rsidR="00DB1446" w:rsidRPr="00605771">
        <w:t xml:space="preserve">. En deuxième lieu, </w:t>
      </w:r>
      <w:r w:rsidR="000509F4" w:rsidRPr="00605771">
        <w:t xml:space="preserve">il </w:t>
      </w:r>
      <w:r w:rsidR="00DB1446" w:rsidRPr="00605771">
        <w:t>constata l</w:t>
      </w:r>
      <w:r w:rsidR="00605771" w:rsidRPr="00605771">
        <w:t>’</w:t>
      </w:r>
      <w:r w:rsidR="00DB1446" w:rsidRPr="00605771">
        <w:t>absence de preuves suffisantes de culpabilité en ce qui concernait l</w:t>
      </w:r>
      <w:r w:rsidR="00605771" w:rsidRPr="00605771">
        <w:t>’</w:t>
      </w:r>
      <w:r w:rsidR="007670EF" w:rsidRPr="00605771">
        <w:t>infraction</w:t>
      </w:r>
      <w:r w:rsidR="00DB1446" w:rsidRPr="00605771">
        <w:t xml:space="preserve"> de manquement au</w:t>
      </w:r>
      <w:r w:rsidR="009B7E68" w:rsidRPr="00605771">
        <w:t>x</w:t>
      </w:r>
      <w:r w:rsidR="00DB1446" w:rsidRPr="00605771">
        <w:t xml:space="preserve"> devoir</w:t>
      </w:r>
      <w:r w:rsidR="009B7E68" w:rsidRPr="00605771">
        <w:t>s professionnels</w:t>
      </w:r>
      <w:r w:rsidR="00DB1446" w:rsidRPr="00605771">
        <w:t>, prétendument commis</w:t>
      </w:r>
      <w:r w:rsidR="007670EF" w:rsidRPr="00605771">
        <w:t>e</w:t>
      </w:r>
      <w:r w:rsidR="00DB1446" w:rsidRPr="00605771">
        <w:t xml:space="preserve"> par les employés du </w:t>
      </w:r>
      <w:r w:rsidR="00907391" w:rsidRPr="00605771">
        <w:t>m</w:t>
      </w:r>
      <w:r w:rsidR="00DB1446" w:rsidRPr="00605771">
        <w:t xml:space="preserve">inistère des </w:t>
      </w:r>
      <w:r w:rsidR="00907391" w:rsidRPr="00605771">
        <w:t>A</w:t>
      </w:r>
      <w:r w:rsidR="00DB1446" w:rsidRPr="00605771">
        <w:t>ffaires étrangères</w:t>
      </w:r>
      <w:r w:rsidR="007670EF" w:rsidRPr="00605771">
        <w:t xml:space="preserve"> en raison de l</w:t>
      </w:r>
      <w:r w:rsidR="00605771" w:rsidRPr="00605771">
        <w:t>’</w:t>
      </w:r>
      <w:r w:rsidR="007670EF" w:rsidRPr="00605771">
        <w:t>absence de conduite par eux d</w:t>
      </w:r>
      <w:r w:rsidR="00605771" w:rsidRPr="00605771">
        <w:t>’</w:t>
      </w:r>
      <w:r w:rsidR="007670EF" w:rsidRPr="00605771">
        <w:t>une</w:t>
      </w:r>
      <w:r w:rsidR="00C12DEF" w:rsidRPr="00605771">
        <w:t xml:space="preserve"> enquête administrative</w:t>
      </w:r>
      <w:r w:rsidR="00DB1446" w:rsidRPr="00605771">
        <w:t xml:space="preserve">. En troisième lieu, </w:t>
      </w:r>
      <w:r w:rsidR="005A6484" w:rsidRPr="00605771">
        <w:t>s</w:t>
      </w:r>
      <w:r w:rsidR="00605771" w:rsidRPr="00605771">
        <w:t>’</w:t>
      </w:r>
      <w:r w:rsidR="005A6484" w:rsidRPr="00605771">
        <w:t>agissant du</w:t>
      </w:r>
      <w:r w:rsidR="00DB1446" w:rsidRPr="00605771">
        <w:t xml:space="preserve"> restant de l</w:t>
      </w:r>
      <w:r w:rsidR="00605771" w:rsidRPr="00605771">
        <w:t>’</w:t>
      </w:r>
      <w:r w:rsidR="00DB1446" w:rsidRPr="00605771">
        <w:t xml:space="preserve">affaire en cause, </w:t>
      </w:r>
      <w:r w:rsidR="001225F4" w:rsidRPr="00605771">
        <w:t>à savoir les crimes d</w:t>
      </w:r>
      <w:r w:rsidR="00605771" w:rsidRPr="00605771">
        <w:t>’</w:t>
      </w:r>
      <w:r w:rsidR="001225F4" w:rsidRPr="00605771">
        <w:t xml:space="preserve">organisation criminelle et de traite des êtres humains, </w:t>
      </w:r>
      <w:r w:rsidR="000509F4" w:rsidRPr="00605771">
        <w:t>il</w:t>
      </w:r>
      <w:r w:rsidR="00DB1446" w:rsidRPr="00605771">
        <w:t xml:space="preserve"> estima qu</w:t>
      </w:r>
      <w:r w:rsidR="00605771" w:rsidRPr="00605771">
        <w:t>’</w:t>
      </w:r>
      <w:r w:rsidR="00DB1446" w:rsidRPr="00605771">
        <w:t xml:space="preserve">il existait des indices sérieux </w:t>
      </w:r>
      <w:r w:rsidR="00580935" w:rsidRPr="00605771">
        <w:t xml:space="preserve">quant à la commission de ces </w:t>
      </w:r>
      <w:r w:rsidR="007670EF" w:rsidRPr="00605771">
        <w:t>infractions</w:t>
      </w:r>
      <w:r w:rsidR="001225F4" w:rsidRPr="00605771">
        <w:t xml:space="preserve"> et </w:t>
      </w:r>
      <w:r w:rsidR="007670EF" w:rsidRPr="00605771">
        <w:t xml:space="preserve">il </w:t>
      </w:r>
      <w:r w:rsidR="00C217D6" w:rsidRPr="00605771">
        <w:t xml:space="preserve">demanda </w:t>
      </w:r>
      <w:r w:rsidR="00601169" w:rsidRPr="00605771">
        <w:t>à ce qu</w:t>
      </w:r>
      <w:r w:rsidR="00605771" w:rsidRPr="00605771">
        <w:t>’</w:t>
      </w:r>
      <w:r w:rsidR="001225F4" w:rsidRPr="00605771">
        <w:t>une enquête judiciaire officielle (</w:t>
      </w:r>
      <w:r w:rsidR="001225F4" w:rsidRPr="00605771">
        <w:rPr>
          <w:i/>
          <w:lang w:val="el-GR"/>
        </w:rPr>
        <w:t>κύρια</w:t>
      </w:r>
      <w:r w:rsidR="001225F4" w:rsidRPr="00605771">
        <w:rPr>
          <w:i/>
        </w:rPr>
        <w:t xml:space="preserve"> </w:t>
      </w:r>
      <w:r w:rsidR="001225F4" w:rsidRPr="00605771">
        <w:rPr>
          <w:i/>
          <w:lang w:val="el-GR"/>
        </w:rPr>
        <w:t>ανάκριση</w:t>
      </w:r>
      <w:r w:rsidR="001225F4" w:rsidRPr="00605771">
        <w:t>)</w:t>
      </w:r>
      <w:r w:rsidR="00601169" w:rsidRPr="00605771">
        <w:t xml:space="preserve"> fût diligentée</w:t>
      </w:r>
      <w:r w:rsidR="001225F4" w:rsidRPr="00605771">
        <w:t xml:space="preserve">. </w:t>
      </w:r>
      <w:r w:rsidR="00DB1446" w:rsidRPr="00605771">
        <w:t>Cette ordonnance fut notifiée aux requérantes le 3</w:t>
      </w:r>
      <w:r w:rsidR="001225F4" w:rsidRPr="00605771">
        <w:t>0 </w:t>
      </w:r>
      <w:r w:rsidR="00DB1446" w:rsidRPr="00605771">
        <w:t>décembre 2009.</w:t>
      </w:r>
    </w:p>
    <w:p w:rsidR="00DB1446" w:rsidRPr="00605771" w:rsidRDefault="00DB144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81</w:t>
      </w:r>
      <w:r w:rsidRPr="00605771">
        <w:fldChar w:fldCharType="end"/>
      </w:r>
      <w:r w:rsidRPr="00605771">
        <w:t>.  Le 18 mars 2010, le dossier de l</w:t>
      </w:r>
      <w:r w:rsidR="00605771" w:rsidRPr="00605771">
        <w:t>’</w:t>
      </w:r>
      <w:r w:rsidRPr="00605771">
        <w:t xml:space="preserve">affaire fut </w:t>
      </w:r>
      <w:r w:rsidR="00C217D6" w:rsidRPr="00605771">
        <w:t>r</w:t>
      </w:r>
      <w:r w:rsidRPr="00605771">
        <w:t xml:space="preserve">envoyé au président du </w:t>
      </w:r>
      <w:r w:rsidR="000B38AF" w:rsidRPr="00605771">
        <w:t>comité</w:t>
      </w:r>
      <w:r w:rsidRPr="00605771">
        <w:t xml:space="preserve"> de trois membres du tribunal correctionnel d</w:t>
      </w:r>
      <w:r w:rsidR="00605771" w:rsidRPr="00605771">
        <w:t>’</w:t>
      </w:r>
      <w:r w:rsidRPr="00605771">
        <w:t>Athènes pour ouverture d</w:t>
      </w:r>
      <w:r w:rsidR="00605771" w:rsidRPr="00605771">
        <w:t>’</w:t>
      </w:r>
      <w:r w:rsidRPr="00605771">
        <w:t>une enquête judiciaire officielle.</w:t>
      </w:r>
      <w:r w:rsidR="009956C5" w:rsidRPr="00605771">
        <w:t xml:space="preserve"> Des poursuites pénales </w:t>
      </w:r>
      <w:r w:rsidR="00C217D6" w:rsidRPr="00605771">
        <w:t>furent</w:t>
      </w:r>
      <w:r w:rsidR="009956C5" w:rsidRPr="00605771">
        <w:t xml:space="preserve"> engagées contre neuf personnes, y compris </w:t>
      </w:r>
      <w:r w:rsidR="00C217D6" w:rsidRPr="00605771">
        <w:t xml:space="preserve">contre </w:t>
      </w:r>
      <w:r w:rsidR="009956C5" w:rsidRPr="00605771">
        <w:t xml:space="preserve">trois employés du consulat, </w:t>
      </w:r>
      <w:r w:rsidR="00721AE4" w:rsidRPr="00605771">
        <w:t>E.K., I.S. et E.K</w:t>
      </w:r>
      <w:r w:rsidR="009B2A3A" w:rsidRPr="00605771">
        <w:t>ou</w:t>
      </w:r>
      <w:r w:rsidR="00721AE4" w:rsidRPr="00605771">
        <w:t xml:space="preserve">., </w:t>
      </w:r>
      <w:r w:rsidR="009956C5" w:rsidRPr="00605771">
        <w:t>pour traite des êtres humains.</w:t>
      </w:r>
    </w:p>
    <w:p w:rsidR="002C7F5B" w:rsidRPr="00605771" w:rsidRDefault="009956C5"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82</w:t>
      </w:r>
      <w:r w:rsidRPr="00605771">
        <w:fldChar w:fldCharType="end"/>
      </w:r>
      <w:r w:rsidRPr="00605771">
        <w:t xml:space="preserve">.  Le </w:t>
      </w:r>
      <w:r w:rsidR="005937D8" w:rsidRPr="00605771">
        <w:t>23 septembre 2015, le juge d</w:t>
      </w:r>
      <w:r w:rsidR="00605771" w:rsidRPr="00605771">
        <w:t>’</w:t>
      </w:r>
      <w:r w:rsidR="005937D8" w:rsidRPr="00605771">
        <w:t xml:space="preserve">instruction </w:t>
      </w:r>
      <w:r w:rsidR="000A081B" w:rsidRPr="00605771">
        <w:t xml:space="preserve">compétent </w:t>
      </w:r>
      <w:r w:rsidR="00C217D6" w:rsidRPr="00605771">
        <w:t xml:space="preserve">demanda </w:t>
      </w:r>
      <w:r w:rsidR="005937D8" w:rsidRPr="00605771">
        <w:t>au département des étrangers de l</w:t>
      </w:r>
      <w:r w:rsidR="00605771" w:rsidRPr="00605771">
        <w:t>’</w:t>
      </w:r>
      <w:r w:rsidR="005937D8" w:rsidRPr="00605771">
        <w:t xml:space="preserve">Attique </w:t>
      </w:r>
      <w:r w:rsidR="00C217D6" w:rsidRPr="00605771">
        <w:t xml:space="preserve">de lui communiquer </w:t>
      </w:r>
      <w:r w:rsidR="005937D8" w:rsidRPr="00605771">
        <w:t>des informations sur les adresses des requérantes</w:t>
      </w:r>
      <w:r w:rsidR="00C217D6" w:rsidRPr="00605771">
        <w:t>, en vue de la</w:t>
      </w:r>
      <w:r w:rsidR="005937D8" w:rsidRPr="00605771">
        <w:t xml:space="preserve"> notifi</w:t>
      </w:r>
      <w:r w:rsidR="00C217D6" w:rsidRPr="00605771">
        <w:t xml:space="preserve">cation à ces dernières </w:t>
      </w:r>
      <w:r w:rsidR="005937D8" w:rsidRPr="00605771">
        <w:t xml:space="preserve">de convocations </w:t>
      </w:r>
      <w:r w:rsidR="00C217D6" w:rsidRPr="00605771">
        <w:t>à</w:t>
      </w:r>
      <w:r w:rsidR="005937D8" w:rsidRPr="00605771">
        <w:t xml:space="preserve"> </w:t>
      </w:r>
      <w:r w:rsidR="00331AD7" w:rsidRPr="00605771">
        <w:t>témoigner</w:t>
      </w:r>
      <w:r w:rsidR="005937D8" w:rsidRPr="00605771">
        <w:t>.</w:t>
      </w:r>
    </w:p>
    <w:p w:rsidR="002C7F5B" w:rsidRPr="00605771" w:rsidRDefault="005937D8"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83</w:t>
      </w:r>
      <w:r w:rsidRPr="00605771">
        <w:fldChar w:fldCharType="end"/>
      </w:r>
      <w:r w:rsidRPr="00605771">
        <w:t>.  </w:t>
      </w:r>
      <w:r w:rsidR="0016062F" w:rsidRPr="00605771">
        <w:t>Peu après (l</w:t>
      </w:r>
      <w:r w:rsidRPr="00605771">
        <w:t>e</w:t>
      </w:r>
      <w:r w:rsidR="00331AD7" w:rsidRPr="00605771">
        <w:t>s</w:t>
      </w:r>
      <w:r w:rsidRPr="00605771">
        <w:t xml:space="preserve"> 24, 25, 26 et 28 septembre 2015</w:t>
      </w:r>
      <w:r w:rsidR="0016062F" w:rsidRPr="00605771">
        <w:t>)</w:t>
      </w:r>
      <w:r w:rsidRPr="00605771">
        <w:t>, différents départements des étrangers de la région d</w:t>
      </w:r>
      <w:r w:rsidR="00331AD7" w:rsidRPr="00605771">
        <w:t>e l</w:t>
      </w:r>
      <w:r w:rsidR="00605771" w:rsidRPr="00605771">
        <w:t>’</w:t>
      </w:r>
      <w:r w:rsidRPr="00605771">
        <w:t xml:space="preserve">Attique répondirent à la demande </w:t>
      </w:r>
      <w:r w:rsidR="0016062F" w:rsidRPr="00605771">
        <w:t>faite par le juge d</w:t>
      </w:r>
      <w:r w:rsidR="00605771" w:rsidRPr="00605771">
        <w:t>’</w:t>
      </w:r>
      <w:r w:rsidR="0016062F" w:rsidRPr="00605771">
        <w:t>instruction au département susmentionné. Le</w:t>
      </w:r>
      <w:r w:rsidRPr="00605771">
        <w:t xml:space="preserve"> juge d</w:t>
      </w:r>
      <w:r w:rsidR="00605771" w:rsidRPr="00605771">
        <w:t>’</w:t>
      </w:r>
      <w:r w:rsidRPr="00605771">
        <w:t xml:space="preserve">instruction </w:t>
      </w:r>
      <w:r w:rsidR="00331AD7" w:rsidRPr="00605771">
        <w:t>obtint ainsi la communication de</w:t>
      </w:r>
      <w:r w:rsidRPr="00605771">
        <w:t xml:space="preserve"> trois adresses pour la première requérante (y compris l</w:t>
      </w:r>
      <w:r w:rsidR="00605771" w:rsidRPr="00605771">
        <w:t>’</w:t>
      </w:r>
      <w:r w:rsidRPr="00605771">
        <w:t>adresse « Konstantinoupoleos</w:t>
      </w:r>
      <w:r w:rsidR="00DA7646" w:rsidRPr="00605771">
        <w:t> </w:t>
      </w:r>
      <w:r w:rsidRPr="00605771">
        <w:t>82</w:t>
      </w:r>
      <w:r w:rsidR="009712F0" w:rsidRPr="00605771">
        <w:t xml:space="preserve">, </w:t>
      </w:r>
      <w:r w:rsidRPr="00605771">
        <w:t>Athènes »</w:t>
      </w:r>
      <w:r w:rsidR="0018487D" w:rsidRPr="00605771">
        <w:t>)</w:t>
      </w:r>
      <w:r w:rsidRPr="00605771">
        <w:t xml:space="preserve">, </w:t>
      </w:r>
      <w:r w:rsidR="009712F0" w:rsidRPr="00605771">
        <w:t xml:space="preserve">de </w:t>
      </w:r>
      <w:r w:rsidRPr="00605771">
        <w:t xml:space="preserve">deux adresses pour la deuxième requérante et </w:t>
      </w:r>
      <w:r w:rsidR="009712F0" w:rsidRPr="00605771">
        <w:t xml:space="preserve">de </w:t>
      </w:r>
      <w:r w:rsidRPr="00605771">
        <w:t>trois adresses pour la troisième requérante</w:t>
      </w:r>
      <w:r w:rsidR="0018487D" w:rsidRPr="00605771">
        <w:t xml:space="preserve"> (y compris l</w:t>
      </w:r>
      <w:r w:rsidR="00605771" w:rsidRPr="00605771">
        <w:t>’</w:t>
      </w:r>
      <w:r w:rsidR="0018487D" w:rsidRPr="00605771">
        <w:t>adresse « Konstantinoupoleos 82</w:t>
      </w:r>
      <w:r w:rsidR="009712F0" w:rsidRPr="00605771">
        <w:t>,</w:t>
      </w:r>
      <w:r w:rsidR="0018487D" w:rsidRPr="00605771">
        <w:t xml:space="preserve"> Athènes »)</w:t>
      </w:r>
      <w:r w:rsidRPr="00605771">
        <w:t>.</w:t>
      </w:r>
    </w:p>
    <w:p w:rsidR="002C7F5B" w:rsidRPr="00605771" w:rsidRDefault="0018487D"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84</w:t>
      </w:r>
      <w:r w:rsidRPr="00605771">
        <w:fldChar w:fldCharType="end"/>
      </w:r>
      <w:r w:rsidRPr="00605771">
        <w:t>. </w:t>
      </w:r>
      <w:r w:rsidR="004C0DBB" w:rsidRPr="00605771">
        <w:t> </w:t>
      </w:r>
      <w:r w:rsidR="00D01751" w:rsidRPr="00605771">
        <w:t>Quelques jours plus tard (</w:t>
      </w:r>
      <w:r w:rsidR="0012492C" w:rsidRPr="00605771">
        <w:t>l</w:t>
      </w:r>
      <w:r w:rsidR="00A75E1E" w:rsidRPr="00605771">
        <w:t xml:space="preserve">e 30 septembre </w:t>
      </w:r>
      <w:r w:rsidR="00DE7C2C" w:rsidRPr="00605771">
        <w:t>et les</w:t>
      </w:r>
      <w:r w:rsidR="00A75E1E" w:rsidRPr="00605771">
        <w:t xml:space="preserve"> 2 et 5</w:t>
      </w:r>
      <w:r w:rsidR="00D01751" w:rsidRPr="00605771">
        <w:t> </w:t>
      </w:r>
      <w:r w:rsidR="00A75E1E" w:rsidRPr="00605771">
        <w:t>octobre 2015</w:t>
      </w:r>
      <w:r w:rsidR="00D01751" w:rsidRPr="00605771">
        <w:t>)</w:t>
      </w:r>
      <w:r w:rsidR="00A75E1E" w:rsidRPr="00605771">
        <w:t>, le juge d</w:t>
      </w:r>
      <w:r w:rsidR="00605771" w:rsidRPr="00605771">
        <w:t>’</w:t>
      </w:r>
      <w:r w:rsidR="00A75E1E" w:rsidRPr="00605771">
        <w:t xml:space="preserve">instruction </w:t>
      </w:r>
      <w:r w:rsidR="0012492C" w:rsidRPr="00605771">
        <w:t>ordonna</w:t>
      </w:r>
      <w:r w:rsidR="00A75E1E" w:rsidRPr="00605771">
        <w:t xml:space="preserve"> </w:t>
      </w:r>
      <w:r w:rsidR="00DE7C2C" w:rsidRPr="00605771">
        <w:t xml:space="preserve">à </w:t>
      </w:r>
      <w:r w:rsidR="00CB3AF6" w:rsidRPr="00605771">
        <w:t>plusieurs</w:t>
      </w:r>
      <w:r w:rsidR="00A75E1E" w:rsidRPr="00605771">
        <w:t xml:space="preserve"> commissariats de police de </w:t>
      </w:r>
      <w:r w:rsidR="00A75E1E" w:rsidRPr="00605771">
        <w:lastRenderedPageBreak/>
        <w:t>procéder à la convocation des requérantes à certain</w:t>
      </w:r>
      <w:r w:rsidR="00DE7C2C" w:rsidRPr="00605771">
        <w:t>e</w:t>
      </w:r>
      <w:r w:rsidR="00A75E1E" w:rsidRPr="00605771">
        <w:t>s des adresses fourni</w:t>
      </w:r>
      <w:r w:rsidR="00DE7C2C" w:rsidRPr="00605771">
        <w:t>e</w:t>
      </w:r>
      <w:r w:rsidR="00A75E1E" w:rsidRPr="00605771">
        <w:t>s par les différents départements des étrangers de la région d</w:t>
      </w:r>
      <w:r w:rsidR="00DE7C2C" w:rsidRPr="00605771">
        <w:t>e l</w:t>
      </w:r>
      <w:r w:rsidR="00605771" w:rsidRPr="00605771">
        <w:t>’</w:t>
      </w:r>
      <w:r w:rsidR="00A75E1E" w:rsidRPr="00605771">
        <w:t>Attique. Il ressort du dossier qu</w:t>
      </w:r>
      <w:r w:rsidR="00DE7C2C" w:rsidRPr="00605771">
        <w:t xml:space="preserve">e, </w:t>
      </w:r>
      <w:r w:rsidR="00A75E1E" w:rsidRPr="00605771">
        <w:t>en ce qui concerne la première requérante, le juge d</w:t>
      </w:r>
      <w:r w:rsidR="00605771" w:rsidRPr="00605771">
        <w:t>’</w:t>
      </w:r>
      <w:r w:rsidR="00A75E1E" w:rsidRPr="00605771">
        <w:t>instruction s</w:t>
      </w:r>
      <w:r w:rsidR="00605771" w:rsidRPr="00605771">
        <w:t>’</w:t>
      </w:r>
      <w:r w:rsidR="00DE7C2C" w:rsidRPr="00605771">
        <w:t xml:space="preserve">est </w:t>
      </w:r>
      <w:r w:rsidR="00A75E1E" w:rsidRPr="00605771">
        <w:t>adress</w:t>
      </w:r>
      <w:r w:rsidR="00DE7C2C" w:rsidRPr="00605771">
        <w:t>é</w:t>
      </w:r>
      <w:r w:rsidR="00A75E1E" w:rsidRPr="00605771">
        <w:t>, entre autres, au commissariat de police d</w:t>
      </w:r>
      <w:r w:rsidR="00605771" w:rsidRPr="00605771">
        <w:t>’</w:t>
      </w:r>
      <w:r w:rsidR="00A75E1E" w:rsidRPr="00605771">
        <w:t>A</w:t>
      </w:r>
      <w:r w:rsidR="00674226" w:rsidRPr="00605771">
        <w:t>i</w:t>
      </w:r>
      <w:r w:rsidR="00A75E1E" w:rsidRPr="00605771">
        <w:t xml:space="preserve">galeo, </w:t>
      </w:r>
      <w:r w:rsidR="003427DA" w:rsidRPr="00605771">
        <w:t xml:space="preserve">où il existait également </w:t>
      </w:r>
      <w:r w:rsidR="00DE7C2C" w:rsidRPr="00605771">
        <w:t xml:space="preserve">une </w:t>
      </w:r>
      <w:r w:rsidR="003427DA" w:rsidRPr="00605771">
        <w:t>adresse « Konstantinoupoleos 82 ».</w:t>
      </w:r>
    </w:p>
    <w:p w:rsidR="002C7F5B" w:rsidRPr="00605771" w:rsidRDefault="00A75E1E"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85</w:t>
      </w:r>
      <w:r w:rsidRPr="00605771">
        <w:fldChar w:fldCharType="end"/>
      </w:r>
      <w:r w:rsidRPr="00605771">
        <w:t>.  </w:t>
      </w:r>
      <w:r w:rsidR="00767EAA" w:rsidRPr="00605771">
        <w:t>En réponse à cette injonction, respectivement l</w:t>
      </w:r>
      <w:r w:rsidRPr="00605771">
        <w:t xml:space="preserve">e 3 </w:t>
      </w:r>
      <w:r w:rsidR="0012492C" w:rsidRPr="00605771">
        <w:t xml:space="preserve">octobre 2015 </w:t>
      </w:r>
      <w:r w:rsidR="003C2867" w:rsidRPr="00605771">
        <w:t>et le 5 </w:t>
      </w:r>
      <w:r w:rsidRPr="00605771">
        <w:t>octobre 2015, le commissariat de police d</w:t>
      </w:r>
      <w:r w:rsidR="00605771" w:rsidRPr="00605771">
        <w:t>’</w:t>
      </w:r>
      <w:r w:rsidRPr="00605771">
        <w:t>A</w:t>
      </w:r>
      <w:r w:rsidR="00674226" w:rsidRPr="00605771">
        <w:t>i</w:t>
      </w:r>
      <w:r w:rsidRPr="00605771">
        <w:t xml:space="preserve">galeo et </w:t>
      </w:r>
      <w:r w:rsidR="0012492C" w:rsidRPr="00605771">
        <w:t xml:space="preserve">celui </w:t>
      </w:r>
      <w:r w:rsidRPr="00605771">
        <w:t>de Petroupoli</w:t>
      </w:r>
      <w:r w:rsidR="00767EAA" w:rsidRPr="00605771">
        <w:t xml:space="preserve"> </w:t>
      </w:r>
      <w:r w:rsidRPr="00605771">
        <w:t>informèrent le juge d</w:t>
      </w:r>
      <w:r w:rsidR="00605771" w:rsidRPr="00605771">
        <w:t>’</w:t>
      </w:r>
      <w:r w:rsidRPr="00605771">
        <w:t>instruction que la première requérante n</w:t>
      </w:r>
      <w:r w:rsidR="00605771" w:rsidRPr="00605771">
        <w:t>’</w:t>
      </w:r>
      <w:r w:rsidRPr="00605771">
        <w:t>était pas connue aux adresses où elle avait été recherchée.</w:t>
      </w:r>
    </w:p>
    <w:p w:rsidR="002C7F5B" w:rsidRPr="00605771" w:rsidRDefault="003427DA"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86</w:t>
      </w:r>
      <w:r w:rsidRPr="00605771">
        <w:fldChar w:fldCharType="end"/>
      </w:r>
      <w:r w:rsidRPr="00605771">
        <w:t>.  </w:t>
      </w:r>
      <w:r w:rsidR="00F179F6" w:rsidRPr="00605771">
        <w:t>Entre-temps, l</w:t>
      </w:r>
      <w:r w:rsidR="00371E1C" w:rsidRPr="00605771">
        <w:t>e 2</w:t>
      </w:r>
      <w:r w:rsidRPr="00605771">
        <w:t xml:space="preserve"> octobre 2015</w:t>
      </w:r>
      <w:r w:rsidR="002B55BD" w:rsidRPr="00605771">
        <w:t xml:space="preserve">, la convocation concernant la deuxième requérante </w:t>
      </w:r>
      <w:r w:rsidR="00F179F6" w:rsidRPr="00605771">
        <w:t xml:space="preserve">avait été </w:t>
      </w:r>
      <w:r w:rsidR="002B55BD" w:rsidRPr="00605771">
        <w:t>notifiée à l</w:t>
      </w:r>
      <w:r w:rsidR="00605771" w:rsidRPr="00605771">
        <w:t>’</w:t>
      </w:r>
      <w:r w:rsidR="002B55BD" w:rsidRPr="00605771">
        <w:t>ex-mari de celle-ci.</w:t>
      </w:r>
    </w:p>
    <w:p w:rsidR="002C7F5B" w:rsidRPr="00605771" w:rsidRDefault="002B55BD"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87</w:t>
      </w:r>
      <w:r w:rsidRPr="00605771">
        <w:fldChar w:fldCharType="end"/>
      </w:r>
      <w:r w:rsidRPr="00605771">
        <w:t>.  Le 7 octobre 2015, le commissariat de police de Glyfada informa le juge d</w:t>
      </w:r>
      <w:r w:rsidR="00605771" w:rsidRPr="00605771">
        <w:t>’</w:t>
      </w:r>
      <w:r w:rsidRPr="00605771">
        <w:t>instruction que la troisième requérante n</w:t>
      </w:r>
      <w:r w:rsidR="00605771" w:rsidRPr="00605771">
        <w:t>’</w:t>
      </w:r>
      <w:r w:rsidRPr="00605771">
        <w:t>était pas connue aux deux adresses fournies par celui-ci.</w:t>
      </w:r>
    </w:p>
    <w:bookmarkStart w:id="15" w:name="chambredacc3"/>
    <w:p w:rsidR="002C7F5B" w:rsidRPr="00605771" w:rsidRDefault="009956C5"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88</w:t>
      </w:r>
      <w:r w:rsidRPr="00605771">
        <w:fldChar w:fldCharType="end"/>
      </w:r>
      <w:bookmarkEnd w:id="15"/>
      <w:r w:rsidRPr="00605771">
        <w:t>.  </w:t>
      </w:r>
      <w:r w:rsidR="00170DCA" w:rsidRPr="00605771">
        <w:t>Le 23 février 2016</w:t>
      </w:r>
      <w:r w:rsidR="00516085" w:rsidRPr="00605771">
        <w:t xml:space="preserve">, </w:t>
      </w:r>
      <w:r w:rsidR="00F5243E" w:rsidRPr="00605771">
        <w:t>par l</w:t>
      </w:r>
      <w:r w:rsidR="00605771" w:rsidRPr="00605771">
        <w:t>’</w:t>
      </w:r>
      <w:r w:rsidR="00F5243E" w:rsidRPr="00605771">
        <w:t>ordonnance n</w:t>
      </w:r>
      <w:r w:rsidR="00F5243E" w:rsidRPr="00605771">
        <w:rPr>
          <w:vertAlign w:val="superscript"/>
        </w:rPr>
        <w:t>o</w:t>
      </w:r>
      <w:r w:rsidR="00F5243E" w:rsidRPr="00605771">
        <w:t xml:space="preserve"> 641/2016, </w:t>
      </w:r>
      <w:r w:rsidR="00516085" w:rsidRPr="00605771">
        <w:t>la chambre d</w:t>
      </w:r>
      <w:r w:rsidR="00605771" w:rsidRPr="00605771">
        <w:t>’</w:t>
      </w:r>
      <w:r w:rsidR="00516085" w:rsidRPr="00605771">
        <w:t>accusation du tribunal correctionnel d</w:t>
      </w:r>
      <w:r w:rsidR="00605771" w:rsidRPr="00605771">
        <w:t>’</w:t>
      </w:r>
      <w:r w:rsidR="00516085" w:rsidRPr="00605771">
        <w:t xml:space="preserve">Athènes mit fin aux poursuites contre </w:t>
      </w:r>
      <w:r w:rsidR="007D160E" w:rsidRPr="00605771">
        <w:t xml:space="preserve">E.S. et I.Z. </w:t>
      </w:r>
      <w:r w:rsidR="00E93CE1" w:rsidRPr="00605771">
        <w:t>après avoir constaté la prescription d</w:t>
      </w:r>
      <w:r w:rsidR="00516085" w:rsidRPr="00605771">
        <w:t>es actes de traite des êtres humains prétendument commis</w:t>
      </w:r>
      <w:r w:rsidR="002B45B9" w:rsidRPr="00605771">
        <w:t xml:space="preserve">, au motif que </w:t>
      </w:r>
      <w:r w:rsidR="00E93CE1" w:rsidRPr="00605771">
        <w:t xml:space="preserve">ces actes </w:t>
      </w:r>
      <w:r w:rsidR="00DA7646" w:rsidRPr="00605771">
        <w:t>remonta</w:t>
      </w:r>
      <w:r w:rsidR="002B45B9" w:rsidRPr="00605771">
        <w:t>ie</w:t>
      </w:r>
      <w:r w:rsidR="00DA7646" w:rsidRPr="00605771">
        <w:t>nt à</w:t>
      </w:r>
      <w:r w:rsidR="00FE72D0" w:rsidRPr="00605771">
        <w:t xml:space="preserve"> </w:t>
      </w:r>
      <w:r w:rsidR="00516085" w:rsidRPr="00605771">
        <w:t xml:space="preserve">2001, </w:t>
      </w:r>
      <w:r w:rsidR="00E93CE1" w:rsidRPr="00605771">
        <w:t xml:space="preserve">soit à une </w:t>
      </w:r>
      <w:r w:rsidR="00DA7646" w:rsidRPr="00605771">
        <w:t>époque</w:t>
      </w:r>
      <w:r w:rsidR="00516085" w:rsidRPr="00605771">
        <w:t xml:space="preserve"> </w:t>
      </w:r>
      <w:r w:rsidR="00E93CE1" w:rsidRPr="00605771">
        <w:t xml:space="preserve">où ils </w:t>
      </w:r>
      <w:r w:rsidR="00516085" w:rsidRPr="00605771">
        <w:t xml:space="preserve">constituaient des délits. </w:t>
      </w:r>
      <w:r w:rsidR="00F5243E" w:rsidRPr="00605771">
        <w:t>Par la même ordonnance, elle considéra, s</w:t>
      </w:r>
      <w:r w:rsidR="00605771" w:rsidRPr="00605771">
        <w:t>’</w:t>
      </w:r>
      <w:r w:rsidR="001D493A" w:rsidRPr="00605771">
        <w:t>agissant des autres</w:t>
      </w:r>
      <w:r w:rsidR="00516085" w:rsidRPr="00605771">
        <w:t xml:space="preserve"> accusés</w:t>
      </w:r>
      <w:r w:rsidR="008B619F" w:rsidRPr="00605771">
        <w:t xml:space="preserve"> –</w:t>
      </w:r>
      <w:r w:rsidR="00516085" w:rsidRPr="00605771">
        <w:t xml:space="preserve"> </w:t>
      </w:r>
      <w:r w:rsidR="00CF17BC" w:rsidRPr="00605771">
        <w:t xml:space="preserve">à savoir </w:t>
      </w:r>
      <w:r w:rsidR="00721AE4" w:rsidRPr="00605771">
        <w:t>E.K., I.S. et</w:t>
      </w:r>
      <w:r w:rsidR="007D160E" w:rsidRPr="00605771">
        <w:t xml:space="preserve"> E.K</w:t>
      </w:r>
      <w:r w:rsidR="009B2A3A" w:rsidRPr="00605771">
        <w:t>ou</w:t>
      </w:r>
      <w:r w:rsidR="007D160E" w:rsidRPr="00605771">
        <w:t xml:space="preserve">., </w:t>
      </w:r>
      <w:r w:rsidR="008B1D26" w:rsidRPr="00605771">
        <w:t xml:space="preserve">employés du consulat, ainsi que </w:t>
      </w:r>
      <w:r w:rsidR="007D160E" w:rsidRPr="00605771">
        <w:t>I.S., I.M. et K.C.</w:t>
      </w:r>
      <w:r w:rsidR="008B619F" w:rsidRPr="00605771">
        <w:t xml:space="preserve"> –</w:t>
      </w:r>
      <w:r w:rsidR="007D160E" w:rsidRPr="00605771">
        <w:t>,</w:t>
      </w:r>
      <w:r w:rsidR="00F5243E" w:rsidRPr="00605771">
        <w:t xml:space="preserve"> </w:t>
      </w:r>
      <w:r w:rsidR="00311626" w:rsidRPr="00605771">
        <w:t>qu</w:t>
      </w:r>
      <w:r w:rsidR="00605771" w:rsidRPr="00605771">
        <w:t>’</w:t>
      </w:r>
      <w:r w:rsidR="00311626" w:rsidRPr="00605771">
        <w:t>il n</w:t>
      </w:r>
      <w:r w:rsidR="00605771" w:rsidRPr="00605771">
        <w:t>’</w:t>
      </w:r>
      <w:r w:rsidR="00311626" w:rsidRPr="00605771">
        <w:t xml:space="preserve">existait pas des indices sérieux </w:t>
      </w:r>
      <w:r w:rsidR="00F5243E" w:rsidRPr="00605771">
        <w:t xml:space="preserve">quant à la commission </w:t>
      </w:r>
      <w:r w:rsidR="008B619F" w:rsidRPr="00605771">
        <w:t xml:space="preserve">par eux </w:t>
      </w:r>
      <w:r w:rsidR="00F5243E" w:rsidRPr="00605771">
        <w:t>des</w:t>
      </w:r>
      <w:r w:rsidR="00311626" w:rsidRPr="00605771">
        <w:t xml:space="preserve"> </w:t>
      </w:r>
      <w:r w:rsidR="008B619F" w:rsidRPr="00605771">
        <w:t>infractions reprochées</w:t>
      </w:r>
      <w:r w:rsidR="00516085" w:rsidRPr="00605771">
        <w:t xml:space="preserve">. </w:t>
      </w:r>
      <w:r w:rsidR="00D9282D" w:rsidRPr="00605771">
        <w:t>C</w:t>
      </w:r>
      <w:r w:rsidR="00D6421D" w:rsidRPr="00605771">
        <w:t>ette ordonnance fut</w:t>
      </w:r>
      <w:r w:rsidR="00D9282D" w:rsidRPr="00605771">
        <w:t xml:space="preserve"> rectifiée</w:t>
      </w:r>
      <w:r w:rsidR="00D6421D" w:rsidRPr="00605771">
        <w:t xml:space="preserve"> pour une correction mineure</w:t>
      </w:r>
      <w:r w:rsidR="00D9282D" w:rsidRPr="00605771">
        <w:t xml:space="preserve"> par</w:t>
      </w:r>
      <w:r w:rsidR="002C7F5B" w:rsidRPr="00605771">
        <w:t xml:space="preserve"> </w:t>
      </w:r>
      <w:r w:rsidR="00D9282D" w:rsidRPr="00605771">
        <w:t>l</w:t>
      </w:r>
      <w:r w:rsidR="00605771" w:rsidRPr="00605771">
        <w:t>’</w:t>
      </w:r>
      <w:r w:rsidR="00D9282D" w:rsidRPr="00605771">
        <w:t>ordonnance n</w:t>
      </w:r>
      <w:r w:rsidR="00D9282D" w:rsidRPr="00605771">
        <w:rPr>
          <w:vertAlign w:val="superscript"/>
        </w:rPr>
        <w:t>o</w:t>
      </w:r>
      <w:r w:rsidR="00D9282D" w:rsidRPr="00605771">
        <w:t xml:space="preserve"> 852/2016.</w:t>
      </w:r>
    </w:p>
    <w:p w:rsidR="00527D45" w:rsidRPr="00605771" w:rsidRDefault="00527D45"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89</w:t>
      </w:r>
      <w:r w:rsidRPr="00605771">
        <w:fldChar w:fldCharType="end"/>
      </w:r>
      <w:r w:rsidRPr="00605771">
        <w:t>.  </w:t>
      </w:r>
      <w:r w:rsidR="00111E55" w:rsidRPr="00605771">
        <w:t xml:space="preserve">Les requérantes </w:t>
      </w:r>
      <w:r w:rsidR="00F234C8" w:rsidRPr="00605771">
        <w:t>indiq</w:t>
      </w:r>
      <w:r w:rsidR="00111E55" w:rsidRPr="00605771">
        <w:t>uent que les ordonnances n</w:t>
      </w:r>
      <w:r w:rsidR="00111E55" w:rsidRPr="00605771">
        <w:rPr>
          <w:vertAlign w:val="superscript"/>
        </w:rPr>
        <w:t>os</w:t>
      </w:r>
      <w:r w:rsidR="00604D57" w:rsidRPr="00605771">
        <w:t> </w:t>
      </w:r>
      <w:r w:rsidR="00111E55" w:rsidRPr="00605771">
        <w:t>641/2016 e</w:t>
      </w:r>
      <w:r w:rsidR="003C2867" w:rsidRPr="00605771">
        <w:t>t </w:t>
      </w:r>
      <w:r w:rsidR="00D9282D" w:rsidRPr="00605771">
        <w:t xml:space="preserve">852/2016 </w:t>
      </w:r>
      <w:r w:rsidR="00111E55" w:rsidRPr="00605771">
        <w:t>leur ont été notifiées en 2016 aux adresses déclarées par elles à Athènes.</w:t>
      </w:r>
    </w:p>
    <w:p w:rsidR="00E77CB3" w:rsidRPr="00605771" w:rsidRDefault="00D8384A" w:rsidP="00605771">
      <w:pPr>
        <w:pStyle w:val="JuHIRoman"/>
      </w:pPr>
      <w:r w:rsidRPr="00605771">
        <w:t>LE DROIT INTERNE PERTINENT</w:t>
      </w:r>
    </w:p>
    <w:bookmarkStart w:id="16" w:name="droitint1"/>
    <w:p w:rsidR="002C7F5B" w:rsidRPr="00605771" w:rsidRDefault="00F61333" w:rsidP="00605771">
      <w:pPr>
        <w:pStyle w:val="JuPara"/>
        <w:rPr>
          <w:snapToGrid w:val="0"/>
        </w:rPr>
      </w:pPr>
      <w:r w:rsidRPr="00605771">
        <w:fldChar w:fldCharType="begin"/>
      </w:r>
      <w:r w:rsidRPr="00605771">
        <w:instrText xml:space="preserve"> SEQ level0 \*arabic </w:instrText>
      </w:r>
      <w:r w:rsidRPr="00605771">
        <w:fldChar w:fldCharType="separate"/>
      </w:r>
      <w:r w:rsidR="00605771" w:rsidRPr="00605771">
        <w:rPr>
          <w:noProof/>
        </w:rPr>
        <w:t>90</w:t>
      </w:r>
      <w:r w:rsidRPr="00605771">
        <w:fldChar w:fldCharType="end"/>
      </w:r>
      <w:bookmarkEnd w:id="16"/>
      <w:r w:rsidR="00E77CB3" w:rsidRPr="00605771">
        <w:t>.  </w:t>
      </w:r>
      <w:r w:rsidR="00D8384A" w:rsidRPr="00605771">
        <w:t>Le droit et la pratique internes pertinents en l</w:t>
      </w:r>
      <w:r w:rsidR="00605771" w:rsidRPr="00605771">
        <w:t>’</w:t>
      </w:r>
      <w:r w:rsidR="00D8384A" w:rsidRPr="00605771">
        <w:t>espèce sont décrits dans l</w:t>
      </w:r>
      <w:r w:rsidR="00605771" w:rsidRPr="00605771">
        <w:t>’</w:t>
      </w:r>
      <w:r w:rsidR="00D8384A" w:rsidRPr="00605771">
        <w:t xml:space="preserve">arrêt </w:t>
      </w:r>
      <w:r w:rsidR="00D8384A" w:rsidRPr="00605771">
        <w:rPr>
          <w:i/>
        </w:rPr>
        <w:t>L.E.</w:t>
      </w:r>
      <w:r w:rsidR="00D8384A" w:rsidRPr="00605771">
        <w:t xml:space="preserve"> </w:t>
      </w:r>
      <w:r w:rsidR="00D8384A" w:rsidRPr="00605771">
        <w:rPr>
          <w:i/>
        </w:rPr>
        <w:t>c. Grèce</w:t>
      </w:r>
      <w:r w:rsidR="00D8384A" w:rsidRPr="00605771">
        <w:t xml:space="preserve"> (n</w:t>
      </w:r>
      <w:r w:rsidR="00D8384A" w:rsidRPr="00605771">
        <w:rPr>
          <w:vertAlign w:val="superscript"/>
        </w:rPr>
        <w:t>o</w:t>
      </w:r>
      <w:r w:rsidR="00D8384A" w:rsidRPr="00605771">
        <w:t xml:space="preserve"> 71545/12</w:t>
      </w:r>
      <w:r w:rsidR="00D8384A" w:rsidRPr="00605771">
        <w:rPr>
          <w:snapToGrid w:val="0"/>
        </w:rPr>
        <w:t xml:space="preserve">, §§ 29-34, 21 </w:t>
      </w:r>
      <w:r w:rsidR="00D8384A" w:rsidRPr="00605771">
        <w:t>janvier</w:t>
      </w:r>
      <w:r w:rsidR="00D8384A" w:rsidRPr="00605771">
        <w:rPr>
          <w:snapToGrid w:val="0"/>
        </w:rPr>
        <w:t xml:space="preserve"> 2016).</w:t>
      </w:r>
    </w:p>
    <w:p w:rsidR="008F2E37" w:rsidRPr="00605771" w:rsidRDefault="008F2E37" w:rsidP="00605771">
      <w:pPr>
        <w:pStyle w:val="JuPara"/>
        <w:rPr>
          <w:snapToGrid w:val="0"/>
        </w:rPr>
      </w:pPr>
      <w:r w:rsidRPr="00605771">
        <w:rPr>
          <w:snapToGrid w:val="0"/>
        </w:rPr>
        <w:fldChar w:fldCharType="begin"/>
      </w:r>
      <w:r w:rsidRPr="00605771">
        <w:rPr>
          <w:snapToGrid w:val="0"/>
        </w:rPr>
        <w:instrText xml:space="preserve"> SEQ level0 \*arabic </w:instrText>
      </w:r>
      <w:r w:rsidRPr="00605771">
        <w:rPr>
          <w:snapToGrid w:val="0"/>
        </w:rPr>
        <w:fldChar w:fldCharType="separate"/>
      </w:r>
      <w:r w:rsidR="00605771" w:rsidRPr="00605771">
        <w:rPr>
          <w:noProof/>
          <w:snapToGrid w:val="0"/>
        </w:rPr>
        <w:t>91</w:t>
      </w:r>
      <w:r w:rsidRPr="00605771">
        <w:rPr>
          <w:snapToGrid w:val="0"/>
        </w:rPr>
        <w:fldChar w:fldCharType="end"/>
      </w:r>
      <w:r w:rsidRPr="00605771">
        <w:rPr>
          <w:snapToGrid w:val="0"/>
        </w:rPr>
        <w:t xml:space="preserve">.  Les dispositions pertinentes </w:t>
      </w:r>
      <w:r w:rsidR="004677A5" w:rsidRPr="00605771">
        <w:rPr>
          <w:snapToGrid w:val="0"/>
        </w:rPr>
        <w:t>en l</w:t>
      </w:r>
      <w:r w:rsidR="00605771" w:rsidRPr="00605771">
        <w:rPr>
          <w:snapToGrid w:val="0"/>
        </w:rPr>
        <w:t>’</w:t>
      </w:r>
      <w:r w:rsidR="004677A5" w:rsidRPr="00605771">
        <w:rPr>
          <w:snapToGrid w:val="0"/>
        </w:rPr>
        <w:t xml:space="preserve">espèce </w:t>
      </w:r>
      <w:r w:rsidRPr="00605771">
        <w:rPr>
          <w:snapToGrid w:val="0"/>
        </w:rPr>
        <w:t xml:space="preserve">du </w:t>
      </w:r>
      <w:r w:rsidR="001A7D15" w:rsidRPr="00605771">
        <w:rPr>
          <w:snapToGrid w:val="0"/>
        </w:rPr>
        <w:t>CPP</w:t>
      </w:r>
      <w:r w:rsidR="004677A5" w:rsidRPr="00605771">
        <w:rPr>
          <w:snapToGrid w:val="0"/>
        </w:rPr>
        <w:t xml:space="preserve"> en vigueur à l</w:t>
      </w:r>
      <w:r w:rsidR="00605771" w:rsidRPr="00605771">
        <w:rPr>
          <w:snapToGrid w:val="0"/>
        </w:rPr>
        <w:t>’</w:t>
      </w:r>
      <w:r w:rsidR="004677A5" w:rsidRPr="00605771">
        <w:rPr>
          <w:snapToGrid w:val="0"/>
        </w:rPr>
        <w:t>époque des faits</w:t>
      </w:r>
      <w:r w:rsidR="001A7D15" w:rsidRPr="00605771">
        <w:rPr>
          <w:snapToGrid w:val="0"/>
        </w:rPr>
        <w:t xml:space="preserve"> </w:t>
      </w:r>
      <w:r w:rsidR="007C3623" w:rsidRPr="00605771">
        <w:rPr>
          <w:snapToGrid w:val="0"/>
        </w:rPr>
        <w:t>se lisaien</w:t>
      </w:r>
      <w:r w:rsidRPr="00605771">
        <w:rPr>
          <w:snapToGrid w:val="0"/>
        </w:rPr>
        <w:t>t ainsi</w:t>
      </w:r>
      <w:r w:rsidR="004677A5" w:rsidRPr="00605771">
        <w:rPr>
          <w:snapToGrid w:val="0"/>
        </w:rPr>
        <w:t> </w:t>
      </w:r>
      <w:r w:rsidRPr="00605771">
        <w:rPr>
          <w:snapToGrid w:val="0"/>
        </w:rPr>
        <w:t>:</w:t>
      </w:r>
    </w:p>
    <w:p w:rsidR="002A6EC1" w:rsidRPr="00605771" w:rsidRDefault="002A6EC1" w:rsidP="00605771">
      <w:pPr>
        <w:pStyle w:val="JuHArticle"/>
        <w:rPr>
          <w:snapToGrid w:val="0"/>
        </w:rPr>
      </w:pPr>
      <w:r w:rsidRPr="00605771">
        <w:rPr>
          <w:snapToGrid w:val="0"/>
        </w:rPr>
        <w:t>Article 48</w:t>
      </w:r>
    </w:p>
    <w:p w:rsidR="002A6EC1" w:rsidRPr="00605771" w:rsidRDefault="007C3623" w:rsidP="00605771">
      <w:pPr>
        <w:pStyle w:val="JuQuot"/>
        <w:rPr>
          <w:lang w:bidi="en-US"/>
        </w:rPr>
      </w:pPr>
      <w:r w:rsidRPr="00605771">
        <w:rPr>
          <w:lang w:bidi="en-US"/>
        </w:rPr>
        <w:t>« Le plaignant peut, dans les quinze jours à partir de la notification de l</w:t>
      </w:r>
      <w:r w:rsidR="00605771" w:rsidRPr="00605771">
        <w:rPr>
          <w:lang w:bidi="en-US"/>
        </w:rPr>
        <w:t>’</w:t>
      </w:r>
      <w:r w:rsidRPr="00605771">
        <w:rPr>
          <w:lang w:bidi="en-US"/>
        </w:rPr>
        <w:t>ordonnance du procureur (</w:t>
      </w:r>
      <w:r w:rsidR="002C7F5B" w:rsidRPr="00605771">
        <w:rPr>
          <w:lang w:bidi="en-US"/>
        </w:rPr>
        <w:t>...</w:t>
      </w:r>
      <w:r w:rsidRPr="00605771">
        <w:rPr>
          <w:lang w:bidi="en-US"/>
        </w:rPr>
        <w:t>)</w:t>
      </w:r>
      <w:r w:rsidR="004677A5" w:rsidRPr="00605771">
        <w:rPr>
          <w:lang w:bidi="en-US"/>
        </w:rPr>
        <w:t>,</w:t>
      </w:r>
      <w:r w:rsidRPr="00605771">
        <w:rPr>
          <w:lang w:bidi="en-US"/>
        </w:rPr>
        <w:t xml:space="preserve"> faire appel devant le procureur comp</w:t>
      </w:r>
      <w:r w:rsidR="004677A5" w:rsidRPr="00605771">
        <w:rPr>
          <w:lang w:bidi="en-US"/>
        </w:rPr>
        <w:t>é</w:t>
      </w:r>
      <w:r w:rsidRPr="00605771">
        <w:rPr>
          <w:lang w:bidi="en-US"/>
        </w:rPr>
        <w:t>tent de la cour d</w:t>
      </w:r>
      <w:r w:rsidR="00605771" w:rsidRPr="00605771">
        <w:rPr>
          <w:lang w:bidi="en-US"/>
        </w:rPr>
        <w:t>’</w:t>
      </w:r>
      <w:r w:rsidRPr="00605771">
        <w:rPr>
          <w:lang w:bidi="en-US"/>
        </w:rPr>
        <w:t>appel contre l</w:t>
      </w:r>
      <w:r w:rsidR="00605771" w:rsidRPr="00605771">
        <w:rPr>
          <w:lang w:bidi="en-US"/>
        </w:rPr>
        <w:t>’</w:t>
      </w:r>
      <w:r w:rsidRPr="00605771">
        <w:rPr>
          <w:lang w:bidi="en-US"/>
        </w:rPr>
        <w:t xml:space="preserve">ordonnance du procureur </w:t>
      </w:r>
      <w:r w:rsidR="00534D4E" w:rsidRPr="00605771">
        <w:rPr>
          <w:lang w:bidi="en-US"/>
        </w:rPr>
        <w:t>près le</w:t>
      </w:r>
      <w:r w:rsidRPr="00605771">
        <w:rPr>
          <w:lang w:bidi="en-US"/>
        </w:rPr>
        <w:t xml:space="preserve"> tribunal correctionnel. (</w:t>
      </w:r>
      <w:r w:rsidR="002C7F5B" w:rsidRPr="00605771">
        <w:rPr>
          <w:lang w:bidi="en-US"/>
        </w:rPr>
        <w:t>...</w:t>
      </w:r>
      <w:r w:rsidRPr="00605771">
        <w:rPr>
          <w:lang w:bidi="en-US"/>
        </w:rPr>
        <w:t>) »</w:t>
      </w:r>
    </w:p>
    <w:p w:rsidR="008F2E37" w:rsidRPr="00605771" w:rsidRDefault="008F2E37" w:rsidP="00605771">
      <w:pPr>
        <w:pStyle w:val="JuHArticle"/>
        <w:rPr>
          <w:snapToGrid w:val="0"/>
        </w:rPr>
      </w:pPr>
      <w:r w:rsidRPr="00605771">
        <w:rPr>
          <w:snapToGrid w:val="0"/>
        </w:rPr>
        <w:t>Article 155 - Notification</w:t>
      </w:r>
    </w:p>
    <w:p w:rsidR="008F2E37" w:rsidRPr="00605771" w:rsidRDefault="00FE72D0" w:rsidP="00605771">
      <w:pPr>
        <w:pStyle w:val="JuQuot"/>
        <w:rPr>
          <w:snapToGrid w:val="0"/>
        </w:rPr>
      </w:pPr>
      <w:r w:rsidRPr="00605771">
        <w:rPr>
          <w:snapToGrid w:val="0"/>
        </w:rPr>
        <w:t>« </w:t>
      </w:r>
      <w:r w:rsidR="008F2E37" w:rsidRPr="00605771">
        <w:rPr>
          <w:snapToGrid w:val="0"/>
        </w:rPr>
        <w:t>1. La notification s</w:t>
      </w:r>
      <w:r w:rsidR="00605771" w:rsidRPr="00605771">
        <w:rPr>
          <w:snapToGrid w:val="0"/>
        </w:rPr>
        <w:t>’</w:t>
      </w:r>
      <w:r w:rsidR="008F2E37" w:rsidRPr="00605771">
        <w:rPr>
          <w:snapToGrid w:val="0"/>
        </w:rPr>
        <w:t xml:space="preserve">effectue </w:t>
      </w:r>
      <w:r w:rsidR="00D6495B" w:rsidRPr="00605771">
        <w:rPr>
          <w:snapToGrid w:val="0"/>
        </w:rPr>
        <w:t>avec la</w:t>
      </w:r>
      <w:r w:rsidR="008F2E37" w:rsidRPr="00605771">
        <w:rPr>
          <w:snapToGrid w:val="0"/>
        </w:rPr>
        <w:t xml:space="preserve"> remise du document par huissier de justice (...) en main</w:t>
      </w:r>
      <w:r w:rsidR="00697002" w:rsidRPr="00605771">
        <w:rPr>
          <w:snapToGrid w:val="0"/>
        </w:rPr>
        <w:t>s</w:t>
      </w:r>
      <w:r w:rsidR="008F2E37" w:rsidRPr="00605771">
        <w:rPr>
          <w:snapToGrid w:val="0"/>
        </w:rPr>
        <w:t xml:space="preserve"> propre</w:t>
      </w:r>
      <w:r w:rsidR="00697002" w:rsidRPr="00605771">
        <w:rPr>
          <w:snapToGrid w:val="0"/>
        </w:rPr>
        <w:t>s à</w:t>
      </w:r>
      <w:r w:rsidR="008F2E37" w:rsidRPr="00605771">
        <w:rPr>
          <w:snapToGrid w:val="0"/>
        </w:rPr>
        <w:t xml:space="preserve"> l</w:t>
      </w:r>
      <w:r w:rsidR="00605771" w:rsidRPr="00605771">
        <w:rPr>
          <w:snapToGrid w:val="0"/>
        </w:rPr>
        <w:t>’</w:t>
      </w:r>
      <w:r w:rsidR="008F2E37" w:rsidRPr="00605771">
        <w:rPr>
          <w:snapToGrid w:val="0"/>
        </w:rPr>
        <w:t xml:space="preserve">intéressé (...). Si le destinataire </w:t>
      </w:r>
      <w:r w:rsidR="00D6495B" w:rsidRPr="00605771">
        <w:rPr>
          <w:snapToGrid w:val="0"/>
        </w:rPr>
        <w:t>n</w:t>
      </w:r>
      <w:r w:rsidR="00605771" w:rsidRPr="00605771">
        <w:rPr>
          <w:snapToGrid w:val="0"/>
        </w:rPr>
        <w:t>’</w:t>
      </w:r>
      <w:r w:rsidR="00D6495B" w:rsidRPr="00605771">
        <w:rPr>
          <w:snapToGrid w:val="0"/>
        </w:rPr>
        <w:t>est pas trouvé</w:t>
      </w:r>
      <w:r w:rsidR="008F2E37" w:rsidRPr="00605771">
        <w:rPr>
          <w:snapToGrid w:val="0"/>
        </w:rPr>
        <w:t xml:space="preserve"> à son domicile (...), le document est délivré à l</w:t>
      </w:r>
      <w:r w:rsidR="00605771" w:rsidRPr="00605771">
        <w:rPr>
          <w:snapToGrid w:val="0"/>
        </w:rPr>
        <w:t>’</w:t>
      </w:r>
      <w:r w:rsidR="008F2E37" w:rsidRPr="00605771">
        <w:rPr>
          <w:snapToGrid w:val="0"/>
        </w:rPr>
        <w:t>une des personnes qui habite</w:t>
      </w:r>
      <w:r w:rsidR="00DF7478" w:rsidRPr="00605771">
        <w:rPr>
          <w:snapToGrid w:val="0"/>
        </w:rPr>
        <w:t>nt</w:t>
      </w:r>
      <w:r w:rsidR="008F2E37" w:rsidRPr="00605771">
        <w:rPr>
          <w:snapToGrid w:val="0"/>
        </w:rPr>
        <w:t xml:space="preserve"> avec lui</w:t>
      </w:r>
      <w:r w:rsidRPr="00605771">
        <w:rPr>
          <w:snapToGrid w:val="0"/>
        </w:rPr>
        <w:t>, même à titre temporaire (...)</w:t>
      </w:r>
    </w:p>
    <w:p w:rsidR="008F2E37" w:rsidRPr="00605771" w:rsidRDefault="008F2E37" w:rsidP="00605771">
      <w:pPr>
        <w:pStyle w:val="JuQuot"/>
        <w:rPr>
          <w:snapToGrid w:val="0"/>
        </w:rPr>
      </w:pPr>
      <w:r w:rsidRPr="00605771">
        <w:rPr>
          <w:snapToGrid w:val="0"/>
        </w:rPr>
        <w:lastRenderedPageBreak/>
        <w:t xml:space="preserve">2. (...) Si aucune des personnes mentionnées au paragraphe précédent ne se trouve au domicile, celui qui est chargé de la notification doit </w:t>
      </w:r>
      <w:r w:rsidR="008C0E98" w:rsidRPr="00605771">
        <w:rPr>
          <w:snapToGrid w:val="0"/>
        </w:rPr>
        <w:t>coller</w:t>
      </w:r>
      <w:r w:rsidRPr="00605771">
        <w:rPr>
          <w:snapToGrid w:val="0"/>
        </w:rPr>
        <w:t xml:space="preserve"> le document sur la porte du domicile devant un témoin (...)</w:t>
      </w:r>
      <w:r w:rsidR="007F3869" w:rsidRPr="00605771">
        <w:rPr>
          <w:snapToGrid w:val="0"/>
        </w:rPr>
        <w:t xml:space="preserve">. Si la notification </w:t>
      </w:r>
      <w:r w:rsidR="0057551F" w:rsidRPr="00605771">
        <w:rPr>
          <w:snapToGrid w:val="0"/>
        </w:rPr>
        <w:t xml:space="preserve">a été </w:t>
      </w:r>
      <w:r w:rsidR="008C0E98" w:rsidRPr="00605771">
        <w:rPr>
          <w:snapToGrid w:val="0"/>
        </w:rPr>
        <w:t>faite [en collant le document]</w:t>
      </w:r>
      <w:r w:rsidR="0057551F" w:rsidRPr="00605771">
        <w:rPr>
          <w:snapToGrid w:val="0"/>
        </w:rPr>
        <w:t xml:space="preserve"> </w:t>
      </w:r>
      <w:r w:rsidRPr="00605771">
        <w:rPr>
          <w:snapToGrid w:val="0"/>
        </w:rPr>
        <w:t xml:space="preserve">sur la porte du domicile </w:t>
      </w:r>
      <w:r w:rsidR="007F3869" w:rsidRPr="00605771">
        <w:rPr>
          <w:snapToGrid w:val="0"/>
        </w:rPr>
        <w:t>parce que les personnes visées aux alinéas 1</w:t>
      </w:r>
      <w:r w:rsidR="0057551F" w:rsidRPr="00605771">
        <w:rPr>
          <w:snapToGrid w:val="0"/>
        </w:rPr>
        <w:t> </w:t>
      </w:r>
      <w:r w:rsidR="007F3869" w:rsidRPr="00605771">
        <w:rPr>
          <w:snapToGrid w:val="0"/>
        </w:rPr>
        <w:t>b) et c) ont refusé de recevoir le document signifié ou étaient absentes, une copie de ce document est signifiée à tout mandataire désigné de l</w:t>
      </w:r>
      <w:r w:rsidR="00605771" w:rsidRPr="00605771">
        <w:rPr>
          <w:snapToGrid w:val="0"/>
        </w:rPr>
        <w:t>’</w:t>
      </w:r>
      <w:r w:rsidR="007F3869" w:rsidRPr="00605771">
        <w:rPr>
          <w:snapToGrid w:val="0"/>
        </w:rPr>
        <w:t xml:space="preserve">accusé ou de la personne </w:t>
      </w:r>
      <w:r w:rsidR="000A48AD" w:rsidRPr="00605771">
        <w:rPr>
          <w:snapToGrid w:val="0"/>
        </w:rPr>
        <w:t>[</w:t>
      </w:r>
      <w:r w:rsidR="007F3869" w:rsidRPr="00605771">
        <w:rPr>
          <w:snapToGrid w:val="0"/>
        </w:rPr>
        <w:t>civile</w:t>
      </w:r>
      <w:r w:rsidR="000A48AD" w:rsidRPr="00605771">
        <w:rPr>
          <w:snapToGrid w:val="0"/>
        </w:rPr>
        <w:t>ment responsable d</w:t>
      </w:r>
      <w:r w:rsidR="0057551F" w:rsidRPr="00605771">
        <w:rPr>
          <w:snapToGrid w:val="0"/>
        </w:rPr>
        <w:t>e celui-ci]</w:t>
      </w:r>
      <w:r w:rsidR="007F3869" w:rsidRPr="00605771">
        <w:rPr>
          <w:snapToGrid w:val="0"/>
        </w:rPr>
        <w:t xml:space="preserve">. </w:t>
      </w:r>
      <w:r w:rsidR="00A97093" w:rsidRPr="00605771">
        <w:rPr>
          <w:snapToGrid w:val="0"/>
        </w:rPr>
        <w:t xml:space="preserve">Dans ce cas, les </w:t>
      </w:r>
      <w:r w:rsidR="0057551F" w:rsidRPr="00605771">
        <w:rPr>
          <w:snapToGrid w:val="0"/>
        </w:rPr>
        <w:t>effets</w:t>
      </w:r>
      <w:r w:rsidR="00A97093" w:rsidRPr="00605771">
        <w:rPr>
          <w:snapToGrid w:val="0"/>
        </w:rPr>
        <w:t xml:space="preserve"> [juridiques] commencent à partir de la notification au mandataire.</w:t>
      </w:r>
      <w:r w:rsidR="00FE72D0" w:rsidRPr="00605771">
        <w:rPr>
          <w:snapToGrid w:val="0"/>
        </w:rPr>
        <w:t> </w:t>
      </w:r>
      <w:r w:rsidRPr="00605771">
        <w:rPr>
          <w:snapToGrid w:val="0"/>
        </w:rPr>
        <w:t>»</w:t>
      </w:r>
    </w:p>
    <w:p w:rsidR="002534CB" w:rsidRPr="00605771" w:rsidRDefault="002534CB" w:rsidP="00605771">
      <w:pPr>
        <w:pStyle w:val="JuHArticle"/>
        <w:rPr>
          <w:snapToGrid w:val="0"/>
        </w:rPr>
      </w:pPr>
      <w:r w:rsidRPr="00605771">
        <w:rPr>
          <w:snapToGrid w:val="0"/>
        </w:rPr>
        <w:t>Article 308</w:t>
      </w:r>
    </w:p>
    <w:p w:rsidR="002C7F5B" w:rsidRPr="00605771" w:rsidRDefault="002534CB" w:rsidP="00605771">
      <w:pPr>
        <w:pStyle w:val="JuQuot"/>
      </w:pPr>
      <w:r w:rsidRPr="00605771">
        <w:t>« (</w:t>
      </w:r>
      <w:r w:rsidR="002C7F5B" w:rsidRPr="00605771">
        <w:t>...</w:t>
      </w:r>
      <w:r w:rsidRPr="00605771">
        <w:t xml:space="preserve">) Les parties ont le droit de faire </w:t>
      </w:r>
      <w:r w:rsidR="008A347B" w:rsidRPr="00605771">
        <w:t>savoir</w:t>
      </w:r>
      <w:r w:rsidRPr="00605771">
        <w:t xml:space="preserve"> au procureur, </w:t>
      </w:r>
      <w:r w:rsidR="00C4194D" w:rsidRPr="00605771">
        <w:t>et</w:t>
      </w:r>
      <w:r w:rsidRPr="00605771">
        <w:t xml:space="preserve"> oralement et avant qu</w:t>
      </w:r>
      <w:r w:rsidR="008A347B" w:rsidRPr="00605771">
        <w:t>e celui-ci ne</w:t>
      </w:r>
      <w:r w:rsidRPr="00605771">
        <w:t xml:space="preserve"> rédige sa proposition, qu</w:t>
      </w:r>
      <w:r w:rsidR="00605771" w:rsidRPr="00605771">
        <w:t>’</w:t>
      </w:r>
      <w:r w:rsidRPr="00605771">
        <w:t xml:space="preserve">elles souhaitent connaître </w:t>
      </w:r>
      <w:r w:rsidR="00CB0B24" w:rsidRPr="00605771">
        <w:t>le</w:t>
      </w:r>
      <w:r w:rsidRPr="00605771">
        <w:t xml:space="preserve"> contenu</w:t>
      </w:r>
      <w:r w:rsidR="00CB0B24" w:rsidRPr="00605771">
        <w:t xml:space="preserve"> [de celle-ci]</w:t>
      </w:r>
      <w:r w:rsidRPr="00605771">
        <w:t xml:space="preserve">. Dans ce cas, le procureur doit </w:t>
      </w:r>
      <w:r w:rsidR="0058494D" w:rsidRPr="00605771">
        <w:t>informer, par voie de notification,</w:t>
      </w:r>
      <w:r w:rsidR="0057551F" w:rsidRPr="00605771">
        <w:t xml:space="preserve"> </w:t>
      </w:r>
      <w:r w:rsidRPr="00605771">
        <w:t>la partie qui a exercé ce droit, s</w:t>
      </w:r>
      <w:r w:rsidR="0057551F" w:rsidRPr="00605771">
        <w:t>i elle</w:t>
      </w:r>
      <w:r w:rsidRPr="00605771">
        <w:t xml:space="preserve"> réside </w:t>
      </w:r>
      <w:r w:rsidR="007172C4" w:rsidRPr="00605771">
        <w:t xml:space="preserve">[dans </w:t>
      </w:r>
      <w:r w:rsidR="0057551F" w:rsidRPr="00605771">
        <w:t>le ressort</w:t>
      </w:r>
      <w:r w:rsidR="007172C4" w:rsidRPr="00605771">
        <w:t xml:space="preserve">] </w:t>
      </w:r>
      <w:r w:rsidRPr="00605771">
        <w:t xml:space="preserve">du tribunal, </w:t>
      </w:r>
      <w:r w:rsidR="0057551F" w:rsidRPr="00605771">
        <w:t xml:space="preserve">ou, à défaut, </w:t>
      </w:r>
      <w:r w:rsidR="0058494D" w:rsidRPr="00605771">
        <w:t>le</w:t>
      </w:r>
      <w:r w:rsidRPr="00605771">
        <w:t xml:space="preserve"> </w:t>
      </w:r>
      <w:r w:rsidR="007172C4" w:rsidRPr="00605771">
        <w:t xml:space="preserve">mandataire </w:t>
      </w:r>
      <w:r w:rsidRPr="00605771">
        <w:t>qu</w:t>
      </w:r>
      <w:r w:rsidR="00605771" w:rsidRPr="00605771">
        <w:t>’</w:t>
      </w:r>
      <w:r w:rsidRPr="00605771">
        <w:t xml:space="preserve">elle a </w:t>
      </w:r>
      <w:r w:rsidR="0057551F" w:rsidRPr="00605771">
        <w:t>désigné [dans le ressort]</w:t>
      </w:r>
      <w:r w:rsidR="007172C4" w:rsidRPr="00605771">
        <w:t xml:space="preserve"> du tribunal</w:t>
      </w:r>
      <w:r w:rsidRPr="00605771">
        <w:t xml:space="preserve">, </w:t>
      </w:r>
      <w:r w:rsidR="0057551F" w:rsidRPr="00605771">
        <w:t>qu</w:t>
      </w:r>
      <w:r w:rsidR="00605771" w:rsidRPr="00605771">
        <w:t>’</w:t>
      </w:r>
      <w:r w:rsidR="0057551F" w:rsidRPr="00605771">
        <w:t>elle doit comp</w:t>
      </w:r>
      <w:r w:rsidR="007172C4" w:rsidRPr="00605771">
        <w:t>araître [devant lui] pour</w:t>
      </w:r>
      <w:r w:rsidRPr="00605771">
        <w:t xml:space="preserve"> prendre </w:t>
      </w:r>
      <w:r w:rsidR="007172C4" w:rsidRPr="00605771">
        <w:t xml:space="preserve">connaissance de sa proposition </w:t>
      </w:r>
      <w:r w:rsidRPr="00605771">
        <w:t>dans les vingt-quatre heures. (</w:t>
      </w:r>
      <w:r w:rsidR="002C7F5B" w:rsidRPr="00605771">
        <w:t>...</w:t>
      </w:r>
      <w:r w:rsidRPr="00605771">
        <w:t>)</w:t>
      </w:r>
    </w:p>
    <w:p w:rsidR="002534CB" w:rsidRPr="00605771" w:rsidRDefault="002534CB" w:rsidP="00605771">
      <w:pPr>
        <w:pStyle w:val="JuQuot"/>
      </w:pPr>
      <w:r w:rsidRPr="00605771">
        <w:t>Cet</w:t>
      </w:r>
      <w:r w:rsidR="007172C4" w:rsidRPr="00605771">
        <w:t>te notification</w:t>
      </w:r>
      <w:r w:rsidRPr="00605771">
        <w:t xml:space="preserve"> peut être fait</w:t>
      </w:r>
      <w:r w:rsidR="007172C4" w:rsidRPr="00605771">
        <w:t>e oralement ou par téléphone. Dans ce cas, elle</w:t>
      </w:r>
      <w:r w:rsidRPr="00605771">
        <w:t xml:space="preserve"> est </w:t>
      </w:r>
      <w:r w:rsidR="007172C4" w:rsidRPr="00605771">
        <w:t xml:space="preserve">prouvée par une </w:t>
      </w:r>
      <w:r w:rsidR="00CB0B24" w:rsidRPr="00605771">
        <w:t>attestation établie</w:t>
      </w:r>
      <w:r w:rsidR="007172C4" w:rsidRPr="00605771">
        <w:t xml:space="preserve"> par le secrétaire compétent du b</w:t>
      </w:r>
      <w:r w:rsidRPr="00605771">
        <w:t>ureau d</w:t>
      </w:r>
      <w:r w:rsidR="007172C4" w:rsidRPr="00605771">
        <w:t>u p</w:t>
      </w:r>
      <w:r w:rsidRPr="00605771">
        <w:t>rocureur</w:t>
      </w:r>
      <w:r w:rsidR="007172C4" w:rsidRPr="00605771">
        <w:t xml:space="preserve"> </w:t>
      </w:r>
      <w:r w:rsidRPr="00605771">
        <w:t>joint</w:t>
      </w:r>
      <w:r w:rsidR="007172C4" w:rsidRPr="00605771">
        <w:t>e</w:t>
      </w:r>
      <w:r w:rsidRPr="00605771">
        <w:t xml:space="preserve"> au dossier.</w:t>
      </w:r>
    </w:p>
    <w:p w:rsidR="002C7F5B" w:rsidRPr="00605771" w:rsidRDefault="00E74456" w:rsidP="00605771">
      <w:pPr>
        <w:pStyle w:val="JuQuot"/>
      </w:pPr>
      <w:r w:rsidRPr="00605771">
        <w:t>L</w:t>
      </w:r>
      <w:r w:rsidR="00605771" w:rsidRPr="00605771">
        <w:t>’</w:t>
      </w:r>
      <w:r w:rsidRPr="00605771">
        <w:t xml:space="preserve">affaire </w:t>
      </w:r>
      <w:r w:rsidR="006D4473" w:rsidRPr="00605771">
        <w:t>[ne peut être]</w:t>
      </w:r>
      <w:r w:rsidRPr="00605771">
        <w:t xml:space="preserve"> introduite devant la chambre d</w:t>
      </w:r>
      <w:r w:rsidR="00605771" w:rsidRPr="00605771">
        <w:t>’</w:t>
      </w:r>
      <w:r w:rsidRPr="00605771">
        <w:t>accusation a</w:t>
      </w:r>
      <w:r w:rsidR="001074C9" w:rsidRPr="00605771">
        <w:t xml:space="preserve">vant </w:t>
      </w:r>
      <w:r w:rsidRPr="00605771">
        <w:t>l</w:t>
      </w:r>
      <w:r w:rsidR="00605771" w:rsidRPr="00605771">
        <w:t>’</w:t>
      </w:r>
      <w:r w:rsidRPr="00605771">
        <w:t>expiration d</w:t>
      </w:r>
      <w:r w:rsidR="00605771" w:rsidRPr="00605771">
        <w:t>’</w:t>
      </w:r>
      <w:r w:rsidRPr="00605771">
        <w:t>un délai de</w:t>
      </w:r>
      <w:r w:rsidR="001074C9" w:rsidRPr="00605771">
        <w:t xml:space="preserve"> dix</w:t>
      </w:r>
      <w:r w:rsidR="002534CB" w:rsidRPr="00605771">
        <w:t xml:space="preserve"> jours </w:t>
      </w:r>
      <w:r w:rsidR="006D4473" w:rsidRPr="00605771">
        <w:t>à compter de la date de</w:t>
      </w:r>
      <w:r w:rsidR="002534CB" w:rsidRPr="00605771">
        <w:t xml:space="preserve"> </w:t>
      </w:r>
      <w:r w:rsidR="006D4473" w:rsidRPr="00605771">
        <w:t xml:space="preserve">la </w:t>
      </w:r>
      <w:r w:rsidR="002534CB" w:rsidRPr="00605771">
        <w:t>notification</w:t>
      </w:r>
      <w:r w:rsidR="00D47B0F" w:rsidRPr="00605771">
        <w:t xml:space="preserve"> </w:t>
      </w:r>
      <w:r w:rsidR="006D4473" w:rsidRPr="00605771">
        <w:t>[</w:t>
      </w:r>
      <w:r w:rsidR="00D47B0F" w:rsidRPr="00605771">
        <w:t>; le dossier</w:t>
      </w:r>
      <w:r w:rsidR="00F146C4" w:rsidRPr="00605771">
        <w:t xml:space="preserve"> </w:t>
      </w:r>
      <w:r w:rsidR="002534CB" w:rsidRPr="00605771">
        <w:t>reste</w:t>
      </w:r>
      <w:r w:rsidR="00D47B0F" w:rsidRPr="00605771">
        <w:t xml:space="preserve">, pendant ce délai,] au sein du </w:t>
      </w:r>
      <w:r w:rsidR="002534CB" w:rsidRPr="00605771">
        <w:t xml:space="preserve">secrétariat du parquet, sauf </w:t>
      </w:r>
      <w:r w:rsidR="00F146C4" w:rsidRPr="00605771">
        <w:t>s</w:t>
      </w:r>
      <w:r w:rsidR="00605771" w:rsidRPr="00605771">
        <w:t>’</w:t>
      </w:r>
      <w:r w:rsidR="00F146C4" w:rsidRPr="00605771">
        <w:t xml:space="preserve">il existe un </w:t>
      </w:r>
      <w:r w:rsidR="002534CB" w:rsidRPr="00605771">
        <w:t xml:space="preserve">risque de </w:t>
      </w:r>
      <w:r w:rsidR="00F146C4" w:rsidRPr="00605771">
        <w:t>prescription. »</w:t>
      </w:r>
    </w:p>
    <w:p w:rsidR="002C7F5B" w:rsidRPr="00605771" w:rsidRDefault="004C1C30" w:rsidP="00605771">
      <w:pPr>
        <w:pStyle w:val="JuHArticle"/>
      </w:pPr>
      <w:r w:rsidRPr="00605771">
        <w:t>Article 432</w:t>
      </w:r>
    </w:p>
    <w:p w:rsidR="004C1C30" w:rsidRPr="00605771" w:rsidRDefault="00FE72D0" w:rsidP="00605771">
      <w:pPr>
        <w:pStyle w:val="JuQuot"/>
      </w:pPr>
      <w:r w:rsidRPr="00605771">
        <w:t>« </w:t>
      </w:r>
      <w:r w:rsidR="004C1C30" w:rsidRPr="00605771">
        <w:t xml:space="preserve">Si celui qui a été déféré au tribunal pour être jugé pour un crime est absent </w:t>
      </w:r>
      <w:r w:rsidR="0089491E" w:rsidRPr="00605771">
        <w:t xml:space="preserve">de son lieu de résidence et </w:t>
      </w:r>
      <w:r w:rsidR="006D4473" w:rsidRPr="00605771">
        <w:t xml:space="preserve">si </w:t>
      </w:r>
      <w:r w:rsidR="0089491E" w:rsidRPr="00605771">
        <w:t xml:space="preserve">son </w:t>
      </w:r>
      <w:r w:rsidR="004C1C30" w:rsidRPr="00605771">
        <w:t>domicile est inconnu, et s</w:t>
      </w:r>
      <w:r w:rsidR="00605771" w:rsidRPr="00605771">
        <w:t>’</w:t>
      </w:r>
      <w:r w:rsidR="004C1C30" w:rsidRPr="00605771">
        <w:t>il ne comparaît pas ou n</w:t>
      </w:r>
      <w:r w:rsidR="00605771" w:rsidRPr="00605771">
        <w:t>’</w:t>
      </w:r>
      <w:r w:rsidR="004C1C30" w:rsidRPr="00605771">
        <w:t>est pas arrêté dans un délai d</w:t>
      </w:r>
      <w:r w:rsidR="00605771" w:rsidRPr="00605771">
        <w:t>’</w:t>
      </w:r>
      <w:r w:rsidR="004C1C30" w:rsidRPr="00605771">
        <w:t>un mois à compter de la citation à comparaître (...), la procédure</w:t>
      </w:r>
      <w:r w:rsidR="00B514F3" w:rsidRPr="00605771">
        <w:t xml:space="preserve"> est, lors de</w:t>
      </w:r>
      <w:r w:rsidR="0089491E" w:rsidRPr="00605771">
        <w:t xml:space="preserve"> l</w:t>
      </w:r>
      <w:r w:rsidR="00605771" w:rsidRPr="00605771">
        <w:t>’</w:t>
      </w:r>
      <w:r w:rsidR="0089491E" w:rsidRPr="00605771">
        <w:t>audience</w:t>
      </w:r>
      <w:r w:rsidR="00B514F3" w:rsidRPr="00605771">
        <w:t>,</w:t>
      </w:r>
      <w:r w:rsidR="004C1C30" w:rsidRPr="00605771">
        <w:t xml:space="preserve"> </w:t>
      </w:r>
      <w:r w:rsidR="00E93C3E" w:rsidRPr="00605771">
        <w:t>suspendue</w:t>
      </w:r>
      <w:r w:rsidR="0089491E" w:rsidRPr="00605771">
        <w:t xml:space="preserve"> (</w:t>
      </w:r>
      <w:r w:rsidR="0089491E" w:rsidRPr="00605771">
        <w:rPr>
          <w:i/>
          <w:lang w:val="el-GR"/>
        </w:rPr>
        <w:t>αναστέλλεται</w:t>
      </w:r>
      <w:r w:rsidR="0089491E" w:rsidRPr="00605771">
        <w:t>)</w:t>
      </w:r>
      <w:r w:rsidR="004C1C30" w:rsidRPr="00605771">
        <w:t xml:space="preserve"> par </w:t>
      </w:r>
      <w:r w:rsidR="006D4473" w:rsidRPr="00605771">
        <w:t xml:space="preserve">une </w:t>
      </w:r>
      <w:r w:rsidR="004C1C30" w:rsidRPr="00605771">
        <w:t>décision du procureur près la cour d</w:t>
      </w:r>
      <w:r w:rsidR="00605771" w:rsidRPr="00605771">
        <w:t>’</w:t>
      </w:r>
      <w:r w:rsidR="004C1C30" w:rsidRPr="00605771">
        <w:t>appel jusqu</w:t>
      </w:r>
      <w:r w:rsidR="00605771" w:rsidRPr="00605771">
        <w:t>’</w:t>
      </w:r>
      <w:r w:rsidR="004C1C30" w:rsidRPr="00605771">
        <w:t>à ce qu</w:t>
      </w:r>
      <w:r w:rsidR="00605771" w:rsidRPr="00605771">
        <w:t>’</w:t>
      </w:r>
      <w:r w:rsidR="004C1C30" w:rsidRPr="00605771">
        <w:t>il soit arrêté ou qu</w:t>
      </w:r>
      <w:r w:rsidR="00605771" w:rsidRPr="00605771">
        <w:t>’</w:t>
      </w:r>
      <w:r w:rsidR="004C1C30" w:rsidRPr="00605771">
        <w:t>il comparaisse</w:t>
      </w:r>
      <w:r w:rsidR="0089491E" w:rsidRPr="00605771">
        <w:t>. (</w:t>
      </w:r>
      <w:r w:rsidR="002C7F5B" w:rsidRPr="00605771">
        <w:t>...</w:t>
      </w:r>
      <w:r w:rsidR="0089491E" w:rsidRPr="00605771">
        <w:t>)</w:t>
      </w:r>
      <w:r w:rsidRPr="00605771">
        <w:t> »</w:t>
      </w:r>
    </w:p>
    <w:p w:rsidR="005F627C" w:rsidRPr="00605771" w:rsidRDefault="005F627C" w:rsidP="00605771">
      <w:pPr>
        <w:pStyle w:val="JuPara"/>
      </w:pPr>
    </w:p>
    <w:bookmarkStart w:id="17" w:name="CP351avantmodif"/>
    <w:p w:rsidR="005F627C" w:rsidRPr="00605771" w:rsidRDefault="005F627C"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92</w:t>
      </w:r>
      <w:r w:rsidRPr="00605771">
        <w:fldChar w:fldCharType="end"/>
      </w:r>
      <w:bookmarkEnd w:id="17"/>
      <w:r w:rsidRPr="00605771">
        <w:t>.  L</w:t>
      </w:r>
      <w:r w:rsidR="00605771" w:rsidRPr="00605771">
        <w:t>’</w:t>
      </w:r>
      <w:r w:rsidRPr="00605771">
        <w:t>article 351 du code pénal</w:t>
      </w:r>
      <w:r w:rsidR="00AF0504" w:rsidRPr="00605771">
        <w:t xml:space="preserve"> (C</w:t>
      </w:r>
      <w:r w:rsidRPr="00605771">
        <w:t>P)</w:t>
      </w:r>
      <w:r w:rsidR="009144AB" w:rsidRPr="00605771">
        <w:t>,</w:t>
      </w:r>
      <w:r w:rsidRPr="00605771">
        <w:t xml:space="preserve"> </w:t>
      </w:r>
      <w:r w:rsidR="009144AB" w:rsidRPr="00605771">
        <w:t xml:space="preserve">intitulé « traite des êtres humains », </w:t>
      </w:r>
      <w:r w:rsidRPr="00605771">
        <w:t>se lisait ainsi avant l</w:t>
      </w:r>
      <w:r w:rsidR="00605771" w:rsidRPr="00605771">
        <w:t>’</w:t>
      </w:r>
      <w:r w:rsidRPr="00605771">
        <w:t>entrée en vigueur</w:t>
      </w:r>
      <w:r w:rsidR="006D4473" w:rsidRPr="00605771">
        <w:t>, le 15 octobre 2002,</w:t>
      </w:r>
      <w:r w:rsidRPr="00605771">
        <w:t xml:space="preserve"> de la loi n</w:t>
      </w:r>
      <w:r w:rsidRPr="00605771">
        <w:rPr>
          <w:vertAlign w:val="superscript"/>
        </w:rPr>
        <w:t>o</w:t>
      </w:r>
      <w:r w:rsidRPr="00605771">
        <w:t xml:space="preserve"> 3064/2002</w:t>
      </w:r>
      <w:r w:rsidR="006D4473" w:rsidRPr="00605771">
        <w:t xml:space="preserve"> </w:t>
      </w:r>
      <w:r w:rsidRPr="00605771">
        <w:t>:</w:t>
      </w:r>
    </w:p>
    <w:p w:rsidR="001017E8" w:rsidRPr="00605771" w:rsidRDefault="004971CF" w:rsidP="00605771">
      <w:pPr>
        <w:pStyle w:val="JuQuot"/>
      </w:pPr>
      <w:r w:rsidRPr="00605771">
        <w:t>« </w:t>
      </w:r>
      <w:r w:rsidR="001017E8" w:rsidRPr="00605771">
        <w:t xml:space="preserve">1. Celui qui, afin de </w:t>
      </w:r>
      <w:r w:rsidR="00D54642" w:rsidRPr="00605771">
        <w:t>fa</w:t>
      </w:r>
      <w:r w:rsidR="009144AB" w:rsidRPr="00605771">
        <w:t>ciliter</w:t>
      </w:r>
      <w:r w:rsidR="001017E8" w:rsidRPr="00605771">
        <w:t xml:space="preserve"> la </w:t>
      </w:r>
      <w:r w:rsidR="00FC1D66" w:rsidRPr="00605771">
        <w:t xml:space="preserve">débauche </w:t>
      </w:r>
      <w:r w:rsidR="009F1FA7" w:rsidRPr="00605771">
        <w:t>d</w:t>
      </w:r>
      <w:r w:rsidR="00605771" w:rsidRPr="00605771">
        <w:t>’</w:t>
      </w:r>
      <w:r w:rsidR="001017E8" w:rsidRPr="00605771">
        <w:t>autr</w:t>
      </w:r>
      <w:r w:rsidR="009F1FA7" w:rsidRPr="00605771">
        <w:t>ui</w:t>
      </w:r>
      <w:r w:rsidR="001017E8" w:rsidRPr="00605771">
        <w:t> :</w:t>
      </w:r>
    </w:p>
    <w:p w:rsidR="001E4DEC" w:rsidRPr="00605771" w:rsidRDefault="001017E8" w:rsidP="00605771">
      <w:pPr>
        <w:pStyle w:val="JuQuot"/>
      </w:pPr>
      <w:r w:rsidRPr="00605771">
        <w:t xml:space="preserve">a) </w:t>
      </w:r>
      <w:r w:rsidR="009F1FA7" w:rsidRPr="00605771">
        <w:t xml:space="preserve">[même avec son consentement, </w:t>
      </w:r>
      <w:r w:rsidRPr="00605771">
        <w:t xml:space="preserve">embauche </w:t>
      </w:r>
      <w:r w:rsidR="009F1FA7" w:rsidRPr="00605771">
        <w:t xml:space="preserve">une femme mineure en vue de la prostituer </w:t>
      </w:r>
      <w:r w:rsidRPr="00605771">
        <w:t xml:space="preserve">ou </w:t>
      </w:r>
      <w:r w:rsidR="009F1FA7" w:rsidRPr="00605771">
        <w:t>amène celle-ci à se prostituer]</w:t>
      </w:r>
      <w:r w:rsidRPr="00605771">
        <w:t> ;</w:t>
      </w:r>
      <w:r w:rsidR="00010796" w:rsidRPr="00605771">
        <w:t xml:space="preserve"> </w:t>
      </w:r>
      <w:r w:rsidRPr="00605771">
        <w:t>b) par la force, de manière frauduleuse, par des menaces, par l</w:t>
      </w:r>
      <w:r w:rsidR="00605771" w:rsidRPr="00605771">
        <w:t>’</w:t>
      </w:r>
      <w:r w:rsidRPr="00605771">
        <w:t>imposition ou l</w:t>
      </w:r>
      <w:r w:rsidR="00605771" w:rsidRPr="00605771">
        <w:t>’</w:t>
      </w:r>
      <w:r w:rsidRPr="00605771">
        <w:t>abus de pouvoir ou par tout</w:t>
      </w:r>
      <w:r w:rsidR="00D54642" w:rsidRPr="00605771">
        <w:t>e</w:t>
      </w:r>
      <w:r w:rsidRPr="00605771">
        <w:t xml:space="preserve"> autre forme de coercition, embauche une femme adulte en vue de </w:t>
      </w:r>
      <w:r w:rsidR="009F1FA7" w:rsidRPr="00605771">
        <w:t xml:space="preserve">la </w:t>
      </w:r>
      <w:r w:rsidRPr="00605771">
        <w:t>prostitu</w:t>
      </w:r>
      <w:r w:rsidR="009F1FA7" w:rsidRPr="00605771">
        <w:t>er ou</w:t>
      </w:r>
      <w:r w:rsidR="00FE72D0" w:rsidRPr="00605771">
        <w:t xml:space="preserve"> amène celle-ci à se prostituer </w:t>
      </w:r>
      <w:r w:rsidRPr="00605771">
        <w:t>; c) par les formes [de coercition] mentionné</w:t>
      </w:r>
      <w:r w:rsidR="00D9409E" w:rsidRPr="00605771">
        <w:t>e</w:t>
      </w:r>
      <w:r w:rsidRPr="00605771">
        <w:t xml:space="preserve">s ci-dessus, détient </w:t>
      </w:r>
      <w:r w:rsidR="001E4DEC" w:rsidRPr="00605771">
        <w:t xml:space="preserve">une femme </w:t>
      </w:r>
      <w:r w:rsidRPr="00605771">
        <w:t xml:space="preserve">contre sa volonté </w:t>
      </w:r>
      <w:r w:rsidR="001E4DEC" w:rsidRPr="00605771">
        <w:t xml:space="preserve">dans une maison close ou la force </w:t>
      </w:r>
      <w:r w:rsidR="00D9409E" w:rsidRPr="00605771">
        <w:t>[à se soumettre]</w:t>
      </w:r>
      <w:r w:rsidR="00010796" w:rsidRPr="00605771">
        <w:t xml:space="preserve"> à la prostitution ; </w:t>
      </w:r>
      <w:r w:rsidR="001E4DEC" w:rsidRPr="00605771">
        <w:t xml:space="preserve">est puni </w:t>
      </w:r>
      <w:r w:rsidR="00D9409E" w:rsidRPr="00605771">
        <w:t>d</w:t>
      </w:r>
      <w:r w:rsidR="00605771" w:rsidRPr="00605771">
        <w:t>’</w:t>
      </w:r>
      <w:r w:rsidR="00D9409E" w:rsidRPr="00605771">
        <w:t xml:space="preserve">une peine </w:t>
      </w:r>
      <w:r w:rsidR="001E4DEC" w:rsidRPr="00605771">
        <w:t>d</w:t>
      </w:r>
      <w:r w:rsidR="00605771" w:rsidRPr="00605771">
        <w:t>’</w:t>
      </w:r>
      <w:r w:rsidR="001E4DEC" w:rsidRPr="00605771">
        <w:t>emprisonnement [allant] d</w:t>
      </w:r>
      <w:r w:rsidR="00605771" w:rsidRPr="00605771">
        <w:t>’</w:t>
      </w:r>
      <w:r w:rsidR="001E4DEC" w:rsidRPr="00605771">
        <w:t xml:space="preserve">un an </w:t>
      </w:r>
      <w:r w:rsidR="00D9409E" w:rsidRPr="00605771">
        <w:t>à</w:t>
      </w:r>
      <w:r w:rsidR="001E4DEC" w:rsidRPr="00605771">
        <w:t xml:space="preserve"> trois ans et d</w:t>
      </w:r>
      <w:r w:rsidR="00605771" w:rsidRPr="00605771">
        <w:t>’</w:t>
      </w:r>
      <w:r w:rsidR="001E4DEC" w:rsidRPr="00605771">
        <w:t xml:space="preserve">une </w:t>
      </w:r>
      <w:r w:rsidR="00D9409E" w:rsidRPr="00605771">
        <w:t>sanction</w:t>
      </w:r>
      <w:r w:rsidR="001E4DEC" w:rsidRPr="00605771">
        <w:t xml:space="preserve"> pécuniaire si une peine plus lourde n</w:t>
      </w:r>
      <w:r w:rsidR="00605771" w:rsidRPr="00605771">
        <w:t>’</w:t>
      </w:r>
      <w:r w:rsidR="001E4DEC" w:rsidRPr="00605771">
        <w:t>est pas imposée.</w:t>
      </w:r>
    </w:p>
    <w:p w:rsidR="005F627C" w:rsidRPr="00605771" w:rsidRDefault="001E4DEC" w:rsidP="00605771">
      <w:pPr>
        <w:pStyle w:val="JuQuot"/>
      </w:pPr>
      <w:r w:rsidRPr="00605771">
        <w:t xml:space="preserve">2. Le maximum de la peine ci-dessus est </w:t>
      </w:r>
      <w:r w:rsidR="007263DD" w:rsidRPr="00605771">
        <w:t>porté à</w:t>
      </w:r>
      <w:r w:rsidR="00010796" w:rsidRPr="00605771">
        <w:t xml:space="preserve"> </w:t>
      </w:r>
      <w:r w:rsidRPr="00605771">
        <w:t>cinq ans si l</w:t>
      </w:r>
      <w:r w:rsidR="00605771" w:rsidRPr="00605771">
        <w:t>’</w:t>
      </w:r>
      <w:r w:rsidRPr="00605771">
        <w:t xml:space="preserve">infraction a été commise par </w:t>
      </w:r>
      <w:r w:rsidR="00D9409E" w:rsidRPr="00605771">
        <w:t>l</w:t>
      </w:r>
      <w:r w:rsidR="00605771" w:rsidRPr="00605771">
        <w:t>’</w:t>
      </w:r>
      <w:r w:rsidRPr="00605771">
        <w:t xml:space="preserve">une des personnes </w:t>
      </w:r>
      <w:r w:rsidR="00D9409E" w:rsidRPr="00605771">
        <w:t>mentionnées à</w:t>
      </w:r>
      <w:r w:rsidRPr="00605771">
        <w:t xml:space="preserve"> l</w:t>
      </w:r>
      <w:r w:rsidR="00605771" w:rsidRPr="00605771">
        <w:t>’</w:t>
      </w:r>
      <w:r w:rsidRPr="00605771">
        <w:t xml:space="preserve">article 349 § 2 c). </w:t>
      </w:r>
      <w:r w:rsidR="00FE72D0" w:rsidRPr="00605771">
        <w:t>(...) </w:t>
      </w:r>
      <w:r w:rsidR="001017E8" w:rsidRPr="00605771">
        <w:t>»</w:t>
      </w:r>
    </w:p>
    <w:p w:rsidR="00D8384A" w:rsidRPr="00605771" w:rsidRDefault="00D8384A" w:rsidP="00605771">
      <w:pPr>
        <w:pStyle w:val="JuHIRoman"/>
      </w:pPr>
      <w:r w:rsidRPr="00605771">
        <w:lastRenderedPageBreak/>
        <w:t>LE DROIT ET LA PRATIQUE INTERNATIONAUX</w:t>
      </w:r>
    </w:p>
    <w:p w:rsidR="002C7F5B" w:rsidRPr="00605771" w:rsidRDefault="000755CC"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93</w:t>
      </w:r>
      <w:r w:rsidRPr="00605771">
        <w:fldChar w:fldCharType="end"/>
      </w:r>
      <w:r w:rsidRPr="00605771">
        <w:t>.  </w:t>
      </w:r>
      <w:r w:rsidR="00EE4468" w:rsidRPr="00605771">
        <w:t xml:space="preserve">Le droit et la pratique internationaux </w:t>
      </w:r>
      <w:r w:rsidR="00DA58C0" w:rsidRPr="00605771">
        <w:t xml:space="preserve">pertinents </w:t>
      </w:r>
      <w:r w:rsidR="00EE4468" w:rsidRPr="00605771">
        <w:t>en l</w:t>
      </w:r>
      <w:r w:rsidR="00605771" w:rsidRPr="00605771">
        <w:t>’</w:t>
      </w:r>
      <w:r w:rsidR="00EE4468" w:rsidRPr="00605771">
        <w:t>espèce sont décrits dans l</w:t>
      </w:r>
      <w:r w:rsidR="00605771" w:rsidRPr="00605771">
        <w:t>’</w:t>
      </w:r>
      <w:r w:rsidR="00EE4468" w:rsidRPr="00605771">
        <w:t xml:space="preserve">arrêt </w:t>
      </w:r>
      <w:r w:rsidR="00EE4468" w:rsidRPr="00605771">
        <w:rPr>
          <w:i/>
        </w:rPr>
        <w:t>L.E.</w:t>
      </w:r>
      <w:r w:rsidR="00EE4468" w:rsidRPr="00605771">
        <w:t xml:space="preserve"> </w:t>
      </w:r>
      <w:r w:rsidR="00EE4468" w:rsidRPr="00605771">
        <w:rPr>
          <w:i/>
        </w:rPr>
        <w:t>c. Grèce</w:t>
      </w:r>
      <w:r w:rsidR="00EE4468" w:rsidRPr="00605771">
        <w:t xml:space="preserve"> (</w:t>
      </w:r>
      <w:r w:rsidR="00D9409E" w:rsidRPr="00605771">
        <w:t>précité</w:t>
      </w:r>
      <w:r w:rsidR="00EE4468" w:rsidRPr="00605771">
        <w:t>, §§</w:t>
      </w:r>
      <w:r w:rsidR="00240F05" w:rsidRPr="00605771">
        <w:t xml:space="preserve"> 35-45</w:t>
      </w:r>
      <w:r w:rsidR="00EE4468" w:rsidRPr="00605771">
        <w:t>)</w:t>
      </w:r>
      <w:r w:rsidR="00414C75" w:rsidRPr="00605771">
        <w:t xml:space="preserve">, </w:t>
      </w:r>
      <w:r w:rsidR="00240F05" w:rsidRPr="00605771">
        <w:t>dans les arrêts qui s</w:t>
      </w:r>
      <w:r w:rsidR="00605771" w:rsidRPr="00605771">
        <w:t>’</w:t>
      </w:r>
      <w:r w:rsidR="00240F05" w:rsidRPr="00605771">
        <w:t>y trouvent cités au paragraphe 35</w:t>
      </w:r>
      <w:r w:rsidR="00414C75" w:rsidRPr="00605771">
        <w:t>, ainsi que dans l</w:t>
      </w:r>
      <w:r w:rsidR="00605771" w:rsidRPr="00605771">
        <w:t>’</w:t>
      </w:r>
      <w:r w:rsidR="00414C75" w:rsidRPr="00605771">
        <w:t xml:space="preserve">arrêt </w:t>
      </w:r>
      <w:bookmarkStart w:id="18" w:name="File1"/>
      <w:r w:rsidR="00767908" w:rsidRPr="00605771">
        <w:rPr>
          <w:i/>
        </w:rPr>
        <w:t>Chow</w:t>
      </w:r>
      <w:bookmarkEnd w:id="18"/>
      <w:r w:rsidR="00767908" w:rsidRPr="00605771">
        <w:rPr>
          <w:i/>
        </w:rPr>
        <w:t>dury et autres c. Grèce</w:t>
      </w:r>
      <w:r w:rsidR="00767908" w:rsidRPr="00605771">
        <w:t xml:space="preserve"> (n</w:t>
      </w:r>
      <w:r w:rsidR="00767908" w:rsidRPr="00605771">
        <w:rPr>
          <w:vertAlign w:val="superscript"/>
        </w:rPr>
        <w:t>o</w:t>
      </w:r>
      <w:r w:rsidR="00767908" w:rsidRPr="00605771">
        <w:t xml:space="preserve"> 21884/15, §§ 38-47, 30 mars 2017)</w:t>
      </w:r>
      <w:r w:rsidR="00FA61B5" w:rsidRPr="00605771">
        <w:t>.</w:t>
      </w:r>
    </w:p>
    <w:p w:rsidR="005F2606" w:rsidRPr="00605771" w:rsidRDefault="005F2606" w:rsidP="00605771">
      <w:pPr>
        <w:pStyle w:val="JuHIRoman"/>
      </w:pPr>
      <w:r w:rsidRPr="00605771">
        <w:t xml:space="preserve">LES RAPPORTS SUR LA TRAITE DES </w:t>
      </w:r>
      <w:r w:rsidR="00B86D71" w:rsidRPr="00605771">
        <w:rPr>
          <w:rFonts w:cstheme="majorHAnsi"/>
        </w:rPr>
        <w:t>Ê</w:t>
      </w:r>
      <w:r w:rsidRPr="00605771">
        <w:t>TRES HUMAINS</w:t>
      </w:r>
    </w:p>
    <w:bookmarkStart w:id="19" w:name="rapportUSdep1"/>
    <w:p w:rsidR="00017F85" w:rsidRPr="00605771" w:rsidRDefault="005F260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94</w:t>
      </w:r>
      <w:r w:rsidRPr="00605771">
        <w:fldChar w:fldCharType="end"/>
      </w:r>
      <w:bookmarkEnd w:id="19"/>
      <w:r w:rsidRPr="00605771">
        <w:t>.  </w:t>
      </w:r>
      <w:r w:rsidR="00017F85" w:rsidRPr="00605771">
        <w:t xml:space="preserve">Dans son rapport de 2002 sur la traite des personnes </w:t>
      </w:r>
      <w:r w:rsidR="008B2690" w:rsidRPr="00605771">
        <w:t>à l</w:t>
      </w:r>
      <w:r w:rsidR="00605771" w:rsidRPr="00605771">
        <w:t>’</w:t>
      </w:r>
      <w:r w:rsidR="008B2690" w:rsidRPr="00605771">
        <w:t>égard de la Russie</w:t>
      </w:r>
      <w:r w:rsidR="00017F85" w:rsidRPr="00605771">
        <w:t xml:space="preserve">, le </w:t>
      </w:r>
      <w:r w:rsidR="006E7EC9" w:rsidRPr="00605771">
        <w:t>D</w:t>
      </w:r>
      <w:r w:rsidR="00017F85" w:rsidRPr="00605771">
        <w:t>épartement d</w:t>
      </w:r>
      <w:r w:rsidR="00605771" w:rsidRPr="00605771">
        <w:t>’</w:t>
      </w:r>
      <w:r w:rsidR="00B84D8B" w:rsidRPr="00605771">
        <w:t>État</w:t>
      </w:r>
      <w:r w:rsidR="00017F85" w:rsidRPr="00605771">
        <w:t xml:space="preserve"> américain a formul</w:t>
      </w:r>
      <w:r w:rsidR="002A6D1E" w:rsidRPr="00605771">
        <w:t>é les constatations suivantes :</w:t>
      </w:r>
    </w:p>
    <w:p w:rsidR="002C7F5B" w:rsidRPr="00605771" w:rsidRDefault="00460245" w:rsidP="00605771">
      <w:pPr>
        <w:pStyle w:val="JuQuot"/>
      </w:pPr>
      <w:r w:rsidRPr="00605771">
        <w:t>«</w:t>
      </w:r>
      <w:r w:rsidR="005D4E63" w:rsidRPr="00605771">
        <w:t> </w:t>
      </w:r>
      <w:r w:rsidRPr="00605771">
        <w:t>La R</w:t>
      </w:r>
      <w:r w:rsidR="00017F85" w:rsidRPr="00605771">
        <w:t>ussie est un pays d</w:t>
      </w:r>
      <w:r w:rsidR="00605771" w:rsidRPr="00605771">
        <w:t>’</w:t>
      </w:r>
      <w:r w:rsidR="00017F85" w:rsidRPr="00605771">
        <w:t>origine pour des femmes et de</w:t>
      </w:r>
      <w:r w:rsidRPr="00605771">
        <w:t>s</w:t>
      </w:r>
      <w:r w:rsidR="00017F85" w:rsidRPr="00605771">
        <w:t xml:space="preserve"> enfants</w:t>
      </w:r>
      <w:r w:rsidR="00F54E33" w:rsidRPr="00605771">
        <w:t xml:space="preserve"> victimes de trafic</w:t>
      </w:r>
      <w:r w:rsidR="00635717" w:rsidRPr="00605771">
        <w:t xml:space="preserve"> </w:t>
      </w:r>
      <w:r w:rsidR="00017F85" w:rsidRPr="00605771">
        <w:t>à des fins d</w:t>
      </w:r>
      <w:r w:rsidR="00605771" w:rsidRPr="00605771">
        <w:t>’</w:t>
      </w:r>
      <w:r w:rsidR="00017F85" w:rsidRPr="00605771">
        <w:t>exploitation sexuelle dans de nombreux pays d</w:t>
      </w:r>
      <w:r w:rsidR="00605771" w:rsidRPr="00605771">
        <w:t>’</w:t>
      </w:r>
      <w:r w:rsidR="00017F85" w:rsidRPr="00605771">
        <w:t>Europe, du Moyen</w:t>
      </w:r>
      <w:r w:rsidR="002F3D98" w:rsidRPr="00605771">
        <w:t>-</w:t>
      </w:r>
      <w:r w:rsidR="00017F85" w:rsidRPr="00605771">
        <w:t>Orient et d</w:t>
      </w:r>
      <w:r w:rsidR="00605771" w:rsidRPr="00605771">
        <w:t>’</w:t>
      </w:r>
      <w:r w:rsidR="00017F85" w:rsidRPr="00605771">
        <w:t xml:space="preserve">Amérique du Nord. Le </w:t>
      </w:r>
      <w:r w:rsidR="007D3C54" w:rsidRPr="00605771">
        <w:t>g</w:t>
      </w:r>
      <w:r w:rsidR="00017F85" w:rsidRPr="00605771">
        <w:t>ouvernement</w:t>
      </w:r>
      <w:r w:rsidR="00B84D8B" w:rsidRPr="00605771">
        <w:t xml:space="preserve"> r</w:t>
      </w:r>
      <w:r w:rsidR="00017F85" w:rsidRPr="00605771">
        <w:t xml:space="preserve">usse ne </w:t>
      </w:r>
      <w:r w:rsidR="00162618" w:rsidRPr="00605771">
        <w:t>respecte pas encore pleinement les normes minimales pour l</w:t>
      </w:r>
      <w:r w:rsidR="00605771" w:rsidRPr="00605771">
        <w:t>’</w:t>
      </w:r>
      <w:r w:rsidR="00162618" w:rsidRPr="00605771">
        <w:t xml:space="preserve">élimination de la traite et ne </w:t>
      </w:r>
      <w:r w:rsidR="00934F31" w:rsidRPr="00605771">
        <w:t>déploie</w:t>
      </w:r>
      <w:r w:rsidR="00162618" w:rsidRPr="00605771">
        <w:t xml:space="preserve"> pas des efforts significatifs </w:t>
      </w:r>
      <w:r w:rsidR="007D5554" w:rsidRPr="00605771">
        <w:t>[</w:t>
      </w:r>
      <w:r w:rsidR="007805D8" w:rsidRPr="00605771">
        <w:t>pour y parvenir</w:t>
      </w:r>
      <w:r w:rsidR="007D5554" w:rsidRPr="00605771">
        <w:t>]</w:t>
      </w:r>
      <w:r w:rsidR="00162618" w:rsidRPr="00605771">
        <w:t>. Il n</w:t>
      </w:r>
      <w:r w:rsidR="00605771" w:rsidRPr="00605771">
        <w:t>’</w:t>
      </w:r>
      <w:r w:rsidR="00162618" w:rsidRPr="00605771">
        <w:t xml:space="preserve">y a pas de loi contre la traite en particulier. Le recrutement </w:t>
      </w:r>
      <w:r w:rsidR="00823A47" w:rsidRPr="00605771">
        <w:t xml:space="preserve">à des </w:t>
      </w:r>
      <w:r w:rsidR="00162618" w:rsidRPr="00605771">
        <w:t>fins de prostitution e</w:t>
      </w:r>
      <w:r w:rsidR="00934F31" w:rsidRPr="00605771">
        <w:t>s</w:t>
      </w:r>
      <w:r w:rsidR="00162618" w:rsidRPr="00605771">
        <w:t>t illégal</w:t>
      </w:r>
      <w:r w:rsidR="007D5554" w:rsidRPr="00605771">
        <w:t>,</w:t>
      </w:r>
      <w:r w:rsidR="00162618" w:rsidRPr="00605771">
        <w:t xml:space="preserve"> mais </w:t>
      </w:r>
      <w:r w:rsidR="007D5554" w:rsidRPr="00605771">
        <w:t>n</w:t>
      </w:r>
      <w:r w:rsidR="00605771" w:rsidRPr="00605771">
        <w:t>’</w:t>
      </w:r>
      <w:r w:rsidR="007D5554" w:rsidRPr="00605771">
        <w:t xml:space="preserve">est </w:t>
      </w:r>
      <w:r w:rsidR="00162618" w:rsidRPr="00605771">
        <w:t xml:space="preserve">pas un crime. </w:t>
      </w:r>
      <w:r w:rsidR="00B84D8B" w:rsidRPr="00605771">
        <w:t xml:space="preserve">Le </w:t>
      </w:r>
      <w:r w:rsidR="007D3C54" w:rsidRPr="00605771">
        <w:t>g</w:t>
      </w:r>
      <w:r w:rsidR="00B84D8B" w:rsidRPr="00605771">
        <w:t>ouvernement russe reconna</w:t>
      </w:r>
      <w:r w:rsidR="007D3C54" w:rsidRPr="00605771">
        <w:t>î</w:t>
      </w:r>
      <w:r w:rsidR="00B84D8B" w:rsidRPr="00605771">
        <w:t>t qu</w:t>
      </w:r>
      <w:r w:rsidR="00605771" w:rsidRPr="00605771">
        <w:t>’</w:t>
      </w:r>
      <w:r w:rsidR="00B84D8B" w:rsidRPr="00605771">
        <w:t>il y a un problème de traite et la D</w:t>
      </w:r>
      <w:r w:rsidR="00934F31" w:rsidRPr="00605771">
        <w:t>o</w:t>
      </w:r>
      <w:r w:rsidR="00B84D8B" w:rsidRPr="00605771">
        <w:t xml:space="preserve">uma a demandé </w:t>
      </w:r>
      <w:r w:rsidR="00934F31" w:rsidRPr="00605771">
        <w:t>aux</w:t>
      </w:r>
      <w:r w:rsidR="00B84D8B" w:rsidRPr="00605771">
        <w:t xml:space="preserve"> États-Unis de coopérer </w:t>
      </w:r>
      <w:r w:rsidR="007D5554" w:rsidRPr="00605771">
        <w:t xml:space="preserve">en vue </w:t>
      </w:r>
      <w:r w:rsidR="00B84D8B" w:rsidRPr="00605771">
        <w:t xml:space="preserve">de </w:t>
      </w:r>
      <w:r w:rsidR="007D5554" w:rsidRPr="00605771">
        <w:t>la rédaction d</w:t>
      </w:r>
      <w:r w:rsidR="00605771" w:rsidRPr="00605771">
        <w:t>’</w:t>
      </w:r>
      <w:r w:rsidR="00B84D8B" w:rsidRPr="00605771">
        <w:t>une législation antitraite. (</w:t>
      </w:r>
      <w:r w:rsidR="002C7F5B" w:rsidRPr="00605771">
        <w:t>...</w:t>
      </w:r>
      <w:r w:rsidR="00B84D8B" w:rsidRPr="00605771">
        <w:t>) »</w:t>
      </w:r>
    </w:p>
    <w:p w:rsidR="00B84D8B" w:rsidRPr="00605771" w:rsidRDefault="00B84D8B"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95</w:t>
      </w:r>
      <w:r w:rsidRPr="00605771">
        <w:fldChar w:fldCharType="end"/>
      </w:r>
      <w:r w:rsidRPr="00605771">
        <w:t xml:space="preserve">.  Dans son rapport de 2003 sur la traite des personnes </w:t>
      </w:r>
      <w:r w:rsidR="008B2690" w:rsidRPr="00605771">
        <w:t>à l</w:t>
      </w:r>
      <w:r w:rsidR="00605771" w:rsidRPr="00605771">
        <w:t>’</w:t>
      </w:r>
      <w:r w:rsidR="008B2690" w:rsidRPr="00605771">
        <w:t>égard de la Russie</w:t>
      </w:r>
      <w:r w:rsidRPr="00605771">
        <w:t>, le</w:t>
      </w:r>
      <w:r w:rsidR="006E7EC9" w:rsidRPr="00605771">
        <w:t xml:space="preserve">dit </w:t>
      </w:r>
      <w:r w:rsidRPr="00605771">
        <w:t>département d</w:t>
      </w:r>
      <w:r w:rsidR="00605771" w:rsidRPr="00605771">
        <w:t>’</w:t>
      </w:r>
      <w:r w:rsidRPr="00605771">
        <w:t>État a formulé les constatations suivantes :</w:t>
      </w:r>
    </w:p>
    <w:p w:rsidR="00B84D8B" w:rsidRPr="00605771" w:rsidRDefault="00460245" w:rsidP="00605771">
      <w:pPr>
        <w:pStyle w:val="JuQuot"/>
      </w:pPr>
      <w:r w:rsidRPr="00605771">
        <w:t>« La R</w:t>
      </w:r>
      <w:r w:rsidR="003E605D" w:rsidRPr="00605771">
        <w:t xml:space="preserve">ussie est un pays </w:t>
      </w:r>
      <w:r w:rsidR="00D229A8" w:rsidRPr="00605771">
        <w:t>pourvoyeur</w:t>
      </w:r>
      <w:r w:rsidR="003E605D" w:rsidRPr="00605771">
        <w:t xml:space="preserve"> majeur </w:t>
      </w:r>
      <w:r w:rsidR="00711224" w:rsidRPr="00605771">
        <w:t>de</w:t>
      </w:r>
      <w:r w:rsidR="003E605D" w:rsidRPr="00605771">
        <w:t xml:space="preserve"> femmes </w:t>
      </w:r>
      <w:r w:rsidR="00711224" w:rsidRPr="00605771">
        <w:t>destinées au</w:t>
      </w:r>
      <w:r w:rsidR="00823A47" w:rsidRPr="00605771">
        <w:t xml:space="preserve"> </w:t>
      </w:r>
      <w:r w:rsidR="003E605D" w:rsidRPr="00605771">
        <w:t>trafi</w:t>
      </w:r>
      <w:r w:rsidR="00823A47" w:rsidRPr="00605771">
        <w:t>c</w:t>
      </w:r>
      <w:r w:rsidR="00711224" w:rsidRPr="00605771">
        <w:t xml:space="preserve"> à des fins d</w:t>
      </w:r>
      <w:r w:rsidR="00605771" w:rsidRPr="00605771">
        <w:t>’</w:t>
      </w:r>
      <w:r w:rsidR="00711224" w:rsidRPr="00605771">
        <w:t>exploitation sexuelle</w:t>
      </w:r>
      <w:r w:rsidR="00711224" w:rsidRPr="00605771" w:rsidDel="00823A47">
        <w:t xml:space="preserve"> </w:t>
      </w:r>
      <w:r w:rsidR="003E605D" w:rsidRPr="00605771">
        <w:t xml:space="preserve">dans de nombreux pays. </w:t>
      </w:r>
      <w:r w:rsidR="007B284C" w:rsidRPr="00605771">
        <w:t>(</w:t>
      </w:r>
      <w:r w:rsidR="002C7F5B" w:rsidRPr="00605771">
        <w:t>...</w:t>
      </w:r>
      <w:r w:rsidR="007B284C" w:rsidRPr="00605771">
        <w:t>) Des femmes des</w:t>
      </w:r>
      <w:r w:rsidR="00823A47" w:rsidRPr="00605771">
        <w:t xml:space="preserve"> anciens</w:t>
      </w:r>
      <w:r w:rsidR="007B284C" w:rsidRPr="00605771">
        <w:t xml:space="preserve"> pays</w:t>
      </w:r>
      <w:r w:rsidR="00823A47" w:rsidRPr="00605771">
        <w:t xml:space="preserve"> s</w:t>
      </w:r>
      <w:r w:rsidR="007B284C" w:rsidRPr="00605771">
        <w:t xml:space="preserve">oviétiques auraient transité par la Russie </w:t>
      </w:r>
      <w:r w:rsidR="00823A47" w:rsidRPr="00605771">
        <w:t>jusqu</w:t>
      </w:r>
      <w:r w:rsidR="00605771" w:rsidRPr="00605771">
        <w:t>’</w:t>
      </w:r>
      <w:r w:rsidR="007B284C" w:rsidRPr="00605771">
        <w:t>aux États du Golf</w:t>
      </w:r>
      <w:r w:rsidR="00823A47" w:rsidRPr="00605771">
        <w:t>e</w:t>
      </w:r>
      <w:r w:rsidR="007B284C" w:rsidRPr="00605771">
        <w:t xml:space="preserve">, </w:t>
      </w:r>
      <w:r w:rsidR="00823A47" w:rsidRPr="00605771">
        <w:t>jusqu</w:t>
      </w:r>
      <w:r w:rsidR="00605771" w:rsidRPr="00605771">
        <w:t>’</w:t>
      </w:r>
      <w:r w:rsidR="007B284C" w:rsidRPr="00605771">
        <w:t xml:space="preserve">en Europe et </w:t>
      </w:r>
      <w:r w:rsidR="00823A47" w:rsidRPr="00605771">
        <w:t>jusqu</w:t>
      </w:r>
      <w:r w:rsidR="00605771" w:rsidRPr="00605771">
        <w:t>’</w:t>
      </w:r>
      <w:r w:rsidR="00823A47" w:rsidRPr="00605771">
        <w:t xml:space="preserve">en </w:t>
      </w:r>
      <w:r w:rsidR="007B284C" w:rsidRPr="00605771">
        <w:t xml:space="preserve">Amérique du Nord </w:t>
      </w:r>
      <w:r w:rsidR="00823A47" w:rsidRPr="00605771">
        <w:t>à des</w:t>
      </w:r>
      <w:r w:rsidR="007B284C" w:rsidRPr="00605771">
        <w:t xml:space="preserve"> fins d</w:t>
      </w:r>
      <w:r w:rsidR="00605771" w:rsidRPr="00605771">
        <w:t>’</w:t>
      </w:r>
      <w:r w:rsidR="007B284C" w:rsidRPr="00605771">
        <w:t>exploitation sexuelle. (</w:t>
      </w:r>
      <w:r w:rsidR="002C7F5B" w:rsidRPr="00605771">
        <w:t>...</w:t>
      </w:r>
      <w:r w:rsidR="007B284C" w:rsidRPr="00605771">
        <w:t xml:space="preserve">) Le </w:t>
      </w:r>
      <w:r w:rsidR="007D3C54" w:rsidRPr="00605771">
        <w:t>g</w:t>
      </w:r>
      <w:r w:rsidR="007B284C" w:rsidRPr="00605771">
        <w:t>ouvernement russe ne respecte pas encore pleinement les normes minimales pour l</w:t>
      </w:r>
      <w:r w:rsidR="00605771" w:rsidRPr="00605771">
        <w:t>’</w:t>
      </w:r>
      <w:r w:rsidR="007B284C" w:rsidRPr="00605771">
        <w:t>élimination de la traite</w:t>
      </w:r>
      <w:r w:rsidR="00D229A8" w:rsidRPr="00605771">
        <w:t> </w:t>
      </w:r>
      <w:r w:rsidR="007B284C" w:rsidRPr="00605771">
        <w:t xml:space="preserve">; toutefois, il </w:t>
      </w:r>
      <w:r w:rsidR="00823A47" w:rsidRPr="00605771">
        <w:t>déploie</w:t>
      </w:r>
      <w:r w:rsidR="007B284C" w:rsidRPr="00605771">
        <w:t xml:space="preserve"> des efforts importants </w:t>
      </w:r>
      <w:r w:rsidR="00D229A8" w:rsidRPr="00605771">
        <w:t>[</w:t>
      </w:r>
      <w:r w:rsidR="007805D8" w:rsidRPr="00605771">
        <w:t>pour y parvenir</w:t>
      </w:r>
      <w:r w:rsidR="00D229A8" w:rsidRPr="00605771">
        <w:t>]</w:t>
      </w:r>
      <w:r w:rsidR="007B284C" w:rsidRPr="00605771">
        <w:t xml:space="preserve">. Les efforts </w:t>
      </w:r>
      <w:r w:rsidR="0087173E" w:rsidRPr="00605771">
        <w:t>déployés</w:t>
      </w:r>
      <w:r w:rsidR="007B284C" w:rsidRPr="00605771">
        <w:t xml:space="preserve"> p</w:t>
      </w:r>
      <w:r w:rsidR="0087173E" w:rsidRPr="00605771">
        <w:t>endant la période de référence devront être renforcés à la lumière de l</w:t>
      </w:r>
      <w:r w:rsidR="00605771" w:rsidRPr="00605771">
        <w:t>’</w:t>
      </w:r>
      <w:r w:rsidR="0087173E" w:rsidRPr="00605771">
        <w:t xml:space="preserve">étendue du phénomène de traite. </w:t>
      </w:r>
      <w:r w:rsidR="00D229A8" w:rsidRPr="00605771">
        <w:t>Cela étant</w:t>
      </w:r>
      <w:r w:rsidR="0087173E" w:rsidRPr="00605771">
        <w:t xml:space="preserve">, les agents du </w:t>
      </w:r>
      <w:r w:rsidR="00823A47" w:rsidRPr="00605771">
        <w:t>g</w:t>
      </w:r>
      <w:r w:rsidR="0087173E" w:rsidRPr="00605771">
        <w:t xml:space="preserve">ouvernement central ont démontré </w:t>
      </w:r>
      <w:r w:rsidR="00D229A8" w:rsidRPr="00605771">
        <w:t>[qu</w:t>
      </w:r>
      <w:r w:rsidR="00605771" w:rsidRPr="00605771">
        <w:t>’</w:t>
      </w:r>
      <w:r w:rsidR="00D229A8" w:rsidRPr="00605771">
        <w:t xml:space="preserve">il y avait] </w:t>
      </w:r>
      <w:r w:rsidR="0087173E" w:rsidRPr="00605771">
        <w:t>une forte augmentation de la volonté politique de reconna</w:t>
      </w:r>
      <w:r w:rsidR="00823A47" w:rsidRPr="00605771">
        <w:t>î</w:t>
      </w:r>
      <w:r w:rsidR="0087173E" w:rsidRPr="00605771">
        <w:t>tre et d</w:t>
      </w:r>
      <w:r w:rsidR="00605771" w:rsidRPr="00605771">
        <w:t>’</w:t>
      </w:r>
      <w:r w:rsidR="00D229A8" w:rsidRPr="00605771">
        <w:t>aborder</w:t>
      </w:r>
      <w:r w:rsidR="0087173E" w:rsidRPr="00605771">
        <w:t xml:space="preserve"> le problème de traite</w:t>
      </w:r>
      <w:r w:rsidR="00823A47" w:rsidRPr="00605771">
        <w:t>,</w:t>
      </w:r>
      <w:r w:rsidR="0087173E" w:rsidRPr="00605771">
        <w:t xml:space="preserve"> et </w:t>
      </w:r>
      <w:r w:rsidR="00016030" w:rsidRPr="00605771">
        <w:t>l</w:t>
      </w:r>
      <w:r w:rsidR="0087173E" w:rsidRPr="00605771">
        <w:t xml:space="preserve">es efforts récents </w:t>
      </w:r>
      <w:r w:rsidR="00016030" w:rsidRPr="00605771">
        <w:t xml:space="preserve">[entrepris] </w:t>
      </w:r>
      <w:r w:rsidR="00823A47" w:rsidRPr="00605771">
        <w:t>pour engager</w:t>
      </w:r>
      <w:r w:rsidR="0087173E" w:rsidRPr="00605771">
        <w:t xml:space="preserve"> de nouvelles réformes ont été positifs. (</w:t>
      </w:r>
      <w:r w:rsidR="002C7F5B" w:rsidRPr="00605771">
        <w:t>...</w:t>
      </w:r>
      <w:r w:rsidR="0087173E" w:rsidRPr="00605771">
        <w:t>) »</w:t>
      </w:r>
    </w:p>
    <w:bookmarkStart w:id="20" w:name="rapportUSdep3"/>
    <w:p w:rsidR="001100A2" w:rsidRPr="00605771" w:rsidRDefault="001100A2"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96</w:t>
      </w:r>
      <w:r w:rsidRPr="00605771">
        <w:fldChar w:fldCharType="end"/>
      </w:r>
      <w:bookmarkEnd w:id="20"/>
      <w:r w:rsidRPr="00605771">
        <w:t xml:space="preserve">.  Dans son rapport de 2003 sur la traite des personnes </w:t>
      </w:r>
      <w:r w:rsidR="008B2690" w:rsidRPr="00605771">
        <w:t>à l</w:t>
      </w:r>
      <w:r w:rsidR="00605771" w:rsidRPr="00605771">
        <w:t>’</w:t>
      </w:r>
      <w:r w:rsidR="008B2690" w:rsidRPr="00605771">
        <w:t>égard de la Grèce</w:t>
      </w:r>
      <w:r w:rsidRPr="00605771">
        <w:t xml:space="preserve">, le </w:t>
      </w:r>
      <w:r w:rsidR="006E7EC9" w:rsidRPr="00605771">
        <w:t xml:space="preserve">même </w:t>
      </w:r>
      <w:r w:rsidRPr="00605771">
        <w:t>département d</w:t>
      </w:r>
      <w:r w:rsidR="00605771" w:rsidRPr="00605771">
        <w:t>’</w:t>
      </w:r>
      <w:r w:rsidRPr="00605771">
        <w:t>État a formulé les constatations suivantes :</w:t>
      </w:r>
    </w:p>
    <w:p w:rsidR="00017F85" w:rsidRPr="00605771" w:rsidRDefault="001100A2" w:rsidP="00605771">
      <w:pPr>
        <w:pStyle w:val="JuQuot"/>
      </w:pPr>
      <w:r w:rsidRPr="00605771">
        <w:t>« </w:t>
      </w:r>
      <w:r w:rsidR="00460245" w:rsidRPr="00605771">
        <w:t>La Grèce est un pays de</w:t>
      </w:r>
      <w:r w:rsidR="00635717" w:rsidRPr="00605771">
        <w:t xml:space="preserve"> destination et de transit pour des femmes et des enfants </w:t>
      </w:r>
      <w:r w:rsidR="00823A47" w:rsidRPr="00605771">
        <w:t xml:space="preserve">victimes de </w:t>
      </w:r>
      <w:r w:rsidR="00635717" w:rsidRPr="00605771">
        <w:t>trafi</w:t>
      </w:r>
      <w:r w:rsidR="00823A47" w:rsidRPr="00605771">
        <w:t xml:space="preserve">c à des </w:t>
      </w:r>
      <w:r w:rsidR="00635717" w:rsidRPr="00605771">
        <w:t>fins d</w:t>
      </w:r>
      <w:r w:rsidR="00605771" w:rsidRPr="00605771">
        <w:t>’</w:t>
      </w:r>
      <w:r w:rsidR="00635717" w:rsidRPr="00605771">
        <w:t xml:space="preserve">exploitation sexuelle. </w:t>
      </w:r>
      <w:r w:rsidR="004862C3" w:rsidRPr="00605771">
        <w:t>Selon une source gouvernemental</w:t>
      </w:r>
      <w:r w:rsidR="00823A47" w:rsidRPr="00605771">
        <w:t>e</w:t>
      </w:r>
      <w:r w:rsidR="004862C3" w:rsidRPr="00605771">
        <w:t>, jusqu</w:t>
      </w:r>
      <w:r w:rsidR="00605771" w:rsidRPr="00605771">
        <w:t>’</w:t>
      </w:r>
      <w:r w:rsidR="004862C3" w:rsidRPr="00605771">
        <w:t xml:space="preserve">à 18 000 personnes ont </w:t>
      </w:r>
      <w:r w:rsidR="00823A47" w:rsidRPr="00605771">
        <w:t>fait l</w:t>
      </w:r>
      <w:r w:rsidR="00605771" w:rsidRPr="00605771">
        <w:t>’</w:t>
      </w:r>
      <w:r w:rsidR="00823A47" w:rsidRPr="00605771">
        <w:t>objet de trafic</w:t>
      </w:r>
      <w:r w:rsidR="004862C3" w:rsidRPr="00605771">
        <w:t xml:space="preserve"> en Grèce en 2002. Les principaux pays d</w:t>
      </w:r>
      <w:r w:rsidR="00605771" w:rsidRPr="00605771">
        <w:t>’</w:t>
      </w:r>
      <w:r w:rsidR="004862C3" w:rsidRPr="00605771">
        <w:t>origine comprennent l</w:t>
      </w:r>
      <w:r w:rsidR="00605771" w:rsidRPr="00605771">
        <w:t>’</w:t>
      </w:r>
      <w:r w:rsidR="004862C3" w:rsidRPr="00605771">
        <w:t>Albanie, la Bulgarie, la Moldavie, la Roumanie, la Russie et l</w:t>
      </w:r>
      <w:r w:rsidR="00605771" w:rsidRPr="00605771">
        <w:t>’</w:t>
      </w:r>
      <w:r w:rsidR="004862C3" w:rsidRPr="00605771">
        <w:t>Ukraine. (</w:t>
      </w:r>
      <w:r w:rsidR="002C7F5B" w:rsidRPr="00605771">
        <w:t>...</w:t>
      </w:r>
      <w:r w:rsidR="004862C3" w:rsidRPr="00605771">
        <w:t xml:space="preserve">) Le </w:t>
      </w:r>
      <w:r w:rsidR="007D3C54" w:rsidRPr="00605771">
        <w:t>g</w:t>
      </w:r>
      <w:r w:rsidR="004862C3" w:rsidRPr="00605771">
        <w:t>ouvernement grec ne se conforme pas pleinement aux normes minimales pour l</w:t>
      </w:r>
      <w:r w:rsidR="00605771" w:rsidRPr="00605771">
        <w:t>’</w:t>
      </w:r>
      <w:r w:rsidR="004862C3" w:rsidRPr="00605771">
        <w:t xml:space="preserve">élimination de </w:t>
      </w:r>
      <w:r w:rsidR="00823A47" w:rsidRPr="00605771">
        <w:t xml:space="preserve">la </w:t>
      </w:r>
      <w:r w:rsidR="004862C3" w:rsidRPr="00605771">
        <w:t>traite et ne fait pas d</w:t>
      </w:r>
      <w:r w:rsidR="00605771" w:rsidRPr="00605771">
        <w:t>’</w:t>
      </w:r>
      <w:r w:rsidR="004862C3" w:rsidRPr="00605771">
        <w:t xml:space="preserve">efforts </w:t>
      </w:r>
      <w:r w:rsidR="00823A47" w:rsidRPr="00605771">
        <w:t>[</w:t>
      </w:r>
      <w:r w:rsidR="00C6180B" w:rsidRPr="00605771">
        <w:t>pour y parvenir</w:t>
      </w:r>
      <w:r w:rsidR="00823A47" w:rsidRPr="00605771">
        <w:t>]</w:t>
      </w:r>
      <w:r w:rsidR="004862C3" w:rsidRPr="00605771">
        <w:t xml:space="preserve">. Le </w:t>
      </w:r>
      <w:r w:rsidR="00823A47" w:rsidRPr="00605771">
        <w:t>g</w:t>
      </w:r>
      <w:r w:rsidR="004862C3" w:rsidRPr="00605771">
        <w:t>ouvernement a démontré un changement de volonté politique d</w:t>
      </w:r>
      <w:r w:rsidR="00605771" w:rsidRPr="00605771">
        <w:t>’</w:t>
      </w:r>
      <w:r w:rsidR="005436A0" w:rsidRPr="00605771">
        <w:t>aborder</w:t>
      </w:r>
      <w:r w:rsidR="004862C3" w:rsidRPr="00605771">
        <w:t xml:space="preserve"> </w:t>
      </w:r>
      <w:r w:rsidR="00C6180B" w:rsidRPr="00605771">
        <w:t>[le sujet]</w:t>
      </w:r>
      <w:r w:rsidR="004862C3" w:rsidRPr="00605771">
        <w:t xml:space="preserve"> par sa législation détaillée récente sur la traite. Toutefois, le </w:t>
      </w:r>
      <w:r w:rsidR="00823A47" w:rsidRPr="00605771">
        <w:t>g</w:t>
      </w:r>
      <w:r w:rsidR="004862C3" w:rsidRPr="00605771">
        <w:t>ouvernement n</w:t>
      </w:r>
      <w:r w:rsidR="00605771" w:rsidRPr="00605771">
        <w:t>’</w:t>
      </w:r>
      <w:r w:rsidR="00FC57B3" w:rsidRPr="00605771">
        <w:t>a</w:t>
      </w:r>
      <w:r w:rsidR="004862C3" w:rsidRPr="00605771">
        <w:t xml:space="preserve"> pas encore </w:t>
      </w:r>
      <w:r w:rsidR="00821364" w:rsidRPr="00605771">
        <w:t>[</w:t>
      </w:r>
      <w:r w:rsidR="00FC57B3" w:rsidRPr="00605771">
        <w:t xml:space="preserve">réussi </w:t>
      </w:r>
      <w:r w:rsidR="00C6180B" w:rsidRPr="00605771">
        <w:t xml:space="preserve">à </w:t>
      </w:r>
      <w:r w:rsidR="00821364" w:rsidRPr="00605771">
        <w:t>appli</w:t>
      </w:r>
      <w:r w:rsidR="00FC57B3" w:rsidRPr="00605771">
        <w:t>quer</w:t>
      </w:r>
      <w:r w:rsidR="00BC4FFD" w:rsidRPr="00605771">
        <w:t xml:space="preserve"> </w:t>
      </w:r>
      <w:r w:rsidR="00821364" w:rsidRPr="00605771">
        <w:t>efficace</w:t>
      </w:r>
      <w:r w:rsidR="00FC57B3" w:rsidRPr="00605771">
        <w:t>ment</w:t>
      </w:r>
      <w:r w:rsidR="00821364" w:rsidRPr="00605771">
        <w:t xml:space="preserve">] </w:t>
      </w:r>
      <w:r w:rsidR="004862C3" w:rsidRPr="00605771">
        <w:t>la loi. (</w:t>
      </w:r>
      <w:r w:rsidR="002C7F5B" w:rsidRPr="00605771">
        <w:t>...</w:t>
      </w:r>
      <w:r w:rsidR="004862C3" w:rsidRPr="00605771">
        <w:t>) »</w:t>
      </w:r>
    </w:p>
    <w:p w:rsidR="006A1B77" w:rsidRPr="00605771" w:rsidRDefault="006A1B77" w:rsidP="00605771">
      <w:pPr>
        <w:pStyle w:val="JuHHead"/>
      </w:pPr>
      <w:r w:rsidRPr="00605771">
        <w:lastRenderedPageBreak/>
        <w:t>EN DROIT</w:t>
      </w:r>
    </w:p>
    <w:p w:rsidR="00E77CB3" w:rsidRPr="00605771" w:rsidRDefault="00E77CB3" w:rsidP="00605771">
      <w:pPr>
        <w:pStyle w:val="JuHIRoman"/>
      </w:pPr>
      <w:r w:rsidRPr="00605771">
        <w:t>SUR LA VIOLATION ALLÉGUÉE DE</w:t>
      </w:r>
      <w:r w:rsidR="007051EC" w:rsidRPr="00605771">
        <w:t xml:space="preserve">S </w:t>
      </w:r>
      <w:r w:rsidRPr="00605771">
        <w:t>ARTICLE</w:t>
      </w:r>
      <w:r w:rsidR="007051EC" w:rsidRPr="00605771">
        <w:t>S</w:t>
      </w:r>
      <w:r w:rsidRPr="00605771">
        <w:t xml:space="preserve"> </w:t>
      </w:r>
      <w:r w:rsidR="006A1B77" w:rsidRPr="00605771">
        <w:t>4</w:t>
      </w:r>
      <w:r w:rsidR="007051EC" w:rsidRPr="00605771">
        <w:t>, 6 ET 13</w:t>
      </w:r>
      <w:r w:rsidRPr="00605771">
        <w:t xml:space="preserve"> DE LA CONVENTION</w:t>
      </w:r>
    </w:p>
    <w:p w:rsidR="007051EC" w:rsidRPr="00605771" w:rsidRDefault="00F61333" w:rsidP="00605771">
      <w:pPr>
        <w:pStyle w:val="JuPara"/>
        <w:rPr>
          <w:i/>
        </w:rPr>
      </w:pPr>
      <w:r w:rsidRPr="00605771">
        <w:fldChar w:fldCharType="begin"/>
      </w:r>
      <w:r w:rsidRPr="00605771">
        <w:instrText xml:space="preserve"> SEQ level0 \*arabic </w:instrText>
      </w:r>
      <w:r w:rsidRPr="00605771">
        <w:fldChar w:fldCharType="separate"/>
      </w:r>
      <w:r w:rsidR="00605771" w:rsidRPr="00605771">
        <w:rPr>
          <w:noProof/>
        </w:rPr>
        <w:t>97</w:t>
      </w:r>
      <w:r w:rsidRPr="00605771">
        <w:fldChar w:fldCharType="end"/>
      </w:r>
      <w:r w:rsidR="007051EC" w:rsidRPr="00605771">
        <w:t>.</w:t>
      </w:r>
      <w:r w:rsidR="00777B18" w:rsidRPr="00605771">
        <w:t> </w:t>
      </w:r>
      <w:r w:rsidR="007051EC" w:rsidRPr="00605771">
        <w:t> Invoquant les articles 4, 6 et 13 de la Convention, les requérantes dénoncent</w:t>
      </w:r>
      <w:r w:rsidR="003F4FE9" w:rsidRPr="00605771">
        <w:t xml:space="preserve"> un</w:t>
      </w:r>
      <w:r w:rsidR="007051EC" w:rsidRPr="00605771">
        <w:t xml:space="preserve"> manquement de l</w:t>
      </w:r>
      <w:r w:rsidR="00605771" w:rsidRPr="00605771">
        <w:t>’</w:t>
      </w:r>
      <w:r w:rsidR="007051EC" w:rsidRPr="00605771">
        <w:t xml:space="preserve">État grec à ses obligations de pénaliser et </w:t>
      </w:r>
      <w:r w:rsidR="003F4FE9" w:rsidRPr="00605771">
        <w:t xml:space="preserve">de </w:t>
      </w:r>
      <w:r w:rsidR="007051EC" w:rsidRPr="00605771">
        <w:t xml:space="preserve">poursuivre les actes relatifs à la traite des êtres humains. Elles se plaignent en outre </w:t>
      </w:r>
      <w:r w:rsidR="004D691F" w:rsidRPr="00605771">
        <w:t>d</w:t>
      </w:r>
      <w:r w:rsidR="00605771" w:rsidRPr="00605771">
        <w:t>’</w:t>
      </w:r>
      <w:r w:rsidR="004D691F" w:rsidRPr="00605771">
        <w:t xml:space="preserve">une inadéquation et de carences </w:t>
      </w:r>
      <w:r w:rsidR="007051EC" w:rsidRPr="00605771">
        <w:t>de l</w:t>
      </w:r>
      <w:r w:rsidR="00605771" w:rsidRPr="00605771">
        <w:t>’</w:t>
      </w:r>
      <w:r w:rsidR="007051EC" w:rsidRPr="00605771">
        <w:t>enquête et de la procédure judiciaire portant sur les faits en cause. La Cour rappelle qu</w:t>
      </w:r>
      <w:r w:rsidR="00605771" w:rsidRPr="00605771">
        <w:t>’</w:t>
      </w:r>
      <w:r w:rsidR="007051EC" w:rsidRPr="00605771">
        <w:t>elle est maîtresse de la qualification juridique des faits en cause</w:t>
      </w:r>
      <w:r w:rsidR="00C2740C" w:rsidRPr="00605771">
        <w:t xml:space="preserve"> (voir </w:t>
      </w:r>
      <w:r w:rsidR="00FE72D0" w:rsidRPr="00605771">
        <w:rPr>
          <w:i/>
          <w:iCs/>
        </w:rPr>
        <w:t>Radomilja et </w:t>
      </w:r>
      <w:r w:rsidR="00BC66C4" w:rsidRPr="00605771">
        <w:rPr>
          <w:i/>
          <w:iCs/>
        </w:rPr>
        <w:t>autres c. Croatie</w:t>
      </w:r>
      <w:r w:rsidR="00BC66C4" w:rsidRPr="00605771">
        <w:t xml:space="preserve"> [GC]</w:t>
      </w:r>
      <w:r w:rsidR="00BC66C4" w:rsidRPr="00605771">
        <w:rPr>
          <w:lang w:eastAsia="en-GB"/>
        </w:rPr>
        <w:t xml:space="preserve">, </w:t>
      </w:r>
      <w:r w:rsidR="00BC66C4" w:rsidRPr="00605771">
        <w:t>n</w:t>
      </w:r>
      <w:r w:rsidR="00BC66C4" w:rsidRPr="00605771">
        <w:rPr>
          <w:vertAlign w:val="superscript"/>
        </w:rPr>
        <w:t>os</w:t>
      </w:r>
      <w:r w:rsidR="00BC66C4" w:rsidRPr="00605771">
        <w:t xml:space="preserve"> 37685/10 et 22768/12</w:t>
      </w:r>
      <w:r w:rsidR="00BC66C4" w:rsidRPr="00605771">
        <w:rPr>
          <w:lang w:eastAsia="en-GB"/>
        </w:rPr>
        <w:t xml:space="preserve">, </w:t>
      </w:r>
      <w:r w:rsidR="00BC66C4" w:rsidRPr="00605771">
        <w:t>§ 126, 20 mars 2018)</w:t>
      </w:r>
      <w:r w:rsidR="007051EC" w:rsidRPr="00605771">
        <w:t>. Elle estime qu</w:t>
      </w:r>
      <w:r w:rsidR="00605771" w:rsidRPr="00605771">
        <w:t>’</w:t>
      </w:r>
      <w:r w:rsidR="007051EC" w:rsidRPr="00605771">
        <w:t>il y a lieu d</w:t>
      </w:r>
      <w:r w:rsidR="00605771" w:rsidRPr="00605771">
        <w:t>’</w:t>
      </w:r>
      <w:r w:rsidR="007051EC" w:rsidRPr="00605771">
        <w:t>examiner les allégations des requérantes sous l</w:t>
      </w:r>
      <w:r w:rsidR="00605771" w:rsidRPr="00605771">
        <w:t>’</w:t>
      </w:r>
      <w:r w:rsidR="007051EC" w:rsidRPr="00605771">
        <w:t xml:space="preserve">angle du seul article 4 de la Convention, qui </w:t>
      </w:r>
      <w:r w:rsidR="003E2C02" w:rsidRPr="00605771">
        <w:t xml:space="preserve">est ainsi libellé </w:t>
      </w:r>
      <w:r w:rsidR="007051EC" w:rsidRPr="00605771">
        <w:t xml:space="preserve">en ses parties pertinentes </w:t>
      </w:r>
      <w:r w:rsidR="003E2C02" w:rsidRPr="00605771">
        <w:t>en l</w:t>
      </w:r>
      <w:r w:rsidR="00605771" w:rsidRPr="00605771">
        <w:t>’</w:t>
      </w:r>
      <w:r w:rsidR="003E2C02" w:rsidRPr="00605771">
        <w:t>espèce</w:t>
      </w:r>
      <w:r w:rsidR="007051EC" w:rsidRPr="00605771">
        <w:t> :</w:t>
      </w:r>
    </w:p>
    <w:p w:rsidR="00CE21E9" w:rsidRPr="00605771" w:rsidRDefault="00CE21E9" w:rsidP="00605771">
      <w:pPr>
        <w:pStyle w:val="JuQuot"/>
      </w:pPr>
      <w:r w:rsidRPr="00605771">
        <w:t>« 1.  Nul ne peut être tenu en esclavage ni en servitude.</w:t>
      </w:r>
    </w:p>
    <w:p w:rsidR="00CE21E9" w:rsidRPr="00605771" w:rsidRDefault="00CE21E9" w:rsidP="00605771">
      <w:pPr>
        <w:pStyle w:val="JuQuot"/>
      </w:pPr>
      <w:r w:rsidRPr="00605771">
        <w:t>2.  Nul ne peut être astreint à accomplir un travail forcé ou obligatoire.</w:t>
      </w:r>
    </w:p>
    <w:p w:rsidR="00CE21E9" w:rsidRPr="00605771" w:rsidRDefault="000D1BC2" w:rsidP="00605771">
      <w:pPr>
        <w:pStyle w:val="JuQuot"/>
      </w:pPr>
      <w:r w:rsidRPr="00605771">
        <w:t>(</w:t>
      </w:r>
      <w:r w:rsidR="002C7F5B" w:rsidRPr="00605771">
        <w:t>...</w:t>
      </w:r>
      <w:r w:rsidRPr="00605771">
        <w:t>)</w:t>
      </w:r>
      <w:r w:rsidR="001A0FB1" w:rsidRPr="00605771">
        <w:t> »</w:t>
      </w:r>
    </w:p>
    <w:p w:rsidR="007349AD" w:rsidRPr="00605771" w:rsidRDefault="00E77CB3" w:rsidP="00605771">
      <w:pPr>
        <w:pStyle w:val="JuHA"/>
      </w:pPr>
      <w:r w:rsidRPr="00605771">
        <w:t>Sur la recevabilité</w:t>
      </w:r>
    </w:p>
    <w:p w:rsidR="007349AD" w:rsidRPr="00605771" w:rsidRDefault="007349AD" w:rsidP="00605771">
      <w:pPr>
        <w:pStyle w:val="JuH1"/>
      </w:pPr>
      <w:r w:rsidRPr="00605771">
        <w:t xml:space="preserve">Sur </w:t>
      </w:r>
      <w:r w:rsidR="005C703F" w:rsidRPr="00605771">
        <w:t>le respect du</w:t>
      </w:r>
      <w:r w:rsidRPr="00605771">
        <w:t xml:space="preserve"> délai de six mois</w:t>
      </w:r>
    </w:p>
    <w:p w:rsidR="007349AD" w:rsidRPr="00605771" w:rsidRDefault="007349AD"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98</w:t>
      </w:r>
      <w:r w:rsidRPr="00605771">
        <w:fldChar w:fldCharType="end"/>
      </w:r>
      <w:r w:rsidRPr="00605771">
        <w:t>.  Le Gouvernement argue que la requête a été introduite plus de six mois après la clôture de l</w:t>
      </w:r>
      <w:r w:rsidR="00605771" w:rsidRPr="00605771">
        <w:t>’</w:t>
      </w:r>
      <w:r w:rsidRPr="00605771">
        <w:t>enquête administrative, le 21 juin 2006. Il estime par conséquent que cette enquête ne peut pas faire l</w:t>
      </w:r>
      <w:r w:rsidR="00605771" w:rsidRPr="00605771">
        <w:t>’</w:t>
      </w:r>
      <w:r w:rsidRPr="00605771">
        <w:t>objet d</w:t>
      </w:r>
      <w:r w:rsidR="00605771" w:rsidRPr="00605771">
        <w:t>’</w:t>
      </w:r>
      <w:r w:rsidRPr="00605771">
        <w:t>un contrôle par la Cour. Il ajoute, s</w:t>
      </w:r>
      <w:r w:rsidR="00605771" w:rsidRPr="00605771">
        <w:t>’</w:t>
      </w:r>
      <w:r w:rsidRPr="00605771">
        <w:t>agissant de la troisième requérante, qu</w:t>
      </w:r>
      <w:r w:rsidR="00605771" w:rsidRPr="00605771">
        <w:t>’</w:t>
      </w:r>
      <w:r w:rsidRPr="00605771">
        <w:t>elle a uniquement participé à la procédure devant la cour d</w:t>
      </w:r>
      <w:r w:rsidR="00605771" w:rsidRPr="00605771">
        <w:t>’</w:t>
      </w:r>
      <w:r w:rsidRPr="00605771">
        <w:t>assises et que celle-ci a pris fin en 2005, soit plus de six mois avant l</w:t>
      </w:r>
      <w:r w:rsidR="00605771" w:rsidRPr="00605771">
        <w:t>’</w:t>
      </w:r>
      <w:r w:rsidRPr="00605771">
        <w:t>introduction, le 28 juin 2010, de la requête.</w:t>
      </w:r>
    </w:p>
    <w:p w:rsidR="007349AD" w:rsidRPr="00605771" w:rsidRDefault="007349AD"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99</w:t>
      </w:r>
      <w:r w:rsidRPr="00605771">
        <w:fldChar w:fldCharType="end"/>
      </w:r>
      <w:r w:rsidRPr="00605771">
        <w:t>.  Les requérantes rétorquent qu</w:t>
      </w:r>
      <w:r w:rsidR="00605771" w:rsidRPr="00605771">
        <w:t>’</w:t>
      </w:r>
      <w:r w:rsidRPr="00605771">
        <w:t>elles n</w:t>
      </w:r>
      <w:r w:rsidR="00605771" w:rsidRPr="00605771">
        <w:t>’</w:t>
      </w:r>
      <w:r w:rsidRPr="00605771">
        <w:t>ont eu accès au dossier de l</w:t>
      </w:r>
      <w:r w:rsidR="00605771" w:rsidRPr="00605771">
        <w:t>’</w:t>
      </w:r>
      <w:r w:rsidRPr="00605771">
        <w:t>affaire qu</w:t>
      </w:r>
      <w:r w:rsidR="00605771" w:rsidRPr="00605771">
        <w:t>’</w:t>
      </w:r>
      <w:r w:rsidRPr="00605771">
        <w:t>en 2010 et qu</w:t>
      </w:r>
      <w:r w:rsidR="00605771" w:rsidRPr="00605771">
        <w:t>’</w:t>
      </w:r>
      <w:r w:rsidRPr="00605771">
        <w:t>elles ont donc respecté le délai de six mois. Elles ajoutent qu</w:t>
      </w:r>
      <w:r w:rsidR="00605771" w:rsidRPr="00605771">
        <w:t>’</w:t>
      </w:r>
      <w:r w:rsidRPr="00605771">
        <w:t>en tout état de cause l</w:t>
      </w:r>
      <w:r w:rsidR="00605771" w:rsidRPr="00605771">
        <w:t>’</w:t>
      </w:r>
      <w:r w:rsidRPr="00605771">
        <w:t>enquête administrative ne peut pas être prise en compte au titre des recours effectifs à exercer  et que la Cour examine toujours l</w:t>
      </w:r>
      <w:r w:rsidR="00605771" w:rsidRPr="00605771">
        <w:t>’</w:t>
      </w:r>
      <w:r w:rsidRPr="00605771">
        <w:t>effectivité tant de l</w:t>
      </w:r>
      <w:r w:rsidR="00605771" w:rsidRPr="00605771">
        <w:t>’</w:t>
      </w:r>
      <w:r w:rsidRPr="00605771">
        <w:t>enquête administrative que de la procédure pénale.</w:t>
      </w:r>
    </w:p>
    <w:p w:rsidR="002C7F5B" w:rsidRPr="00605771" w:rsidRDefault="007349AD"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100</w:t>
      </w:r>
      <w:r w:rsidRPr="00605771">
        <w:fldChar w:fldCharType="end"/>
      </w:r>
      <w:r w:rsidRPr="00605771">
        <w:t>.  En ce qui concerne la première partie de l</w:t>
      </w:r>
      <w:r w:rsidR="00605771" w:rsidRPr="00605771">
        <w:t>’</w:t>
      </w:r>
      <w:r w:rsidRPr="00605771">
        <w:t xml:space="preserve">exception du Gouvernement, la Cour </w:t>
      </w:r>
      <w:r w:rsidR="009416ED" w:rsidRPr="00605771">
        <w:t>relève qu</w:t>
      </w:r>
      <w:r w:rsidR="00605771" w:rsidRPr="00605771">
        <w:t>’</w:t>
      </w:r>
      <w:r w:rsidR="009416ED" w:rsidRPr="00605771">
        <w:t>une procédure pénale et une enquête administrative ont été ouvertes afin de rechercher, entre autres, la responsabilité des employés du consulat. Elle note que les deux procédures auraient pu avoir des conséquences sur la situation pénale ou personnelle de ces employés en raison des actes incriminés. Dès lors, elle estime nécessaire de prendre en considération l</w:t>
      </w:r>
      <w:r w:rsidR="00605771" w:rsidRPr="00605771">
        <w:t>’</w:t>
      </w:r>
      <w:r w:rsidR="009416ED" w:rsidRPr="00605771">
        <w:t>ensemble des procédures litigieuses afin de pouvoir se prononcer sur la question de savoir si, en l</w:t>
      </w:r>
      <w:r w:rsidR="00605771" w:rsidRPr="00605771">
        <w:t>’</w:t>
      </w:r>
      <w:r w:rsidR="009416ED" w:rsidRPr="00605771">
        <w:t xml:space="preserve">espèce, les autorités </w:t>
      </w:r>
      <w:r w:rsidR="009416ED" w:rsidRPr="00605771">
        <w:lastRenderedPageBreak/>
        <w:t>ont manqué à leurs obligations découlant de l</w:t>
      </w:r>
      <w:r w:rsidR="00605771" w:rsidRPr="00605771">
        <w:t>’</w:t>
      </w:r>
      <w:r w:rsidR="009416ED" w:rsidRPr="00605771">
        <w:t>article 4 de la Convention. Tenant compte du fait que la dernière procédure, à savoir la procédure pénale, a pris fin le 23 février 2016, soit après la date d</w:t>
      </w:r>
      <w:r w:rsidR="00605771" w:rsidRPr="00605771">
        <w:t>’</w:t>
      </w:r>
      <w:r w:rsidR="009416ED" w:rsidRPr="00605771">
        <w:t>introduction de la requête, le 28 juin 2010, la Cour rejette l</w:t>
      </w:r>
      <w:r w:rsidR="00605771" w:rsidRPr="00605771">
        <w:t>’</w:t>
      </w:r>
      <w:r w:rsidR="009416ED" w:rsidRPr="00605771">
        <w:t>exception soulevée par le Gouvernement à ce titre.</w:t>
      </w:r>
    </w:p>
    <w:p w:rsidR="007349AD" w:rsidRPr="00605771" w:rsidRDefault="007349AD"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101</w:t>
      </w:r>
      <w:r w:rsidRPr="00605771">
        <w:fldChar w:fldCharType="end"/>
      </w:r>
      <w:r w:rsidRPr="00605771">
        <w:t>.  Quant à la deuxième partie de l</w:t>
      </w:r>
      <w:r w:rsidR="00605771" w:rsidRPr="00605771">
        <w:t>’</w:t>
      </w:r>
      <w:r w:rsidRPr="00605771">
        <w:t>exception du Gouvernement, la Cour observe que la procédure litigieuse, à laquelle la troisième requérante a participé en tant que partie civile, ne s</w:t>
      </w:r>
      <w:r w:rsidR="00605771" w:rsidRPr="00605771">
        <w:t>’</w:t>
      </w:r>
      <w:r w:rsidRPr="00605771">
        <w:t>est terminée que par l</w:t>
      </w:r>
      <w:r w:rsidR="00605771" w:rsidRPr="00605771">
        <w:t>’</w:t>
      </w:r>
      <w:r w:rsidR="002415D2" w:rsidRPr="00605771">
        <w:t>arrêt du 6 </w:t>
      </w:r>
      <w:r w:rsidRPr="00605771">
        <w:t>juin 2011 de la cour d</w:t>
      </w:r>
      <w:r w:rsidR="00605771" w:rsidRPr="00605771">
        <w:t>’</w:t>
      </w:r>
      <w:r w:rsidRPr="00605771">
        <w:t>appel de Thessalonique</w:t>
      </w:r>
      <w:r w:rsidR="00DF7A7A" w:rsidRPr="00605771">
        <w:t>, soit après l</w:t>
      </w:r>
      <w:r w:rsidR="00605771" w:rsidRPr="00605771">
        <w:t>’</w:t>
      </w:r>
      <w:r w:rsidR="00DF7A7A" w:rsidRPr="00605771">
        <w:t xml:space="preserve">introduction de la requête, le 28 juin 2010. Elle note </w:t>
      </w:r>
      <w:r w:rsidR="00BC66C4" w:rsidRPr="00605771">
        <w:t xml:space="preserve">à cet égard </w:t>
      </w:r>
      <w:r w:rsidR="00DF7A7A" w:rsidRPr="00605771">
        <w:t>que la cour d</w:t>
      </w:r>
      <w:r w:rsidR="00605771" w:rsidRPr="00605771">
        <w:t>’</w:t>
      </w:r>
      <w:r w:rsidR="00DF7A7A" w:rsidRPr="00605771">
        <w:t xml:space="preserve">appel de Thessalonique </w:t>
      </w:r>
      <w:r w:rsidRPr="00605771">
        <w:t>a, entre autres, condamné les accusés à verser 30 EUR à l</w:t>
      </w:r>
      <w:r w:rsidR="00605771" w:rsidRPr="00605771">
        <w:t>’</w:t>
      </w:r>
      <w:r w:rsidRPr="00605771">
        <w:t xml:space="preserve">intéressée (paragraphe </w:t>
      </w:r>
      <w:r w:rsidRPr="00605771">
        <w:fldChar w:fldCharType="begin"/>
      </w:r>
      <w:r w:rsidRPr="00605771">
        <w:instrText xml:space="preserve"> REF courdappeldeSerres \h </w:instrText>
      </w:r>
      <w:r w:rsidRPr="00605771">
        <w:fldChar w:fldCharType="separate"/>
      </w:r>
      <w:r w:rsidR="00605771" w:rsidRPr="00605771">
        <w:rPr>
          <w:noProof/>
        </w:rPr>
        <w:t>28</w:t>
      </w:r>
      <w:r w:rsidRPr="00605771">
        <w:fldChar w:fldCharType="end"/>
      </w:r>
      <w:r w:rsidRPr="00605771">
        <w:t xml:space="preserve"> ci-dessus). Elle rejette donc l</w:t>
      </w:r>
      <w:r w:rsidR="00605771" w:rsidRPr="00605771">
        <w:t>’</w:t>
      </w:r>
      <w:r w:rsidRPr="00605771">
        <w:t>exception soulevée par le Gouvernement à ce titre.</w:t>
      </w:r>
    </w:p>
    <w:p w:rsidR="007349AD" w:rsidRPr="00605771" w:rsidRDefault="007349AD" w:rsidP="00605771">
      <w:pPr>
        <w:pStyle w:val="JuH1"/>
      </w:pPr>
      <w:r w:rsidRPr="00605771">
        <w:t xml:space="preserve">Sur </w:t>
      </w:r>
      <w:r w:rsidR="005C703F" w:rsidRPr="00605771">
        <w:t>l</w:t>
      </w:r>
      <w:r w:rsidR="00605771" w:rsidRPr="00605771">
        <w:t>’</w:t>
      </w:r>
      <w:r w:rsidRPr="00605771">
        <w:t>épuisement des voies de recours internes</w:t>
      </w:r>
    </w:p>
    <w:p w:rsidR="007349AD" w:rsidRPr="00605771" w:rsidRDefault="007349AD" w:rsidP="00605771">
      <w:pPr>
        <w:pStyle w:val="JuHa0"/>
      </w:pPr>
      <w:r w:rsidRPr="00605771">
        <w:t>Arguments des parties</w:t>
      </w:r>
    </w:p>
    <w:p w:rsidR="007349AD" w:rsidRPr="00605771" w:rsidRDefault="007349AD"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102</w:t>
      </w:r>
      <w:r w:rsidRPr="00605771">
        <w:fldChar w:fldCharType="end"/>
      </w:r>
      <w:r w:rsidRPr="00605771">
        <w:t>.  Le Gouvernement argue qu</w:t>
      </w:r>
      <w:r w:rsidR="00605771" w:rsidRPr="00605771">
        <w:t>’</w:t>
      </w:r>
      <w:r w:rsidRPr="00605771">
        <w:t>à la date de saisine de la Cour, le 28 juin 2010, par les requérantes : a) en ce qui concerne la troisième requérante, l</w:t>
      </w:r>
      <w:r w:rsidR="00605771" w:rsidRPr="00605771">
        <w:t>’</w:t>
      </w:r>
      <w:r w:rsidRPr="00605771">
        <w:t>arrêt de la cour d</w:t>
      </w:r>
      <w:r w:rsidR="00605771" w:rsidRPr="00605771">
        <w:t>’</w:t>
      </w:r>
      <w:r w:rsidRPr="00605771">
        <w:t>appel de Thessalonique n</w:t>
      </w:r>
      <w:r w:rsidR="00605771" w:rsidRPr="00605771">
        <w:t>’</w:t>
      </w:r>
      <w:r w:rsidRPr="00605771">
        <w:t>avait pas encore été prononcé, et l</w:t>
      </w:r>
      <w:r w:rsidR="00605771" w:rsidRPr="00605771">
        <w:t>’</w:t>
      </w:r>
      <w:r w:rsidRPr="00605771">
        <w:t>intéressée n</w:t>
      </w:r>
      <w:r w:rsidR="00605771" w:rsidRPr="00605771">
        <w:t>’</w:t>
      </w:r>
      <w:r w:rsidRPr="00605771">
        <w:t>avait pas fait usage de son droit de manifester son intention de se constituer partie civile en deuxième instance ; b) la première requérante n</w:t>
      </w:r>
      <w:r w:rsidR="00605771" w:rsidRPr="00605771">
        <w:t>’</w:t>
      </w:r>
      <w:r w:rsidRPr="00605771">
        <w:t>avait pas participé aux procédures pénales devant le tribunal correctionnel d</w:t>
      </w:r>
      <w:r w:rsidR="00605771" w:rsidRPr="00605771">
        <w:t>’</w:t>
      </w:r>
      <w:r w:rsidRPr="00605771">
        <w:t>Athènes et la cour d</w:t>
      </w:r>
      <w:r w:rsidR="00605771" w:rsidRPr="00605771">
        <w:t>’</w:t>
      </w:r>
      <w:r w:rsidRPr="00605771">
        <w:t>appel d</w:t>
      </w:r>
      <w:r w:rsidR="00605771" w:rsidRPr="00605771">
        <w:t>’</w:t>
      </w:r>
      <w:r w:rsidRPr="00605771">
        <w:t>Athènes en tant que partie civile ; et c) la deuxième requérante ne s</w:t>
      </w:r>
      <w:r w:rsidR="00605771" w:rsidRPr="00605771">
        <w:t>’</w:t>
      </w:r>
      <w:r w:rsidRPr="00605771">
        <w:t>était pas constituée partie civile devant la cour d</w:t>
      </w:r>
      <w:r w:rsidR="00605771" w:rsidRPr="00605771">
        <w:t>’</w:t>
      </w:r>
      <w:r w:rsidRPr="00605771">
        <w:t>appel d</w:t>
      </w:r>
      <w:r w:rsidR="00605771" w:rsidRPr="00605771">
        <w:t>’</w:t>
      </w:r>
      <w:r w:rsidRPr="00605771">
        <w:t>Athènes.</w:t>
      </w:r>
    </w:p>
    <w:p w:rsidR="007349AD" w:rsidRPr="00605771" w:rsidRDefault="007349AD"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103</w:t>
      </w:r>
      <w:r w:rsidRPr="00605771">
        <w:fldChar w:fldCharType="end"/>
      </w:r>
      <w:r w:rsidRPr="00605771">
        <w:t>.  Le Gouvernement argue par ailleurs que les requérantes n</w:t>
      </w:r>
      <w:r w:rsidR="00605771" w:rsidRPr="00605771">
        <w:t>’</w:t>
      </w:r>
      <w:r w:rsidRPr="00605771">
        <w:t>ont pas introduit de recours contre l</w:t>
      </w:r>
      <w:r w:rsidR="00605771" w:rsidRPr="00605771">
        <w:t>’</w:t>
      </w:r>
      <w:r w:rsidRPr="00605771">
        <w:t>ordonnance du 4 décembre 2009 du procureur près le tribunal correctionnel d</w:t>
      </w:r>
      <w:r w:rsidR="00605771" w:rsidRPr="00605771">
        <w:t>’</w:t>
      </w:r>
      <w:r w:rsidRPr="00605771">
        <w:t>Athènes. Selon lui, les intéressés auraient notamment pu saisir le procureur près la cour d</w:t>
      </w:r>
      <w:r w:rsidR="00605771" w:rsidRPr="00605771">
        <w:t>’</w:t>
      </w:r>
      <w:r w:rsidRPr="00605771">
        <w:t>appel sur le fondement de l</w:t>
      </w:r>
      <w:r w:rsidR="00605771" w:rsidRPr="00605771">
        <w:t>’</w:t>
      </w:r>
      <w:r w:rsidRPr="00605771">
        <w:t>article 48 du CPP.</w:t>
      </w:r>
    </w:p>
    <w:p w:rsidR="002C7F5B" w:rsidRPr="00605771" w:rsidRDefault="007349AD"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104</w:t>
      </w:r>
      <w:r w:rsidRPr="00605771">
        <w:fldChar w:fldCharType="end"/>
      </w:r>
      <w:r w:rsidRPr="00605771">
        <w:t>.  Les requérantes répliquent que la constitution de partie civile de la deuxième requérante a été reconnue par la cour d</w:t>
      </w:r>
      <w:r w:rsidR="00605771" w:rsidRPr="00605771">
        <w:t>’</w:t>
      </w:r>
      <w:r w:rsidRPr="00605771">
        <w:t>appel et que, en tout état de cause, l</w:t>
      </w:r>
      <w:r w:rsidR="00605771" w:rsidRPr="00605771">
        <w:t>’</w:t>
      </w:r>
      <w:r w:rsidRPr="00605771">
        <w:t>obligation découlant de l</w:t>
      </w:r>
      <w:r w:rsidR="00605771" w:rsidRPr="00605771">
        <w:t>’</w:t>
      </w:r>
      <w:r w:rsidRPr="00605771">
        <w:t>article 4 de la Convention d</w:t>
      </w:r>
      <w:r w:rsidR="00605771" w:rsidRPr="00605771">
        <w:t>’</w:t>
      </w:r>
      <w:r w:rsidRPr="00605771">
        <w:t>enquêter sur les faits ne dépend pas de l</w:t>
      </w:r>
      <w:r w:rsidR="00605771" w:rsidRPr="00605771">
        <w:t>’</w:t>
      </w:r>
      <w:r w:rsidRPr="00605771">
        <w:t>introduction d</w:t>
      </w:r>
      <w:r w:rsidR="00605771" w:rsidRPr="00605771">
        <w:t>’</w:t>
      </w:r>
      <w:r w:rsidRPr="00605771">
        <w:t>une plainte de la part de la victime. Au contraire, selon les requérantes, les autorités sont tenues d</w:t>
      </w:r>
      <w:r w:rsidR="00605771" w:rsidRPr="00605771">
        <w:t>’</w:t>
      </w:r>
      <w:r w:rsidRPr="00605771">
        <w:t>agir d</w:t>
      </w:r>
      <w:r w:rsidR="00605771" w:rsidRPr="00605771">
        <w:t>’</w:t>
      </w:r>
      <w:r w:rsidRPr="00605771">
        <w:t>elles-mêmes une fois que l</w:t>
      </w:r>
      <w:r w:rsidR="00605771" w:rsidRPr="00605771">
        <w:t>’</w:t>
      </w:r>
      <w:r w:rsidRPr="00605771">
        <w:t>affaire a été portée à leur connaissance. Quant à l</w:t>
      </w:r>
      <w:r w:rsidR="00605771" w:rsidRPr="00605771">
        <w:t>’</w:t>
      </w:r>
      <w:r w:rsidRPr="00605771">
        <w:t>argument du Gouvernement selon lequel l</w:t>
      </w:r>
      <w:r w:rsidR="00605771" w:rsidRPr="00605771">
        <w:t>’</w:t>
      </w:r>
      <w:r w:rsidRPr="00605771">
        <w:t>affaire était pendante à la date de saisine de la Cour par les requérantes, les intéressées soutiennent que, dans des affaires similaires, la Cour prend en considération la durée globale des procédures étant donné son impact sur l</w:t>
      </w:r>
      <w:r w:rsidR="00605771" w:rsidRPr="00605771">
        <w:t>’</w:t>
      </w:r>
      <w:r w:rsidRPr="00605771">
        <w:t>effectivité de ces dernières.</w:t>
      </w:r>
    </w:p>
    <w:p w:rsidR="002C7F5B" w:rsidRPr="00605771" w:rsidRDefault="007349AD"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105</w:t>
      </w:r>
      <w:r w:rsidRPr="00605771">
        <w:fldChar w:fldCharType="end"/>
      </w:r>
      <w:r w:rsidRPr="00605771">
        <w:t>.  En ce qui concerne l</w:t>
      </w:r>
      <w:r w:rsidR="00605771" w:rsidRPr="00605771">
        <w:t>’</w:t>
      </w:r>
      <w:r w:rsidRPr="00605771">
        <w:t>allégation du Gouvernement selon laquelle les requérantes n</w:t>
      </w:r>
      <w:r w:rsidR="00605771" w:rsidRPr="00605771">
        <w:t>’</w:t>
      </w:r>
      <w:r w:rsidRPr="00605771">
        <w:t>ont pas saisi, sur le fondement de l</w:t>
      </w:r>
      <w:r w:rsidR="00605771" w:rsidRPr="00605771">
        <w:t>’</w:t>
      </w:r>
      <w:r w:rsidRPr="00605771">
        <w:t>article 48 du CPP, le procureur près la cour d</w:t>
      </w:r>
      <w:r w:rsidR="00605771" w:rsidRPr="00605771">
        <w:t>’</w:t>
      </w:r>
      <w:r w:rsidRPr="00605771">
        <w:t>appel, les intéressées indiquent que l</w:t>
      </w:r>
      <w:r w:rsidR="00605771" w:rsidRPr="00605771">
        <w:t>’</w:t>
      </w:r>
      <w:r w:rsidRPr="00605771">
        <w:t xml:space="preserve">ordonnance </w:t>
      </w:r>
      <w:r w:rsidRPr="00605771">
        <w:lastRenderedPageBreak/>
        <w:t>du procureur près le tribunal correctionnel d</w:t>
      </w:r>
      <w:r w:rsidR="00605771" w:rsidRPr="00605771">
        <w:t>’</w:t>
      </w:r>
      <w:r w:rsidRPr="00605771">
        <w:t>Athènes a été prise le 4 décembre 2009, soit six ans après les faits en cause. Il s</w:t>
      </w:r>
      <w:r w:rsidR="00605771" w:rsidRPr="00605771">
        <w:t>’</w:t>
      </w:r>
      <w:r w:rsidRPr="00605771">
        <w:t>ensuit, d</w:t>
      </w:r>
      <w:r w:rsidR="00605771" w:rsidRPr="00605771">
        <w:t>’</w:t>
      </w:r>
      <w:r w:rsidRPr="00605771">
        <w:t>après les requérantes, que les autorités n</w:t>
      </w:r>
      <w:r w:rsidR="00605771" w:rsidRPr="00605771">
        <w:t>’</w:t>
      </w:r>
      <w:r w:rsidRPr="00605771">
        <w:t>avaient aucune intention de mener une enquête effective sur ces faits et que, en tout état de cause, une partie des délits était déjà prescrite. Les intéressées ajoutent qu</w:t>
      </w:r>
      <w:r w:rsidR="00605771" w:rsidRPr="00605771">
        <w:t>’</w:t>
      </w:r>
      <w:r w:rsidRPr="00605771">
        <w:t>elles avaient toujours l</w:t>
      </w:r>
      <w:r w:rsidR="00605771" w:rsidRPr="00605771">
        <w:t>’</w:t>
      </w:r>
      <w:r w:rsidRPr="00605771">
        <w:t>espoir de voir le juge d</w:t>
      </w:r>
      <w:r w:rsidR="00605771" w:rsidRPr="00605771">
        <w:t>’</w:t>
      </w:r>
      <w:r w:rsidRPr="00605771">
        <w:t>instruction compétent mener une enquête effective sur les infractions qui, selon elles, impliquaient des agents de l</w:t>
      </w:r>
      <w:r w:rsidR="00605771" w:rsidRPr="00605771">
        <w:t>’</w:t>
      </w:r>
      <w:r w:rsidRPr="00605771">
        <w:t>État, mais que cet espoir ne s</w:t>
      </w:r>
      <w:r w:rsidR="00605771" w:rsidRPr="00605771">
        <w:t>’</w:t>
      </w:r>
      <w:r w:rsidRPr="00605771">
        <w:t>est pas concrétisé.</w:t>
      </w:r>
    </w:p>
    <w:p w:rsidR="007349AD" w:rsidRPr="00605771" w:rsidRDefault="007349AD" w:rsidP="00605771">
      <w:pPr>
        <w:pStyle w:val="JuHa0"/>
      </w:pPr>
      <w:r w:rsidRPr="00605771">
        <w:t>Appréciation de la Cour</w:t>
      </w:r>
    </w:p>
    <w:p w:rsidR="002C7F5B" w:rsidRPr="00605771" w:rsidRDefault="007349AD"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106</w:t>
      </w:r>
      <w:r w:rsidRPr="00605771">
        <w:fldChar w:fldCharType="end"/>
      </w:r>
      <w:r w:rsidRPr="00605771">
        <w:t>.  Pour ce qui est de l</w:t>
      </w:r>
      <w:r w:rsidR="00605771" w:rsidRPr="00605771">
        <w:t>’</w:t>
      </w:r>
      <w:r w:rsidRPr="00605771">
        <w:t>exception du Gouvernement tirée du caractère prématuré de la requête en ce qui concerne la troisième requérante, la Cour observe que les arrêts n</w:t>
      </w:r>
      <w:r w:rsidRPr="00605771">
        <w:rPr>
          <w:vertAlign w:val="superscript"/>
        </w:rPr>
        <w:t>os</w:t>
      </w:r>
      <w:r w:rsidRPr="00605771">
        <w:t xml:space="preserve"> 209-212/2011 de la cour d</w:t>
      </w:r>
      <w:r w:rsidR="00605771" w:rsidRPr="00605771">
        <w:t>’</w:t>
      </w:r>
      <w:r w:rsidRPr="00605771">
        <w:t>appel de Thessalonique ont été prononcés le 6 juin 2011, soit avant l</w:t>
      </w:r>
      <w:r w:rsidR="00605771" w:rsidRPr="00605771">
        <w:t>’</w:t>
      </w:r>
      <w:r w:rsidRPr="00605771">
        <w:t>examen par elle de la recevabilité de l</w:t>
      </w:r>
      <w:r w:rsidR="00605771" w:rsidRPr="00605771">
        <w:t>’</w:t>
      </w:r>
      <w:r w:rsidRPr="00605771">
        <w:t>affaire. Elle rejette donc l</w:t>
      </w:r>
      <w:r w:rsidR="00605771" w:rsidRPr="00605771">
        <w:t>’</w:t>
      </w:r>
      <w:r w:rsidRPr="00605771">
        <w:t>exception soulevée par le Gouvernement à ce titre (voir, </w:t>
      </w:r>
      <w:r w:rsidR="002415D2" w:rsidRPr="00605771">
        <w:rPr>
          <w:i/>
        </w:rPr>
        <w:t>Sidiropoulos et Papakostas c. </w:t>
      </w:r>
      <w:r w:rsidR="00EF16AD" w:rsidRPr="00605771">
        <w:rPr>
          <w:i/>
        </w:rPr>
        <w:t>Grèce</w:t>
      </w:r>
      <w:r w:rsidR="00EF16AD" w:rsidRPr="00605771">
        <w:t>, n</w:t>
      </w:r>
      <w:r w:rsidR="00EF16AD" w:rsidRPr="00605771">
        <w:rPr>
          <w:vertAlign w:val="superscript"/>
        </w:rPr>
        <w:t>o</w:t>
      </w:r>
      <w:r w:rsidR="00EF16AD" w:rsidRPr="00605771">
        <w:t> 33349/10, § 66, 25 janvier 2018</w:t>
      </w:r>
      <w:r w:rsidRPr="00605771">
        <w:t>).</w:t>
      </w:r>
    </w:p>
    <w:p w:rsidR="007349AD" w:rsidRPr="00605771" w:rsidRDefault="005C703F"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107</w:t>
      </w:r>
      <w:r w:rsidRPr="00605771">
        <w:fldChar w:fldCharType="end"/>
      </w:r>
      <w:r w:rsidRPr="00605771">
        <w:t>.  </w:t>
      </w:r>
      <w:r w:rsidR="007349AD" w:rsidRPr="00605771">
        <w:t>La Cour considère que les exceptions du Gouvernement restantes sont étroitement liées à la substance du grief énoncé par les requérantes sur le terrain du volet procédural de l</w:t>
      </w:r>
      <w:r w:rsidR="00605771" w:rsidRPr="00605771">
        <w:t>’</w:t>
      </w:r>
      <w:r w:rsidR="007349AD" w:rsidRPr="00605771">
        <w:t xml:space="preserve">article 4 de la Convention (voir, </w:t>
      </w:r>
      <w:r w:rsidR="007349AD" w:rsidRPr="00605771">
        <w:rPr>
          <w:i/>
        </w:rPr>
        <w:t>mutatis mutandis</w:t>
      </w:r>
      <w:r w:rsidR="007349AD" w:rsidRPr="00605771">
        <w:t xml:space="preserve">, </w:t>
      </w:r>
      <w:r w:rsidR="007349AD" w:rsidRPr="00605771">
        <w:rPr>
          <w:i/>
        </w:rPr>
        <w:t>Zontul c. Grèce</w:t>
      </w:r>
      <w:r w:rsidR="007349AD" w:rsidRPr="00605771">
        <w:t>, n</w:t>
      </w:r>
      <w:r w:rsidR="007349AD" w:rsidRPr="00605771">
        <w:rPr>
          <w:vertAlign w:val="superscript"/>
        </w:rPr>
        <w:t>o</w:t>
      </w:r>
      <w:r w:rsidR="007349AD" w:rsidRPr="00605771">
        <w:t> 12294/07, § 76, 17 janvier 2012). Elle décide par conséquent de les joindre au fond.</w:t>
      </w:r>
    </w:p>
    <w:p w:rsidR="00F656AC" w:rsidRPr="00605771" w:rsidRDefault="00F656AC" w:rsidP="00605771">
      <w:pPr>
        <w:pStyle w:val="JuH1"/>
      </w:pPr>
      <w:r w:rsidRPr="00605771">
        <w:t>Sur l</w:t>
      </w:r>
      <w:r w:rsidR="00605771" w:rsidRPr="00605771">
        <w:t>’</w:t>
      </w:r>
      <w:r w:rsidRPr="00605771">
        <w:t>applicabilité de l</w:t>
      </w:r>
      <w:r w:rsidR="00605771" w:rsidRPr="00605771">
        <w:t>’</w:t>
      </w:r>
      <w:r w:rsidRPr="00605771">
        <w:t>article 4 de la Convention</w:t>
      </w:r>
    </w:p>
    <w:p w:rsidR="00F656AC" w:rsidRPr="00605771" w:rsidRDefault="00C34EA1"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108</w:t>
      </w:r>
      <w:r w:rsidRPr="00605771">
        <w:fldChar w:fldCharType="end"/>
      </w:r>
      <w:r w:rsidRPr="00605771">
        <w:t>.  </w:t>
      </w:r>
      <w:r w:rsidR="00362BB7" w:rsidRPr="00605771">
        <w:t>La Cour rappelle qu</w:t>
      </w:r>
      <w:r w:rsidR="00605771" w:rsidRPr="00605771">
        <w:t>’</w:t>
      </w:r>
      <w:r w:rsidR="00362BB7" w:rsidRPr="00605771">
        <w:t>il ne peut y avoir aucun doute quant au fait que la traite porte atteinte à la dignité humaine et aux libertés fondamentales de ses victimes et qu</w:t>
      </w:r>
      <w:r w:rsidR="00605771" w:rsidRPr="00605771">
        <w:t>’</w:t>
      </w:r>
      <w:r w:rsidR="00362BB7" w:rsidRPr="00605771">
        <w:t>elle ne peut être considérée comme compatible avec une société démocratique ni avec les valeurs consacrées dans la Convention (</w:t>
      </w:r>
      <w:r w:rsidR="00362BB7" w:rsidRPr="00605771">
        <w:rPr>
          <w:i/>
          <w:iCs/>
        </w:rPr>
        <w:t>Rantsev</w:t>
      </w:r>
      <w:r w:rsidR="00362BB7" w:rsidRPr="00605771">
        <w:t xml:space="preserve">, </w:t>
      </w:r>
      <w:r w:rsidR="007E3960" w:rsidRPr="00605771">
        <w:t>n</w:t>
      </w:r>
      <w:r w:rsidR="007E3960" w:rsidRPr="00605771">
        <w:rPr>
          <w:vertAlign w:val="superscript"/>
        </w:rPr>
        <w:t>o</w:t>
      </w:r>
      <w:r w:rsidR="007E3960" w:rsidRPr="00605771">
        <w:t> 25965/04, §§ 282, CEDH 2010 (extraits))</w:t>
      </w:r>
      <w:r w:rsidR="00362BB7" w:rsidRPr="00605771">
        <w:t>. La Cour renvoie à sa jurisprudence pertinente ayant déjà admis que la traite des êtres humains relève de la portée de l</w:t>
      </w:r>
      <w:r w:rsidR="00605771" w:rsidRPr="00605771">
        <w:t>’</w:t>
      </w:r>
      <w:r w:rsidR="00362BB7" w:rsidRPr="00605771">
        <w:t>article 4 de la Convention (voir notamment </w:t>
      </w:r>
      <w:r w:rsidR="00362BB7" w:rsidRPr="00605771">
        <w:rPr>
          <w:i/>
          <w:iCs/>
        </w:rPr>
        <w:t>Rantsev</w:t>
      </w:r>
      <w:r w:rsidR="00362BB7" w:rsidRPr="00605771">
        <w:t>, précité, §§ 272-282</w:t>
      </w:r>
      <w:r w:rsidR="00951F46" w:rsidRPr="00605771">
        <w:t>,</w:t>
      </w:r>
      <w:r w:rsidR="008501C6" w:rsidRPr="00605771">
        <w:t xml:space="preserve"> </w:t>
      </w:r>
      <w:r w:rsidR="00951F46" w:rsidRPr="00605771">
        <w:rPr>
          <w:i/>
        </w:rPr>
        <w:t>L.E.</w:t>
      </w:r>
      <w:r w:rsidR="00951F46" w:rsidRPr="00605771">
        <w:t>, précité, § 58</w:t>
      </w:r>
      <w:r w:rsidR="008501C6" w:rsidRPr="00605771">
        <w:t xml:space="preserve">, et </w:t>
      </w:r>
      <w:r w:rsidR="008501C6" w:rsidRPr="00605771">
        <w:rPr>
          <w:i/>
        </w:rPr>
        <w:t>Chowdury</w:t>
      </w:r>
      <w:r w:rsidR="00D0348E" w:rsidRPr="00605771">
        <w:rPr>
          <w:i/>
        </w:rPr>
        <w:t xml:space="preserve"> et autres</w:t>
      </w:r>
      <w:r w:rsidR="008501C6" w:rsidRPr="00605771">
        <w:t>, précité, §</w:t>
      </w:r>
      <w:r w:rsidR="00D16BD6" w:rsidRPr="00605771">
        <w:t> </w:t>
      </w:r>
      <w:r w:rsidR="008501C6" w:rsidRPr="00605771">
        <w:t>86</w:t>
      </w:r>
      <w:r w:rsidR="00362BB7" w:rsidRPr="00605771">
        <w:t>). Elle note aussi que le Gouvernement ne conteste pas le fait que l</w:t>
      </w:r>
      <w:r w:rsidRPr="00605771">
        <w:t>es</w:t>
      </w:r>
      <w:r w:rsidR="00362BB7" w:rsidRPr="00605771">
        <w:t xml:space="preserve"> requérante</w:t>
      </w:r>
      <w:r w:rsidRPr="00605771">
        <w:t>s</w:t>
      </w:r>
      <w:r w:rsidR="00362BB7" w:rsidRPr="00605771">
        <w:t xml:space="preserve"> </w:t>
      </w:r>
      <w:r w:rsidRPr="00605771">
        <w:t>ont</w:t>
      </w:r>
      <w:r w:rsidR="00362BB7" w:rsidRPr="00605771">
        <w:t xml:space="preserve"> été victime</w:t>
      </w:r>
      <w:r w:rsidRPr="00605771">
        <w:t>s</w:t>
      </w:r>
      <w:r w:rsidR="00362BB7" w:rsidRPr="00605771">
        <w:t xml:space="preserve"> de la traite des êtres humains. Il s</w:t>
      </w:r>
      <w:r w:rsidR="00605771" w:rsidRPr="00605771">
        <w:t>’</w:t>
      </w:r>
      <w:r w:rsidR="00362BB7" w:rsidRPr="00605771">
        <w:t>ensuit donc que l</w:t>
      </w:r>
      <w:r w:rsidR="00605771" w:rsidRPr="00605771">
        <w:t>’</w:t>
      </w:r>
      <w:r w:rsidR="00362BB7" w:rsidRPr="00605771">
        <w:t>article 4 trouve à s</w:t>
      </w:r>
      <w:r w:rsidR="00605771" w:rsidRPr="00605771">
        <w:t>’</w:t>
      </w:r>
      <w:r w:rsidR="00362BB7" w:rsidRPr="00605771">
        <w:t>appliquer en l</w:t>
      </w:r>
      <w:r w:rsidR="00605771" w:rsidRPr="00605771">
        <w:t>’</w:t>
      </w:r>
      <w:r w:rsidR="00362BB7" w:rsidRPr="00605771">
        <w:t>espèce.</w:t>
      </w:r>
    </w:p>
    <w:p w:rsidR="007349AD" w:rsidRPr="00605771" w:rsidRDefault="007349AD" w:rsidP="00605771">
      <w:pPr>
        <w:pStyle w:val="JuH1"/>
      </w:pPr>
      <w:r w:rsidRPr="00605771">
        <w:t>Conclusion</w:t>
      </w:r>
    </w:p>
    <w:p w:rsidR="00CE21E9" w:rsidRPr="00605771" w:rsidRDefault="00D20D7A"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109</w:t>
      </w:r>
      <w:r w:rsidRPr="00605771">
        <w:fldChar w:fldCharType="end"/>
      </w:r>
      <w:r w:rsidRPr="00605771">
        <w:t>.  </w:t>
      </w:r>
      <w:r w:rsidR="00362BB7" w:rsidRPr="00605771">
        <w:t xml:space="preserve">La Cour constate que </w:t>
      </w:r>
      <w:r w:rsidR="000D72FF" w:rsidRPr="00605771">
        <w:t>grief tiré de l</w:t>
      </w:r>
      <w:r w:rsidR="00605771" w:rsidRPr="00605771">
        <w:t>’</w:t>
      </w:r>
      <w:r w:rsidR="000D72FF" w:rsidRPr="00605771">
        <w:t xml:space="preserve">article 4 de la Convention </w:t>
      </w:r>
      <w:r w:rsidR="000D1BC2" w:rsidRPr="00605771">
        <w:t>n</w:t>
      </w:r>
      <w:r w:rsidR="00605771" w:rsidRPr="00605771">
        <w:t>’</w:t>
      </w:r>
      <w:r w:rsidR="000D1BC2" w:rsidRPr="00605771">
        <w:t>est pas manifestement mal fondé au sens de l</w:t>
      </w:r>
      <w:r w:rsidR="00605771" w:rsidRPr="00605771">
        <w:t>’</w:t>
      </w:r>
      <w:r w:rsidR="000D1BC2" w:rsidRPr="00605771">
        <w:t>article 35 § 3 a) de la Convention</w:t>
      </w:r>
      <w:r w:rsidR="00C34EA1" w:rsidRPr="00605771">
        <w:t>.</w:t>
      </w:r>
      <w:r w:rsidR="000D1BC2" w:rsidRPr="00605771">
        <w:t xml:space="preserve"> </w:t>
      </w:r>
      <w:r w:rsidR="00C34EA1" w:rsidRPr="00605771">
        <w:t>Elle relève en outre qu</w:t>
      </w:r>
      <w:r w:rsidR="00605771" w:rsidRPr="00605771">
        <w:t>’</w:t>
      </w:r>
      <w:r w:rsidR="00C34EA1" w:rsidRPr="00605771">
        <w:t>il ne se heurte à aucun autre motif d</w:t>
      </w:r>
      <w:r w:rsidR="00605771" w:rsidRPr="00605771">
        <w:t>’</w:t>
      </w:r>
      <w:r w:rsidR="00C34EA1" w:rsidRPr="00605771">
        <w:t>irrecevabilité. Il convient donc de le déclarer recevable.</w:t>
      </w:r>
    </w:p>
    <w:p w:rsidR="00E77CB3" w:rsidRPr="00605771" w:rsidRDefault="00E77CB3" w:rsidP="00605771">
      <w:pPr>
        <w:pStyle w:val="JuHA"/>
      </w:pPr>
      <w:r w:rsidRPr="00605771">
        <w:lastRenderedPageBreak/>
        <w:t>Sur le fond</w:t>
      </w:r>
    </w:p>
    <w:p w:rsidR="00D45B6C" w:rsidRPr="00605771" w:rsidRDefault="00D45B6C" w:rsidP="00605771">
      <w:pPr>
        <w:pStyle w:val="JuH1"/>
      </w:pPr>
      <w:r w:rsidRPr="00605771">
        <w:t>Arguments des parties</w:t>
      </w:r>
    </w:p>
    <w:p w:rsidR="00D45B6C" w:rsidRPr="00605771" w:rsidRDefault="00D45B6C" w:rsidP="00605771">
      <w:pPr>
        <w:pStyle w:val="JuHa0"/>
      </w:pPr>
      <w:r w:rsidRPr="00605771">
        <w:t>Les requérantes</w:t>
      </w:r>
    </w:p>
    <w:p w:rsidR="007B3E3A" w:rsidRPr="00605771" w:rsidRDefault="007B3E3A"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110</w:t>
      </w:r>
      <w:r w:rsidRPr="00605771">
        <w:fldChar w:fldCharType="end"/>
      </w:r>
      <w:r w:rsidRPr="00605771">
        <w:t>.  </w:t>
      </w:r>
      <w:r w:rsidR="005E5584" w:rsidRPr="00605771">
        <w:t>Tout d</w:t>
      </w:r>
      <w:r w:rsidR="00605771" w:rsidRPr="00605771">
        <w:t>’</w:t>
      </w:r>
      <w:r w:rsidR="005E5584" w:rsidRPr="00605771">
        <w:t>abord</w:t>
      </w:r>
      <w:r w:rsidR="003721E0" w:rsidRPr="00605771">
        <w:t>, l</w:t>
      </w:r>
      <w:r w:rsidRPr="00605771">
        <w:t xml:space="preserve">es requérantes soutiennent que certains éléments de preuve fournis par le Gouvernement, parmi </w:t>
      </w:r>
      <w:r w:rsidR="00997531" w:rsidRPr="00605771">
        <w:t xml:space="preserve">lesquels </w:t>
      </w:r>
      <w:r w:rsidR="00B9343A" w:rsidRPr="00605771">
        <w:t xml:space="preserve">des informations concernant leurs permis de </w:t>
      </w:r>
      <w:r w:rsidR="005E5584" w:rsidRPr="00605771">
        <w:t>séjour</w:t>
      </w:r>
      <w:r w:rsidR="00B9343A" w:rsidRPr="00605771">
        <w:t xml:space="preserve"> et statut marital</w:t>
      </w:r>
      <w:r w:rsidR="005E5584" w:rsidRPr="00605771">
        <w:t>,</w:t>
      </w:r>
      <w:r w:rsidRPr="00605771">
        <w:t xml:space="preserve"> constituent des données personnelles. De l</w:t>
      </w:r>
      <w:r w:rsidR="00605771" w:rsidRPr="00605771">
        <w:t>’</w:t>
      </w:r>
      <w:r w:rsidRPr="00605771">
        <w:t>avis des requérantes, le choix de l</w:t>
      </w:r>
      <w:r w:rsidR="00605771" w:rsidRPr="00605771">
        <w:t>’</w:t>
      </w:r>
      <w:r w:rsidRPr="00605771">
        <w:t xml:space="preserve">État grec de soumettre </w:t>
      </w:r>
      <w:r w:rsidR="005E5584" w:rsidRPr="00605771">
        <w:t xml:space="preserve">ces éléments </w:t>
      </w:r>
      <w:r w:rsidRPr="00605771">
        <w:t xml:space="preserve">devant la Cour </w:t>
      </w:r>
      <w:r w:rsidR="00A6381E" w:rsidRPr="00605771">
        <w:t>enfreint</w:t>
      </w:r>
      <w:r w:rsidRPr="00605771">
        <w:t xml:space="preserve"> la loi g</w:t>
      </w:r>
      <w:r w:rsidR="00B9343A" w:rsidRPr="00605771">
        <w:t>recque n</w:t>
      </w:r>
      <w:r w:rsidR="00B9343A" w:rsidRPr="00605771">
        <w:rPr>
          <w:vertAlign w:val="superscript"/>
        </w:rPr>
        <w:t>o</w:t>
      </w:r>
      <w:r w:rsidRPr="00605771">
        <w:t> </w:t>
      </w:r>
      <w:r w:rsidR="00B9343A" w:rsidRPr="00605771">
        <w:t>2472</w:t>
      </w:r>
      <w:r w:rsidRPr="00605771">
        <w:t xml:space="preserve">/1997 sur la protection des données personnelles et, </w:t>
      </w:r>
      <w:r w:rsidR="005E5584" w:rsidRPr="00605771">
        <w:t>par conséquent</w:t>
      </w:r>
      <w:r w:rsidRPr="00605771">
        <w:t xml:space="preserve">, ceux-ci ne </w:t>
      </w:r>
      <w:r w:rsidR="000E71FD" w:rsidRPr="00605771">
        <w:t xml:space="preserve">devraient pas </w:t>
      </w:r>
      <w:r w:rsidRPr="00605771">
        <w:t>être pris en compte par la Cour.</w:t>
      </w:r>
    </w:p>
    <w:p w:rsidR="002C7F5B" w:rsidRPr="00605771" w:rsidRDefault="00F61333"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111</w:t>
      </w:r>
      <w:r w:rsidRPr="00605771">
        <w:fldChar w:fldCharType="end"/>
      </w:r>
      <w:r w:rsidR="00E77CB3" w:rsidRPr="00605771">
        <w:t>.  </w:t>
      </w:r>
      <w:r w:rsidR="00E0400A" w:rsidRPr="00605771">
        <w:t>Ensuite, l</w:t>
      </w:r>
      <w:r w:rsidR="00A250C7" w:rsidRPr="00605771">
        <w:t>a troisième</w:t>
      </w:r>
      <w:r w:rsidR="00D77B3F" w:rsidRPr="00605771">
        <w:t xml:space="preserve"> requérante allègue </w:t>
      </w:r>
      <w:r w:rsidR="00A250C7" w:rsidRPr="00605771">
        <w:t>qu</w:t>
      </w:r>
      <w:r w:rsidR="00605771" w:rsidRPr="00605771">
        <w:t>’</w:t>
      </w:r>
      <w:r w:rsidR="003A389C" w:rsidRPr="00605771">
        <w:t>elle n</w:t>
      </w:r>
      <w:r w:rsidR="00605771" w:rsidRPr="00605771">
        <w:t>’</w:t>
      </w:r>
      <w:r w:rsidR="003A389C" w:rsidRPr="00605771">
        <w:t xml:space="preserve">a pas été placée sous un régime de protection immédiatement après son arrestation, </w:t>
      </w:r>
      <w:r w:rsidR="00E310E5" w:rsidRPr="00605771">
        <w:t xml:space="preserve">et </w:t>
      </w:r>
      <w:r w:rsidR="003A389C" w:rsidRPr="00605771">
        <w:t>qu</w:t>
      </w:r>
      <w:r w:rsidR="00605771" w:rsidRPr="00605771">
        <w:t>’</w:t>
      </w:r>
      <w:r w:rsidR="003A389C" w:rsidRPr="00605771">
        <w:t>elle a été condamné</w:t>
      </w:r>
      <w:r w:rsidR="00E310E5" w:rsidRPr="00605771">
        <w:t>e</w:t>
      </w:r>
      <w:r w:rsidR="003A389C" w:rsidRPr="00605771">
        <w:t xml:space="preserve"> pour prostitution</w:t>
      </w:r>
      <w:r w:rsidR="00E310E5" w:rsidRPr="00605771">
        <w:t>, et ce alors qu</w:t>
      </w:r>
      <w:r w:rsidR="00605771" w:rsidRPr="00605771">
        <w:t>’</w:t>
      </w:r>
      <w:r w:rsidR="00E310E5" w:rsidRPr="00605771">
        <w:t xml:space="preserve">il était évident, à ses dires, </w:t>
      </w:r>
      <w:r w:rsidR="003A389C" w:rsidRPr="00605771">
        <w:t>qu</w:t>
      </w:r>
      <w:r w:rsidR="00605771" w:rsidRPr="00605771">
        <w:t>’</w:t>
      </w:r>
      <w:r w:rsidR="003A389C" w:rsidRPr="00605771">
        <w:t xml:space="preserve">elle était </w:t>
      </w:r>
      <w:r w:rsidR="003721E0" w:rsidRPr="00605771">
        <w:t>victime de</w:t>
      </w:r>
      <w:r w:rsidR="003A389C" w:rsidRPr="00605771">
        <w:t xml:space="preserve"> </w:t>
      </w:r>
      <w:r w:rsidR="003721E0" w:rsidRPr="00605771">
        <w:t xml:space="preserve">la </w:t>
      </w:r>
      <w:r w:rsidR="003A389C" w:rsidRPr="00605771">
        <w:t xml:space="preserve">traite des êtres humains. </w:t>
      </w:r>
      <w:r w:rsidR="00E310E5" w:rsidRPr="00605771">
        <w:t>Elle indique</w:t>
      </w:r>
      <w:r w:rsidR="003721E0" w:rsidRPr="00605771">
        <w:t xml:space="preserve"> qu</w:t>
      </w:r>
      <w:r w:rsidR="00605771" w:rsidRPr="00605771">
        <w:t>’</w:t>
      </w:r>
      <w:r w:rsidR="00D77B3F" w:rsidRPr="00605771">
        <w:t>elle avait l</w:t>
      </w:r>
      <w:r w:rsidR="00605771" w:rsidRPr="00605771">
        <w:t>’</w:t>
      </w:r>
      <w:r w:rsidR="00D77B3F" w:rsidRPr="00605771">
        <w:t>intention de coopérer avec les autorités de police depuis le début. Elle ajoute qu</w:t>
      </w:r>
      <w:r w:rsidR="00605771" w:rsidRPr="00605771">
        <w:t>’</w:t>
      </w:r>
      <w:r w:rsidR="00D77B3F" w:rsidRPr="00605771">
        <w:t>elle</w:t>
      </w:r>
      <w:r w:rsidR="003A389C" w:rsidRPr="00605771">
        <w:t xml:space="preserve"> </w:t>
      </w:r>
      <w:r w:rsidR="004E6713" w:rsidRPr="00605771">
        <w:t>a été</w:t>
      </w:r>
      <w:r w:rsidR="003A389C" w:rsidRPr="00605771">
        <w:t xml:space="preserve"> détenue dans de mauvaises conditions et </w:t>
      </w:r>
      <w:r w:rsidR="003721E0" w:rsidRPr="00605771">
        <w:t>qu</w:t>
      </w:r>
      <w:r w:rsidR="00605771" w:rsidRPr="00605771">
        <w:t>’</w:t>
      </w:r>
      <w:r w:rsidR="003A389C" w:rsidRPr="00605771">
        <w:t>elle n</w:t>
      </w:r>
      <w:r w:rsidR="00605771" w:rsidRPr="00605771">
        <w:t>’</w:t>
      </w:r>
      <w:r w:rsidR="003A389C" w:rsidRPr="00605771">
        <w:t>a été informée sur la législation protégeant les victimes de la traite des êtres humains qu</w:t>
      </w:r>
      <w:r w:rsidR="00605771" w:rsidRPr="00605771">
        <w:t>’</w:t>
      </w:r>
      <w:r w:rsidR="003A389C" w:rsidRPr="00605771">
        <w:t xml:space="preserve">après </w:t>
      </w:r>
      <w:r w:rsidR="00F5674D" w:rsidRPr="00605771">
        <w:t>l</w:t>
      </w:r>
      <w:r w:rsidR="00605771" w:rsidRPr="00605771">
        <w:t>’</w:t>
      </w:r>
      <w:r w:rsidR="00F5674D" w:rsidRPr="00605771">
        <w:t xml:space="preserve">ouverture du </w:t>
      </w:r>
      <w:r w:rsidR="003A389C" w:rsidRPr="00605771">
        <w:t xml:space="preserve">procès </w:t>
      </w:r>
      <w:r w:rsidR="00004062" w:rsidRPr="00605771">
        <w:t>dirigé</w:t>
      </w:r>
      <w:r w:rsidR="001F3DA9" w:rsidRPr="00605771">
        <w:t xml:space="preserve"> </w:t>
      </w:r>
      <w:r w:rsidR="003A389C" w:rsidRPr="00605771">
        <w:t xml:space="preserve">contre elle, </w:t>
      </w:r>
      <w:r w:rsidR="004E6713" w:rsidRPr="00605771">
        <w:t xml:space="preserve">lequel </w:t>
      </w:r>
      <w:r w:rsidR="008A4FE8" w:rsidRPr="00605771">
        <w:t xml:space="preserve">procès </w:t>
      </w:r>
      <w:r w:rsidR="004E6713" w:rsidRPr="00605771">
        <w:t>n</w:t>
      </w:r>
      <w:r w:rsidR="00605771" w:rsidRPr="00605771">
        <w:t>’</w:t>
      </w:r>
      <w:r w:rsidR="004E6713" w:rsidRPr="00605771">
        <w:t>aurait pas été</w:t>
      </w:r>
      <w:r w:rsidR="003A389C" w:rsidRPr="00605771">
        <w:t xml:space="preserve"> équitable. </w:t>
      </w:r>
      <w:r w:rsidR="00200505" w:rsidRPr="00605771">
        <w:t>L</w:t>
      </w:r>
      <w:r w:rsidR="00605771" w:rsidRPr="00605771">
        <w:t>’</w:t>
      </w:r>
      <w:r w:rsidR="003721E0" w:rsidRPr="00605771">
        <w:t>intéressée</w:t>
      </w:r>
      <w:r w:rsidR="00200505" w:rsidRPr="00605771">
        <w:t xml:space="preserve"> </w:t>
      </w:r>
      <w:r w:rsidR="000779FA" w:rsidRPr="00605771">
        <w:t xml:space="preserve">dit aussi </w:t>
      </w:r>
      <w:r w:rsidR="00200505" w:rsidRPr="00605771">
        <w:t>que</w:t>
      </w:r>
      <w:r w:rsidR="00D77B3F" w:rsidRPr="00605771">
        <w:t xml:space="preserve"> les autorités de police n</w:t>
      </w:r>
      <w:r w:rsidR="00605771" w:rsidRPr="00605771">
        <w:t>’</w:t>
      </w:r>
      <w:r w:rsidR="00D77B3F" w:rsidRPr="00605771">
        <w:t>ont pas fai</w:t>
      </w:r>
      <w:r w:rsidR="003721E0" w:rsidRPr="00605771">
        <w:t>t d</w:t>
      </w:r>
      <w:r w:rsidR="00605771" w:rsidRPr="00605771">
        <w:t>’</w:t>
      </w:r>
      <w:r w:rsidR="003721E0" w:rsidRPr="00605771">
        <w:t xml:space="preserve">efforts </w:t>
      </w:r>
      <w:r w:rsidR="004E6713" w:rsidRPr="00605771">
        <w:t xml:space="preserve">pour </w:t>
      </w:r>
      <w:r w:rsidR="003721E0" w:rsidRPr="00605771">
        <w:t>arrêter sa</w:t>
      </w:r>
      <w:r w:rsidR="00D77B3F" w:rsidRPr="00605771">
        <w:t xml:space="preserve"> proxénète, </w:t>
      </w:r>
      <w:r w:rsidR="000779FA" w:rsidRPr="00605771">
        <w:t>alors qu</w:t>
      </w:r>
      <w:r w:rsidR="00605771" w:rsidRPr="00605771">
        <w:t>’</w:t>
      </w:r>
      <w:r w:rsidR="000779FA" w:rsidRPr="00605771">
        <w:t>elles auraient disposé des</w:t>
      </w:r>
      <w:r w:rsidR="00D77B3F" w:rsidRPr="00605771">
        <w:t xml:space="preserve"> coordonné</w:t>
      </w:r>
      <w:r w:rsidR="004E6713" w:rsidRPr="00605771">
        <w:t xml:space="preserve">es de cette dernière </w:t>
      </w:r>
      <w:r w:rsidR="00E656C8" w:rsidRPr="00605771">
        <w:t xml:space="preserve">depuis </w:t>
      </w:r>
      <w:r w:rsidR="00D77B3F" w:rsidRPr="00605771">
        <w:t xml:space="preserve">le début. </w:t>
      </w:r>
      <w:r w:rsidR="00D11F29" w:rsidRPr="00605771">
        <w:t>Elle</w:t>
      </w:r>
      <w:r w:rsidR="00E0676C" w:rsidRPr="00605771">
        <w:t xml:space="preserve"> soutient encore qu</w:t>
      </w:r>
      <w:r w:rsidR="00605771" w:rsidRPr="00605771">
        <w:t>’</w:t>
      </w:r>
      <w:r w:rsidR="00E0676C" w:rsidRPr="00605771">
        <w:t>elle n</w:t>
      </w:r>
      <w:r w:rsidR="00605771" w:rsidRPr="00605771">
        <w:t>’</w:t>
      </w:r>
      <w:r w:rsidR="00E0676C" w:rsidRPr="00605771">
        <w:t>a pas bénéficié d</w:t>
      </w:r>
      <w:r w:rsidR="00605771" w:rsidRPr="00605771">
        <w:t>’</w:t>
      </w:r>
      <w:r w:rsidR="00E0676C" w:rsidRPr="00605771">
        <w:t>une assistance matérielle et psychologique suffisante.</w:t>
      </w:r>
    </w:p>
    <w:p w:rsidR="00CD43BE" w:rsidRPr="00605771" w:rsidRDefault="00CD43BE"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112</w:t>
      </w:r>
      <w:r w:rsidRPr="00605771">
        <w:fldChar w:fldCharType="end"/>
      </w:r>
      <w:r w:rsidRPr="00605771">
        <w:t xml:space="preserve">.  La </w:t>
      </w:r>
      <w:r w:rsidR="00D11F29" w:rsidRPr="00605771">
        <w:t xml:space="preserve">troisième </w:t>
      </w:r>
      <w:r w:rsidRPr="00605771">
        <w:t>requérante</w:t>
      </w:r>
      <w:r w:rsidR="00112C6B" w:rsidRPr="00605771">
        <w:t xml:space="preserve"> </w:t>
      </w:r>
      <w:r w:rsidRPr="00605771">
        <w:t xml:space="preserve">allègue </w:t>
      </w:r>
      <w:r w:rsidR="00D11F29" w:rsidRPr="00605771">
        <w:t>également</w:t>
      </w:r>
      <w:r w:rsidRPr="00605771">
        <w:t xml:space="preserve"> que les poursuites concernant la traite des êtres humains</w:t>
      </w:r>
      <w:r w:rsidR="00F4048D" w:rsidRPr="00605771">
        <w:t xml:space="preserve"> n</w:t>
      </w:r>
      <w:r w:rsidR="00605771" w:rsidRPr="00605771">
        <w:t>’</w:t>
      </w:r>
      <w:r w:rsidR="00F4048D" w:rsidRPr="00605771">
        <w:t>ont pas donné lieu à un examen approfondi des circonstances ayant entouré les faits en cause</w:t>
      </w:r>
      <w:r w:rsidR="0047037F" w:rsidRPr="00605771">
        <w:t>, puisqu</w:t>
      </w:r>
      <w:r w:rsidR="00F4048D" w:rsidRPr="00605771">
        <w:t>e, selon elle, les autorités de police ont</w:t>
      </w:r>
      <w:r w:rsidRPr="00605771">
        <w:t xml:space="preserve"> limité l</w:t>
      </w:r>
      <w:r w:rsidR="00605771" w:rsidRPr="00605771">
        <w:t>’</w:t>
      </w:r>
      <w:r w:rsidRPr="00605771">
        <w:t xml:space="preserve">enquête aux auteurs </w:t>
      </w:r>
      <w:r w:rsidR="0008386B" w:rsidRPr="00605771">
        <w:t xml:space="preserve">présumés </w:t>
      </w:r>
      <w:r w:rsidR="00B15846" w:rsidRPr="00605771">
        <w:t xml:space="preserve">des faits </w:t>
      </w:r>
      <w:r w:rsidRPr="00605771">
        <w:t>séjournant en Grèce</w:t>
      </w:r>
      <w:r w:rsidR="00343A99" w:rsidRPr="00605771">
        <w:t xml:space="preserve"> et </w:t>
      </w:r>
      <w:r w:rsidR="00857E57" w:rsidRPr="00605771">
        <w:t>n</w:t>
      </w:r>
      <w:r w:rsidR="00605771" w:rsidRPr="00605771">
        <w:t>’</w:t>
      </w:r>
      <w:r w:rsidR="00F4048D" w:rsidRPr="00605771">
        <w:t>o</w:t>
      </w:r>
      <w:r w:rsidR="00857E57" w:rsidRPr="00605771">
        <w:t>nt</w:t>
      </w:r>
      <w:r w:rsidR="00343A99" w:rsidRPr="00605771">
        <w:t xml:space="preserve"> pas coopéré avec leur</w:t>
      </w:r>
      <w:r w:rsidR="00857E57" w:rsidRPr="00605771">
        <w:t>s homologues</w:t>
      </w:r>
      <w:r w:rsidR="00343A99" w:rsidRPr="00605771">
        <w:t xml:space="preserve"> russes</w:t>
      </w:r>
      <w:r w:rsidRPr="00605771">
        <w:t xml:space="preserve">. </w:t>
      </w:r>
      <w:r w:rsidR="0061564C" w:rsidRPr="00605771">
        <w:t>Sur ce point</w:t>
      </w:r>
      <w:r w:rsidR="00B15846" w:rsidRPr="00605771">
        <w:t xml:space="preserve">, elle </w:t>
      </w:r>
      <w:r w:rsidR="0061564C" w:rsidRPr="00605771">
        <w:t>indique</w:t>
      </w:r>
      <w:r w:rsidR="00B15846" w:rsidRPr="00605771">
        <w:t xml:space="preserve"> que</w:t>
      </w:r>
      <w:r w:rsidRPr="00605771">
        <w:t xml:space="preserve"> </w:t>
      </w:r>
      <w:r w:rsidR="00B15846" w:rsidRPr="00605771">
        <w:t>la direction de la sécurité de</w:t>
      </w:r>
      <w:r w:rsidR="00CB6282" w:rsidRPr="00605771">
        <w:t xml:space="preserve"> la police</w:t>
      </w:r>
      <w:r w:rsidR="00B15846" w:rsidRPr="00605771">
        <w:t xml:space="preserve"> </w:t>
      </w:r>
      <w:r w:rsidR="00CB6282" w:rsidRPr="00605771">
        <w:t xml:space="preserve">de </w:t>
      </w:r>
      <w:r w:rsidR="00B15846" w:rsidRPr="00605771">
        <w:t>l</w:t>
      </w:r>
      <w:r w:rsidR="00605771" w:rsidRPr="00605771">
        <w:t>’</w:t>
      </w:r>
      <w:r w:rsidR="00B15846" w:rsidRPr="00605771">
        <w:t xml:space="preserve">Attique </w:t>
      </w:r>
      <w:r w:rsidR="0061564C" w:rsidRPr="00605771">
        <w:t>avait</w:t>
      </w:r>
      <w:r w:rsidR="00BC1649" w:rsidRPr="00605771">
        <w:t xml:space="preserve"> pourtant </w:t>
      </w:r>
      <w:r w:rsidR="0061564C" w:rsidRPr="00605771">
        <w:t>été</w:t>
      </w:r>
      <w:r w:rsidR="00B15846" w:rsidRPr="00605771">
        <w:t xml:space="preserve"> informée, </w:t>
      </w:r>
      <w:r w:rsidR="00BC1649" w:rsidRPr="00605771">
        <w:t xml:space="preserve">le 10 février 2004, </w:t>
      </w:r>
      <w:r w:rsidR="00B15846" w:rsidRPr="00605771">
        <w:t xml:space="preserve">par </w:t>
      </w:r>
      <w:r w:rsidRPr="00605771">
        <w:t>le département d</w:t>
      </w:r>
      <w:r w:rsidR="00605771" w:rsidRPr="00605771">
        <w:t>’</w:t>
      </w:r>
      <w:r w:rsidRPr="00605771">
        <w:t>Interpol de la police hellénique</w:t>
      </w:r>
      <w:r w:rsidR="00B15846" w:rsidRPr="00605771">
        <w:t xml:space="preserve">, </w:t>
      </w:r>
      <w:r w:rsidRPr="00605771">
        <w:t>que les autorités russes enquêtaient sur l</w:t>
      </w:r>
      <w:r w:rsidR="00605771" w:rsidRPr="00605771">
        <w:t>’</w:t>
      </w:r>
      <w:r w:rsidRPr="00605771">
        <w:t>agence de voyage « G », impliqué</w:t>
      </w:r>
      <w:r w:rsidR="00B15846" w:rsidRPr="00605771">
        <w:t>e</w:t>
      </w:r>
      <w:r w:rsidRPr="00605771">
        <w:t xml:space="preserve"> </w:t>
      </w:r>
      <w:r w:rsidR="00B15846" w:rsidRPr="00605771">
        <w:t xml:space="preserve">dans des </w:t>
      </w:r>
      <w:r w:rsidRPr="00605771">
        <w:t xml:space="preserve">actes de prostitution (paragraphe </w:t>
      </w:r>
      <w:r w:rsidRPr="00605771">
        <w:fldChar w:fldCharType="begin"/>
      </w:r>
      <w:r w:rsidRPr="00605771">
        <w:instrText xml:space="preserve"> REF InterpolRussie \h </w:instrText>
      </w:r>
      <w:r w:rsidR="00D11F29" w:rsidRPr="00605771">
        <w:instrText xml:space="preserve"> \* MERGEFORMAT </w:instrText>
      </w:r>
      <w:r w:rsidRPr="00605771">
        <w:fldChar w:fldCharType="separate"/>
      </w:r>
      <w:r w:rsidR="00605771" w:rsidRPr="00605771">
        <w:rPr>
          <w:noProof/>
        </w:rPr>
        <w:t>21</w:t>
      </w:r>
      <w:r w:rsidRPr="00605771">
        <w:fldChar w:fldCharType="end"/>
      </w:r>
      <w:r w:rsidRPr="00605771">
        <w:t xml:space="preserve"> ci</w:t>
      </w:r>
      <w:r w:rsidR="0061564C" w:rsidRPr="00605771">
        <w:noBreakHyphen/>
      </w:r>
      <w:r w:rsidRPr="00605771">
        <w:t>dessus).</w:t>
      </w:r>
    </w:p>
    <w:p w:rsidR="002C7F5B" w:rsidRPr="00605771" w:rsidRDefault="00405F95"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113</w:t>
      </w:r>
      <w:r w:rsidRPr="00605771">
        <w:fldChar w:fldCharType="end"/>
      </w:r>
      <w:r w:rsidRPr="00605771">
        <w:t>.  </w:t>
      </w:r>
      <w:r w:rsidR="009E3A26" w:rsidRPr="00605771">
        <w:t xml:space="preserve">Cette </w:t>
      </w:r>
      <w:r w:rsidRPr="00605771">
        <w:t xml:space="preserve">requérante ajoute que la procédure </w:t>
      </w:r>
      <w:r w:rsidR="00263DC4" w:rsidRPr="00605771">
        <w:t xml:space="preserve">relative </w:t>
      </w:r>
      <w:r w:rsidR="0037650A" w:rsidRPr="00605771">
        <w:t>aux</w:t>
      </w:r>
      <w:r w:rsidR="00CA4234" w:rsidRPr="00605771">
        <w:t xml:space="preserve"> faits d</w:t>
      </w:r>
      <w:r w:rsidR="00605771" w:rsidRPr="00605771">
        <w:t>’</w:t>
      </w:r>
      <w:r w:rsidR="00CA4234" w:rsidRPr="00605771">
        <w:t xml:space="preserve">exploitation la concernant </w:t>
      </w:r>
      <w:r w:rsidR="0037650A" w:rsidRPr="00605771">
        <w:t>était</w:t>
      </w:r>
      <w:r w:rsidRPr="00605771">
        <w:t xml:space="preserve"> </w:t>
      </w:r>
      <w:r w:rsidR="00263DC4" w:rsidRPr="00605771">
        <w:t>d</w:t>
      </w:r>
      <w:r w:rsidR="00605771" w:rsidRPr="00605771">
        <w:t>’</w:t>
      </w:r>
      <w:r w:rsidR="00263DC4" w:rsidRPr="00605771">
        <w:t xml:space="preserve">une durée </w:t>
      </w:r>
      <w:r w:rsidRPr="00605771">
        <w:t>excessive</w:t>
      </w:r>
      <w:r w:rsidR="00C65E3A" w:rsidRPr="00605771">
        <w:t xml:space="preserve"> et </w:t>
      </w:r>
      <w:r w:rsidR="00263DC4" w:rsidRPr="00605771">
        <w:t>qu</w:t>
      </w:r>
      <w:r w:rsidR="00605771" w:rsidRPr="00605771">
        <w:t>’</w:t>
      </w:r>
      <w:r w:rsidR="00263DC4" w:rsidRPr="00605771">
        <w:t>elle</w:t>
      </w:r>
      <w:r w:rsidR="00C65E3A" w:rsidRPr="00605771">
        <w:t xml:space="preserve"> a pris fin huit ans après </w:t>
      </w:r>
      <w:r w:rsidR="00263DC4" w:rsidRPr="00605771">
        <w:t>les faits en cause</w:t>
      </w:r>
      <w:r w:rsidR="00C65E3A" w:rsidRPr="00605771">
        <w:t>.</w:t>
      </w:r>
      <w:r w:rsidRPr="00605771">
        <w:t xml:space="preserve"> </w:t>
      </w:r>
      <w:r w:rsidR="00C65E3A" w:rsidRPr="00605771">
        <w:t xml:space="preserve">Elle indique </w:t>
      </w:r>
      <w:r w:rsidR="00EA63C1" w:rsidRPr="00605771">
        <w:t>aussi</w:t>
      </w:r>
      <w:r w:rsidR="00C65E3A" w:rsidRPr="00605771">
        <w:t xml:space="preserve"> que</w:t>
      </w:r>
      <w:r w:rsidRPr="00605771">
        <w:t xml:space="preserve"> </w:t>
      </w:r>
      <w:r w:rsidR="008F51BC" w:rsidRPr="00605771">
        <w:t>l</w:t>
      </w:r>
      <w:r w:rsidR="00605771" w:rsidRPr="00605771">
        <w:t>’</w:t>
      </w:r>
      <w:r w:rsidR="008F51BC" w:rsidRPr="00605771">
        <w:t xml:space="preserve">on ne peut lui imputer </w:t>
      </w:r>
      <w:r w:rsidRPr="00605771">
        <w:t>l</w:t>
      </w:r>
      <w:r w:rsidR="001F5B2A" w:rsidRPr="00605771">
        <w:t xml:space="preserve">es </w:t>
      </w:r>
      <w:r w:rsidRPr="00605771">
        <w:t>ajournement</w:t>
      </w:r>
      <w:r w:rsidR="001F5B2A" w:rsidRPr="00605771">
        <w:t>s</w:t>
      </w:r>
      <w:r w:rsidRPr="00605771">
        <w:t xml:space="preserve"> d</w:t>
      </w:r>
      <w:r w:rsidR="00605771" w:rsidRPr="00605771">
        <w:t>’</w:t>
      </w:r>
      <w:r w:rsidRPr="00605771">
        <w:t>a</w:t>
      </w:r>
      <w:r w:rsidR="001F5B2A" w:rsidRPr="00605771">
        <w:t>udience</w:t>
      </w:r>
      <w:r w:rsidRPr="00605771">
        <w:t xml:space="preserve"> devant </w:t>
      </w:r>
      <w:r w:rsidR="003721E0" w:rsidRPr="00605771">
        <w:t>la cour d</w:t>
      </w:r>
      <w:r w:rsidR="00605771" w:rsidRPr="00605771">
        <w:t>’</w:t>
      </w:r>
      <w:r w:rsidR="003721E0" w:rsidRPr="00605771">
        <w:t>appel criminelle de Thessalonique</w:t>
      </w:r>
      <w:r w:rsidRPr="00605771">
        <w:t xml:space="preserve">, </w:t>
      </w:r>
      <w:r w:rsidR="000F6D1F" w:rsidRPr="00605771">
        <w:t xml:space="preserve">au motif que </w:t>
      </w:r>
      <w:r w:rsidR="008F51BC" w:rsidRPr="00605771">
        <w:t>ce</w:t>
      </w:r>
      <w:r w:rsidR="001F5B2A" w:rsidRPr="00605771">
        <w:t>ux</w:t>
      </w:r>
      <w:r w:rsidR="008F51BC" w:rsidRPr="00605771">
        <w:t xml:space="preserve">-ci </w:t>
      </w:r>
      <w:r w:rsidR="000F6D1F" w:rsidRPr="00605771">
        <w:t>étai</w:t>
      </w:r>
      <w:r w:rsidR="001F5B2A" w:rsidRPr="00605771">
        <w:t>en</w:t>
      </w:r>
      <w:r w:rsidR="000F6D1F" w:rsidRPr="00605771">
        <w:t>t</w:t>
      </w:r>
      <w:r w:rsidR="00263DC4" w:rsidRPr="00605771">
        <w:t xml:space="preserve"> d</w:t>
      </w:r>
      <w:r w:rsidR="001F5B2A" w:rsidRPr="00605771">
        <w:t xml:space="preserve">us </w:t>
      </w:r>
      <w:r w:rsidR="00263DC4" w:rsidRPr="00605771">
        <w:t xml:space="preserve">à </w:t>
      </w:r>
      <w:r w:rsidR="008F51BC" w:rsidRPr="00605771">
        <w:t>des</w:t>
      </w:r>
      <w:r w:rsidRPr="00605771">
        <w:t xml:space="preserve"> grève</w:t>
      </w:r>
      <w:r w:rsidR="008F51BC" w:rsidRPr="00605771">
        <w:t>s</w:t>
      </w:r>
      <w:r w:rsidRPr="00605771">
        <w:t xml:space="preserve"> d</w:t>
      </w:r>
      <w:r w:rsidR="00263DC4" w:rsidRPr="00605771">
        <w:t xml:space="preserve">es </w:t>
      </w:r>
      <w:r w:rsidRPr="00605771">
        <w:t>avocats</w:t>
      </w:r>
      <w:r w:rsidR="00263DC4" w:rsidRPr="00605771">
        <w:t xml:space="preserve"> </w:t>
      </w:r>
      <w:r w:rsidR="008F51BC" w:rsidRPr="00605771">
        <w:t>qui auraient</w:t>
      </w:r>
      <w:r w:rsidRPr="00605771">
        <w:t xml:space="preserve"> affecté tous les avocats impliqués, y compris ceux de la défense.</w:t>
      </w:r>
    </w:p>
    <w:p w:rsidR="002C7F5B" w:rsidRPr="00605771" w:rsidRDefault="00876B27"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114</w:t>
      </w:r>
      <w:r w:rsidRPr="00605771">
        <w:fldChar w:fldCharType="end"/>
      </w:r>
      <w:r w:rsidRPr="00605771">
        <w:t>.  </w:t>
      </w:r>
      <w:r w:rsidR="00C65E3A" w:rsidRPr="00605771">
        <w:t xml:space="preserve">La </w:t>
      </w:r>
      <w:r w:rsidR="00263DC4" w:rsidRPr="00605771">
        <w:t xml:space="preserve">troisième </w:t>
      </w:r>
      <w:r w:rsidR="00C65E3A" w:rsidRPr="00605771">
        <w:t xml:space="preserve">requérante soutient </w:t>
      </w:r>
      <w:r w:rsidRPr="00605771">
        <w:t xml:space="preserve">en outre </w:t>
      </w:r>
      <w:r w:rsidR="00C65E3A" w:rsidRPr="00605771">
        <w:t xml:space="preserve">que les peines </w:t>
      </w:r>
      <w:r w:rsidR="00507AB3" w:rsidRPr="00605771">
        <w:t>d</w:t>
      </w:r>
      <w:r w:rsidR="00605771" w:rsidRPr="00605771">
        <w:t>’</w:t>
      </w:r>
      <w:r w:rsidR="00507AB3" w:rsidRPr="00605771">
        <w:t xml:space="preserve">emprisonnement </w:t>
      </w:r>
      <w:r w:rsidR="00C65E3A" w:rsidRPr="00605771">
        <w:t xml:space="preserve">imposées aux auteurs des faits, </w:t>
      </w:r>
      <w:r w:rsidR="00507AB3" w:rsidRPr="00605771">
        <w:t>d</w:t>
      </w:r>
      <w:r w:rsidR="00605771" w:rsidRPr="00605771">
        <w:t>’</w:t>
      </w:r>
      <w:r w:rsidR="00507AB3" w:rsidRPr="00605771">
        <w:t>une durée de</w:t>
      </w:r>
      <w:r w:rsidR="00C65E3A" w:rsidRPr="00605771">
        <w:t xml:space="preserve"> cinq ans et dix mois, </w:t>
      </w:r>
      <w:r w:rsidR="00507AB3" w:rsidRPr="00605771">
        <w:t>n</w:t>
      </w:r>
      <w:r w:rsidR="00605771" w:rsidRPr="00605771">
        <w:t>’</w:t>
      </w:r>
      <w:r w:rsidR="00B366A6" w:rsidRPr="00605771">
        <w:t>étaient pas en adéquation avec</w:t>
      </w:r>
      <w:r w:rsidR="00C65E3A" w:rsidRPr="00605771">
        <w:t xml:space="preserve"> la gravité des crimes commis</w:t>
      </w:r>
      <w:r w:rsidR="002D37A4" w:rsidRPr="00605771">
        <w:t xml:space="preserve">, </w:t>
      </w:r>
      <w:r w:rsidR="001A5BE6" w:rsidRPr="00605771">
        <w:lastRenderedPageBreak/>
        <w:t xml:space="preserve">notamment </w:t>
      </w:r>
      <w:r w:rsidR="00457E9B" w:rsidRPr="00605771">
        <w:t xml:space="preserve">eu égard </w:t>
      </w:r>
      <w:r w:rsidR="008A63F5" w:rsidRPr="00605771">
        <w:t>à</w:t>
      </w:r>
      <w:r w:rsidR="00457E9B" w:rsidRPr="00605771">
        <w:t xml:space="preserve"> la </w:t>
      </w:r>
      <w:r w:rsidR="00EC5404" w:rsidRPr="00605771">
        <w:t>reconnaissance de la culpabilité des</w:t>
      </w:r>
      <w:r w:rsidR="001A5BE6" w:rsidRPr="00605771">
        <w:t xml:space="preserve"> </w:t>
      </w:r>
      <w:r w:rsidR="00EC5404" w:rsidRPr="00605771">
        <w:t>accusés du</w:t>
      </w:r>
      <w:r w:rsidR="00457E9B" w:rsidRPr="00605771">
        <w:t xml:space="preserve"> chef de </w:t>
      </w:r>
      <w:r w:rsidR="001A5BE6" w:rsidRPr="00605771">
        <w:t xml:space="preserve">traite </w:t>
      </w:r>
      <w:r w:rsidR="0036223D" w:rsidRPr="00605771">
        <w:t xml:space="preserve">des êtres humains </w:t>
      </w:r>
      <w:r w:rsidR="003721E0" w:rsidRPr="00605771">
        <w:t>à l</w:t>
      </w:r>
      <w:r w:rsidR="00605771" w:rsidRPr="00605771">
        <w:t>’</w:t>
      </w:r>
      <w:r w:rsidR="003721E0" w:rsidRPr="00605771">
        <w:t>encontre de trois victimes</w:t>
      </w:r>
      <w:r w:rsidR="00C65E3A" w:rsidRPr="00605771">
        <w:t>.</w:t>
      </w:r>
    </w:p>
    <w:p w:rsidR="00D621DE" w:rsidRPr="00605771" w:rsidRDefault="000E2E99"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115</w:t>
      </w:r>
      <w:r w:rsidRPr="00605771">
        <w:fldChar w:fldCharType="end"/>
      </w:r>
      <w:r w:rsidRPr="00605771">
        <w:t>.  </w:t>
      </w:r>
      <w:r w:rsidR="00A06DFC" w:rsidRPr="00605771">
        <w:t>Quant aux</w:t>
      </w:r>
      <w:r w:rsidRPr="00605771">
        <w:t xml:space="preserve"> </w:t>
      </w:r>
      <w:r w:rsidR="00A06DFC" w:rsidRPr="00605771">
        <w:t xml:space="preserve">deux </w:t>
      </w:r>
      <w:r w:rsidRPr="00605771">
        <w:t>première</w:t>
      </w:r>
      <w:r w:rsidR="00A06DFC" w:rsidRPr="00605771">
        <w:t>s</w:t>
      </w:r>
      <w:r w:rsidRPr="00605771">
        <w:t xml:space="preserve"> requérante</w:t>
      </w:r>
      <w:r w:rsidR="00A06DFC" w:rsidRPr="00605771">
        <w:t>s, elles</w:t>
      </w:r>
      <w:r w:rsidRPr="00605771">
        <w:t xml:space="preserve"> </w:t>
      </w:r>
      <w:r w:rsidR="0039122E" w:rsidRPr="00605771">
        <w:t>dénoncent</w:t>
      </w:r>
      <w:r w:rsidRPr="00605771">
        <w:t xml:space="preserve"> la durée de la procédure </w:t>
      </w:r>
      <w:r w:rsidR="00A06DFC" w:rsidRPr="00605771">
        <w:t>relative aux faits d</w:t>
      </w:r>
      <w:r w:rsidR="00605771" w:rsidRPr="00605771">
        <w:t>’</w:t>
      </w:r>
      <w:r w:rsidR="00A06DFC" w:rsidRPr="00605771">
        <w:t>exploitation les concernant</w:t>
      </w:r>
      <w:r w:rsidRPr="00605771">
        <w:t xml:space="preserve"> </w:t>
      </w:r>
      <w:r w:rsidR="0039122E" w:rsidRPr="00605771">
        <w:t>en ce qu</w:t>
      </w:r>
      <w:r w:rsidR="00605771" w:rsidRPr="00605771">
        <w:t>’</w:t>
      </w:r>
      <w:r w:rsidR="0039122E" w:rsidRPr="00605771">
        <w:t>elle aurait été</w:t>
      </w:r>
      <w:r w:rsidR="00037787" w:rsidRPr="00605771">
        <w:t xml:space="preserve"> </w:t>
      </w:r>
      <w:r w:rsidRPr="00605771">
        <w:t xml:space="preserve">excessive. </w:t>
      </w:r>
      <w:r w:rsidR="0039122E" w:rsidRPr="00605771">
        <w:t>À cet égard, e</w:t>
      </w:r>
      <w:r w:rsidR="00933CFA" w:rsidRPr="00605771">
        <w:t>lles</w:t>
      </w:r>
      <w:r w:rsidR="003721E0" w:rsidRPr="00605771">
        <w:t xml:space="preserve"> </w:t>
      </w:r>
      <w:r w:rsidR="0039122E" w:rsidRPr="00605771">
        <w:t>précisent</w:t>
      </w:r>
      <w:r w:rsidR="003721E0" w:rsidRPr="00605771">
        <w:t xml:space="preserve"> </w:t>
      </w:r>
      <w:r w:rsidR="00933CFA" w:rsidRPr="00605771">
        <w:t>que la procédure en cause a débuté en 2003, lors</w:t>
      </w:r>
      <w:r w:rsidR="0039122E" w:rsidRPr="00605771">
        <w:t xml:space="preserve"> du recueil de leurs</w:t>
      </w:r>
      <w:r w:rsidR="00933CFA" w:rsidRPr="00605771">
        <w:t xml:space="preserve"> dépos</w:t>
      </w:r>
      <w:r w:rsidR="0039122E" w:rsidRPr="00605771">
        <w:t xml:space="preserve">itions </w:t>
      </w:r>
      <w:r w:rsidR="003721E0" w:rsidRPr="00605771">
        <w:t xml:space="preserve">en tant que </w:t>
      </w:r>
      <w:r w:rsidR="00933CFA" w:rsidRPr="00605771">
        <w:t>témoins</w:t>
      </w:r>
      <w:r w:rsidR="0039122E" w:rsidRPr="00605771">
        <w:t>,</w:t>
      </w:r>
      <w:r w:rsidR="00933CFA" w:rsidRPr="00605771">
        <w:t> et qu</w:t>
      </w:r>
      <w:r w:rsidR="00605771" w:rsidRPr="00605771">
        <w:t>’</w:t>
      </w:r>
      <w:r w:rsidR="00797A41" w:rsidRPr="00605771">
        <w:t>elle doit être considérée comme pendante</w:t>
      </w:r>
      <w:r w:rsidR="0039122E" w:rsidRPr="00605771">
        <w:t>, l</w:t>
      </w:r>
      <w:r w:rsidR="00605771" w:rsidRPr="00605771">
        <w:t>’</w:t>
      </w:r>
      <w:r w:rsidR="00294596" w:rsidRPr="00605771">
        <w:t xml:space="preserve">un des </w:t>
      </w:r>
      <w:r w:rsidR="0039122E" w:rsidRPr="00605771">
        <w:t>auteur</w:t>
      </w:r>
      <w:r w:rsidR="00294596" w:rsidRPr="00605771">
        <w:t xml:space="preserve">s </w:t>
      </w:r>
      <w:r w:rsidR="000C39E3" w:rsidRPr="00605771">
        <w:t xml:space="preserve">présumés </w:t>
      </w:r>
      <w:r w:rsidR="0039122E" w:rsidRPr="00605771">
        <w:t xml:space="preserve">des faits </w:t>
      </w:r>
      <w:r w:rsidR="00797A41" w:rsidRPr="00605771">
        <w:t>ayant échappé à la justice et demeurant introuvable</w:t>
      </w:r>
      <w:r w:rsidR="00933CFA" w:rsidRPr="00605771">
        <w:t xml:space="preserve">. </w:t>
      </w:r>
      <w:r w:rsidRPr="00605771">
        <w:t xml:space="preserve">Elles </w:t>
      </w:r>
      <w:r w:rsidR="0039122E" w:rsidRPr="00605771">
        <w:t>indiquent</w:t>
      </w:r>
      <w:r w:rsidRPr="00605771">
        <w:t xml:space="preserve"> </w:t>
      </w:r>
      <w:r w:rsidR="00933CFA" w:rsidRPr="00605771">
        <w:t>en outre</w:t>
      </w:r>
      <w:r w:rsidRPr="00605771">
        <w:t xml:space="preserve"> que leur affaire a été jugée en première instance presque dix ans après </w:t>
      </w:r>
      <w:r w:rsidR="0039122E" w:rsidRPr="00605771">
        <w:t>les faits d</w:t>
      </w:r>
      <w:r w:rsidR="00605771" w:rsidRPr="00605771">
        <w:t>’</w:t>
      </w:r>
      <w:r w:rsidRPr="00605771">
        <w:t>exploitation</w:t>
      </w:r>
      <w:r w:rsidR="0039122E" w:rsidRPr="00605771">
        <w:t xml:space="preserve"> commis à leur encontre</w:t>
      </w:r>
      <w:r w:rsidRPr="00605771">
        <w:t xml:space="preserve">. Elles </w:t>
      </w:r>
      <w:r w:rsidR="00193603" w:rsidRPr="00605771">
        <w:t>disent aussi</w:t>
      </w:r>
      <w:r w:rsidRPr="00605771">
        <w:t xml:space="preserve"> qu</w:t>
      </w:r>
      <w:r w:rsidR="0039122E" w:rsidRPr="00605771">
        <w:t>e seuls</w:t>
      </w:r>
      <w:r w:rsidRPr="00605771">
        <w:t xml:space="preserve"> deux des auteurs </w:t>
      </w:r>
      <w:r w:rsidR="00EB113A" w:rsidRPr="00605771">
        <w:t xml:space="preserve">présumés </w:t>
      </w:r>
      <w:r w:rsidRPr="00605771">
        <w:t>des faits ont été jugés et acquittés</w:t>
      </w:r>
      <w:r w:rsidR="0039122E" w:rsidRPr="00605771">
        <w:t>,</w:t>
      </w:r>
      <w:r w:rsidRPr="00605771">
        <w:t xml:space="preserve"> et </w:t>
      </w:r>
      <w:r w:rsidR="0039122E" w:rsidRPr="00605771">
        <w:t xml:space="preserve">elles </w:t>
      </w:r>
      <w:r w:rsidRPr="00605771">
        <w:t>estiment que</w:t>
      </w:r>
      <w:r w:rsidR="0039122E" w:rsidRPr="00605771">
        <w:t>,</w:t>
      </w:r>
      <w:r w:rsidRPr="00605771">
        <w:t xml:space="preserve"> si les autorités avaient arrêté N.M. </w:t>
      </w:r>
      <w:r w:rsidR="0039122E" w:rsidRPr="00605771">
        <w:t xml:space="preserve">au moment de la dénonciation de cette dernière par </w:t>
      </w:r>
      <w:r w:rsidRPr="00605771">
        <w:t xml:space="preserve">elles, la durée de la procédure aurait été moins longue. Or, </w:t>
      </w:r>
      <w:r w:rsidR="00037787" w:rsidRPr="00605771">
        <w:t>selon les</w:t>
      </w:r>
      <w:r w:rsidR="0039122E" w:rsidRPr="00605771">
        <w:t>dites</w:t>
      </w:r>
      <w:r w:rsidR="00037787" w:rsidRPr="00605771">
        <w:t xml:space="preserve"> requérantes, les autorités</w:t>
      </w:r>
      <w:r w:rsidRPr="00605771">
        <w:t xml:space="preserve"> n</w:t>
      </w:r>
      <w:r w:rsidR="00605771" w:rsidRPr="00605771">
        <w:t>’</w:t>
      </w:r>
      <w:r w:rsidRPr="00605771">
        <w:t>ont pas entrepris des efforts afin d</w:t>
      </w:r>
      <w:r w:rsidR="00605771" w:rsidRPr="00605771">
        <w:t>’</w:t>
      </w:r>
      <w:r w:rsidRPr="00605771">
        <w:t xml:space="preserve">arrêter N.M., qui a réussi à fuir la justice. </w:t>
      </w:r>
      <w:r w:rsidR="0039122E" w:rsidRPr="00605771">
        <w:t xml:space="preserve">Les intéressées </w:t>
      </w:r>
      <w:r w:rsidR="00037787" w:rsidRPr="00605771">
        <w:t xml:space="preserve">ajoutent que, dans son arrêt </w:t>
      </w:r>
      <w:r w:rsidR="00037787" w:rsidRPr="00605771">
        <w:rPr>
          <w:i/>
        </w:rPr>
        <w:t>L.E.</w:t>
      </w:r>
      <w:r w:rsidR="00037787" w:rsidRPr="00605771">
        <w:t xml:space="preserve"> </w:t>
      </w:r>
      <w:r w:rsidR="00037787" w:rsidRPr="00605771">
        <w:rPr>
          <w:i/>
        </w:rPr>
        <w:t>c. Grèce</w:t>
      </w:r>
      <w:r w:rsidR="00037787" w:rsidRPr="00605771">
        <w:t xml:space="preserve"> </w:t>
      </w:r>
      <w:r w:rsidR="0039122E" w:rsidRPr="00605771">
        <w:t>(</w:t>
      </w:r>
      <w:r w:rsidR="00037787" w:rsidRPr="00605771">
        <w:t>précité</w:t>
      </w:r>
      <w:r w:rsidR="0039122E" w:rsidRPr="00605771">
        <w:t>)</w:t>
      </w:r>
      <w:r w:rsidR="00037787" w:rsidRPr="00605771">
        <w:t>, la Cour avait déjà conclu à la violation de l</w:t>
      </w:r>
      <w:r w:rsidR="00605771" w:rsidRPr="00605771">
        <w:t>’</w:t>
      </w:r>
      <w:r w:rsidR="00037787" w:rsidRPr="00605771">
        <w:t xml:space="preserve">article 4 de la Convention </w:t>
      </w:r>
      <w:r w:rsidR="006D14D1" w:rsidRPr="00605771">
        <w:t xml:space="preserve">pour des faits identiques. </w:t>
      </w:r>
      <w:r w:rsidR="0039122E" w:rsidRPr="00605771">
        <w:t>Elles disent également</w:t>
      </w:r>
      <w:r w:rsidR="006D14D1" w:rsidRPr="00605771">
        <w:t xml:space="preserve"> qu</w:t>
      </w:r>
      <w:r w:rsidR="00605771" w:rsidRPr="00605771">
        <w:t>’</w:t>
      </w:r>
      <w:r w:rsidR="006D14D1" w:rsidRPr="00605771">
        <w:t>elles n</w:t>
      </w:r>
      <w:r w:rsidR="00605771" w:rsidRPr="00605771">
        <w:t>’</w:t>
      </w:r>
      <w:r w:rsidR="006D14D1" w:rsidRPr="00605771">
        <w:t>ont pas bénéficié d</w:t>
      </w:r>
      <w:r w:rsidR="00605771" w:rsidRPr="00605771">
        <w:t>’</w:t>
      </w:r>
      <w:r w:rsidR="006D14D1" w:rsidRPr="00605771">
        <w:t>une assistance matérielle et psychologique suffisante.</w:t>
      </w:r>
    </w:p>
    <w:p w:rsidR="002C7F5B" w:rsidRPr="00605771" w:rsidRDefault="00A31A42"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116</w:t>
      </w:r>
      <w:r w:rsidRPr="00605771">
        <w:fldChar w:fldCharType="end"/>
      </w:r>
      <w:r w:rsidRPr="00605771">
        <w:t>.  </w:t>
      </w:r>
      <w:r w:rsidR="00462D6C" w:rsidRPr="00605771">
        <w:t xml:space="preserve">Quant aux procédures </w:t>
      </w:r>
      <w:r w:rsidR="005F18CA" w:rsidRPr="00605771">
        <w:t xml:space="preserve">portant sur </w:t>
      </w:r>
      <w:r w:rsidR="00462D6C" w:rsidRPr="00605771">
        <w:t>la délivrance de</w:t>
      </w:r>
      <w:r w:rsidR="00156BED" w:rsidRPr="00605771">
        <w:t>s</w:t>
      </w:r>
      <w:r w:rsidR="00462D6C" w:rsidRPr="00605771">
        <w:t xml:space="preserve"> visa</w:t>
      </w:r>
      <w:r w:rsidR="00873B7E" w:rsidRPr="00605771">
        <w:t>s</w:t>
      </w:r>
      <w:r w:rsidR="00462D6C" w:rsidRPr="00605771">
        <w:t xml:space="preserve">, les </w:t>
      </w:r>
      <w:r w:rsidR="00156BED" w:rsidRPr="00605771">
        <w:t>requérantes</w:t>
      </w:r>
      <w:r w:rsidR="00462D6C" w:rsidRPr="00605771">
        <w:t xml:space="preserve"> </w:t>
      </w:r>
      <w:r w:rsidR="00156BED" w:rsidRPr="00605771">
        <w:t>reprochent aux</w:t>
      </w:r>
      <w:r w:rsidR="00D621DE" w:rsidRPr="00605771">
        <w:t xml:space="preserve"> autorités grecques </w:t>
      </w:r>
      <w:r w:rsidR="00156BED" w:rsidRPr="00605771">
        <w:t>de ne pas avoir agi plus rapidement</w:t>
      </w:r>
      <w:r w:rsidR="00907E06" w:rsidRPr="00605771">
        <w:t>,</w:t>
      </w:r>
      <w:r w:rsidR="00156BED" w:rsidRPr="00605771">
        <w:t xml:space="preserve"> en engageant</w:t>
      </w:r>
      <w:r w:rsidR="00D621DE" w:rsidRPr="00605771">
        <w:t xml:space="preserve"> d</w:t>
      </w:r>
      <w:r w:rsidR="00605771" w:rsidRPr="00605771">
        <w:t>’</w:t>
      </w:r>
      <w:r w:rsidR="00D621DE" w:rsidRPr="00605771">
        <w:t>office une enquête</w:t>
      </w:r>
      <w:r w:rsidR="00156BED" w:rsidRPr="00605771">
        <w:t xml:space="preserve">, </w:t>
      </w:r>
      <w:r w:rsidR="00907E06" w:rsidRPr="00605771">
        <w:t>et</w:t>
      </w:r>
      <w:r w:rsidR="00156BED" w:rsidRPr="00605771">
        <w:t xml:space="preserve"> d</w:t>
      </w:r>
      <w:r w:rsidR="00605771" w:rsidRPr="00605771">
        <w:t>’</w:t>
      </w:r>
      <w:r w:rsidR="00156BED" w:rsidRPr="00605771">
        <w:t xml:space="preserve">avoir </w:t>
      </w:r>
      <w:r w:rsidR="00D621DE" w:rsidRPr="00605771">
        <w:t>attend</w:t>
      </w:r>
      <w:r w:rsidR="00156BED" w:rsidRPr="00605771">
        <w:t>u leur dépôt de</w:t>
      </w:r>
      <w:r w:rsidR="00D621DE" w:rsidRPr="00605771">
        <w:t xml:space="preserve"> plainte à ce</w:t>
      </w:r>
      <w:r w:rsidR="00156BED" w:rsidRPr="00605771">
        <w:t xml:space="preserve"> sujet</w:t>
      </w:r>
      <w:r w:rsidR="00D621DE" w:rsidRPr="00605771">
        <w:t xml:space="preserve">. </w:t>
      </w:r>
      <w:r w:rsidR="00850858" w:rsidRPr="00605771">
        <w:t>Elle</w:t>
      </w:r>
      <w:r w:rsidR="00D726ED" w:rsidRPr="00605771">
        <w:t xml:space="preserve"> </w:t>
      </w:r>
      <w:r w:rsidR="00CD6017" w:rsidRPr="00605771">
        <w:t>dénoncent en outre</w:t>
      </w:r>
      <w:r w:rsidR="00D726ED" w:rsidRPr="00605771">
        <w:t xml:space="preserve"> le comportement de la direction de la sécurité de la police de l</w:t>
      </w:r>
      <w:r w:rsidR="00605771" w:rsidRPr="00605771">
        <w:t>’</w:t>
      </w:r>
      <w:r w:rsidR="00D726ED" w:rsidRPr="00605771">
        <w:t>Attique, qui aurait renvoyé le dossier de l</w:t>
      </w:r>
      <w:r w:rsidR="00605771" w:rsidRPr="00605771">
        <w:t>’</w:t>
      </w:r>
      <w:r w:rsidR="00D726ED" w:rsidRPr="00605771">
        <w:t>affaire trois ans après l</w:t>
      </w:r>
      <w:r w:rsidR="00605771" w:rsidRPr="00605771">
        <w:t>’</w:t>
      </w:r>
      <w:r w:rsidR="00D726ED" w:rsidRPr="00605771">
        <w:t>avoir reçu, à une époque où</w:t>
      </w:r>
      <w:r w:rsidR="00E17933" w:rsidRPr="00605771">
        <w:t xml:space="preserve"> les délits </w:t>
      </w:r>
      <w:r w:rsidR="00D726ED" w:rsidRPr="00605771">
        <w:t>auraient déjà été</w:t>
      </w:r>
      <w:r w:rsidR="00E17933" w:rsidRPr="00605771">
        <w:t xml:space="preserve"> prescrits. </w:t>
      </w:r>
      <w:r w:rsidR="0016188C" w:rsidRPr="00605771">
        <w:t>E</w:t>
      </w:r>
      <w:r w:rsidR="00BD7189" w:rsidRPr="00605771">
        <w:t>lles indiquent e</w:t>
      </w:r>
      <w:r w:rsidR="0016188C" w:rsidRPr="00605771">
        <w:t>n particulier</w:t>
      </w:r>
      <w:r w:rsidR="00BD7189" w:rsidRPr="00605771">
        <w:t xml:space="preserve"> que</w:t>
      </w:r>
      <w:r w:rsidR="0016188C" w:rsidRPr="00605771">
        <w:t xml:space="preserve"> la direction de </w:t>
      </w:r>
      <w:r w:rsidR="005731CC" w:rsidRPr="00605771">
        <w:t xml:space="preserve">la </w:t>
      </w:r>
      <w:r w:rsidR="0016188C" w:rsidRPr="00605771">
        <w:t>sécurité de la police de l</w:t>
      </w:r>
      <w:r w:rsidR="00605771" w:rsidRPr="00605771">
        <w:t>’</w:t>
      </w:r>
      <w:r w:rsidR="0016188C" w:rsidRPr="00605771">
        <w:t xml:space="preserve">Attique </w:t>
      </w:r>
      <w:r w:rsidR="00BD7189" w:rsidRPr="00605771">
        <w:t>s</w:t>
      </w:r>
      <w:r w:rsidR="00605771" w:rsidRPr="00605771">
        <w:t>’</w:t>
      </w:r>
      <w:r w:rsidR="00BD7189" w:rsidRPr="00605771">
        <w:t>est vu</w:t>
      </w:r>
      <w:r w:rsidR="0016188C" w:rsidRPr="00605771">
        <w:t xml:space="preserve"> ordonn</w:t>
      </w:r>
      <w:r w:rsidR="00BD7189" w:rsidRPr="00605771">
        <w:t>er</w:t>
      </w:r>
      <w:r w:rsidR="0016188C" w:rsidRPr="00605771">
        <w:t xml:space="preserve"> de mener une enquête le 30 octobre 2006, mais </w:t>
      </w:r>
      <w:r w:rsidR="00BD7189" w:rsidRPr="00605771">
        <w:t xml:space="preserve">que </w:t>
      </w:r>
      <w:r w:rsidR="0016188C" w:rsidRPr="00605771">
        <w:t>la plupart des dépositions des témoins n</w:t>
      </w:r>
      <w:r w:rsidR="00605771" w:rsidRPr="00605771">
        <w:t>’</w:t>
      </w:r>
      <w:r w:rsidR="00BD7189" w:rsidRPr="00605771">
        <w:t>ont été recueillies</w:t>
      </w:r>
      <w:r w:rsidR="0016188C" w:rsidRPr="00605771">
        <w:t xml:space="preserve"> qu</w:t>
      </w:r>
      <w:r w:rsidR="00605771" w:rsidRPr="00605771">
        <w:t>’</w:t>
      </w:r>
      <w:r w:rsidR="0016188C" w:rsidRPr="00605771">
        <w:t>entre septembre 2008 et mai 2009, soit deux ans plus tard</w:t>
      </w:r>
      <w:r w:rsidR="00AC1384" w:rsidRPr="00605771">
        <w:t>.</w:t>
      </w:r>
      <w:r w:rsidR="0016188C" w:rsidRPr="00605771">
        <w:t xml:space="preserve"> Elles </w:t>
      </w:r>
      <w:r w:rsidR="00BD7189" w:rsidRPr="00605771">
        <w:t>précis</w:t>
      </w:r>
      <w:r w:rsidR="0016188C" w:rsidRPr="00605771">
        <w:t>ent à ce</w:t>
      </w:r>
      <w:r w:rsidR="00FD2795" w:rsidRPr="00605771">
        <w:t xml:space="preserve"> sujet</w:t>
      </w:r>
      <w:r w:rsidR="0016188C" w:rsidRPr="00605771">
        <w:t xml:space="preserve"> que la plupart des agences de voyage et </w:t>
      </w:r>
      <w:r w:rsidR="00C876E9" w:rsidRPr="00605771">
        <w:t>d</w:t>
      </w:r>
      <w:r w:rsidR="0016188C" w:rsidRPr="00605771">
        <w:t>es hôtels avai</w:t>
      </w:r>
      <w:r w:rsidR="00577442" w:rsidRPr="00605771">
        <w:t>en</w:t>
      </w:r>
      <w:r w:rsidR="0016188C" w:rsidRPr="00605771">
        <w:t xml:space="preserve">t entre-temps « disparu ». </w:t>
      </w:r>
      <w:r w:rsidR="00D03289" w:rsidRPr="00605771">
        <w:t xml:space="preserve">Les requérantes </w:t>
      </w:r>
      <w:r w:rsidR="00C876E9" w:rsidRPr="00605771">
        <w:t xml:space="preserve">reprochent </w:t>
      </w:r>
      <w:r w:rsidR="00D03289" w:rsidRPr="00605771">
        <w:t xml:space="preserve">en outre </w:t>
      </w:r>
      <w:r w:rsidR="00C876E9" w:rsidRPr="00605771">
        <w:t>aux</w:t>
      </w:r>
      <w:r w:rsidR="00BD7189" w:rsidRPr="00605771">
        <w:t xml:space="preserve"> autorités judiciaires </w:t>
      </w:r>
      <w:r w:rsidR="00C876E9" w:rsidRPr="00605771">
        <w:t>de n</w:t>
      </w:r>
      <w:r w:rsidR="00605771" w:rsidRPr="00605771">
        <w:t>’</w:t>
      </w:r>
      <w:r w:rsidR="00C876E9" w:rsidRPr="00605771">
        <w:t>avoir</w:t>
      </w:r>
      <w:r w:rsidR="00BD7189" w:rsidRPr="00605771">
        <w:t xml:space="preserve"> entrepris aucune démarche concernant leur affaire </w:t>
      </w:r>
      <w:r w:rsidR="00D03289" w:rsidRPr="00605771">
        <w:t xml:space="preserve">entre le 18 mars 2010, date </w:t>
      </w:r>
      <w:r w:rsidR="000C3ED0" w:rsidRPr="00605771">
        <w:t>de renvoi du</w:t>
      </w:r>
      <w:r w:rsidR="00D03289" w:rsidRPr="00605771">
        <w:t xml:space="preserve"> dossier de l</w:t>
      </w:r>
      <w:r w:rsidR="00605771" w:rsidRPr="00605771">
        <w:t>’</w:t>
      </w:r>
      <w:r w:rsidR="00D03289" w:rsidRPr="00605771">
        <w:t xml:space="preserve">affaire </w:t>
      </w:r>
      <w:r w:rsidR="000C3ED0" w:rsidRPr="00605771">
        <w:t xml:space="preserve">en vue de </w:t>
      </w:r>
      <w:r w:rsidR="00D03289" w:rsidRPr="00605771">
        <w:t>l</w:t>
      </w:r>
      <w:r w:rsidR="00605771" w:rsidRPr="00605771">
        <w:t>’</w:t>
      </w:r>
      <w:r w:rsidR="00D03289" w:rsidRPr="00605771">
        <w:t>ouverture d</w:t>
      </w:r>
      <w:r w:rsidR="00605771" w:rsidRPr="00605771">
        <w:t>’</w:t>
      </w:r>
      <w:r w:rsidR="00D03289" w:rsidRPr="00605771">
        <w:t xml:space="preserve">une enquête </w:t>
      </w:r>
      <w:r w:rsidR="000E56B5" w:rsidRPr="00605771">
        <w:t>judiciaire officielle, et le 23 </w:t>
      </w:r>
      <w:r w:rsidR="00D03289" w:rsidRPr="00605771">
        <w:t xml:space="preserve">septembre 2015, date </w:t>
      </w:r>
      <w:r w:rsidR="000C3ED0" w:rsidRPr="00605771">
        <w:t>de recherche de</w:t>
      </w:r>
      <w:r w:rsidR="00C876E9" w:rsidRPr="00605771">
        <w:t xml:space="preserve"> leurs</w:t>
      </w:r>
      <w:r w:rsidR="000C3ED0" w:rsidRPr="00605771">
        <w:t xml:space="preserve"> coordonnées aux fins de leur convocation </w:t>
      </w:r>
      <w:r w:rsidR="00D03289" w:rsidRPr="00605771">
        <w:t>à déposer comme témoins.</w:t>
      </w:r>
      <w:r w:rsidR="000C3ED0" w:rsidRPr="00605771">
        <w:t xml:space="preserve"> </w:t>
      </w:r>
      <w:r w:rsidR="000E56B5" w:rsidRPr="00605771">
        <w:t xml:space="preserve">Les </w:t>
      </w:r>
      <w:r w:rsidR="00C876E9" w:rsidRPr="00605771">
        <w:t>intéressées</w:t>
      </w:r>
      <w:r w:rsidR="000E56B5" w:rsidRPr="00605771">
        <w:t xml:space="preserve"> ajoutent que la procédure en cause ne s</w:t>
      </w:r>
      <w:r w:rsidR="00605771" w:rsidRPr="00605771">
        <w:t>’</w:t>
      </w:r>
      <w:r w:rsidR="000E56B5" w:rsidRPr="00605771">
        <w:t>est terminée</w:t>
      </w:r>
      <w:r w:rsidR="00703796" w:rsidRPr="00605771">
        <w:t xml:space="preserve"> qu</w:t>
      </w:r>
      <w:r w:rsidR="00605771" w:rsidRPr="00605771">
        <w:t>’</w:t>
      </w:r>
      <w:r w:rsidR="000C3ED0" w:rsidRPr="00605771">
        <w:t>au moment de la notification à leur égard des</w:t>
      </w:r>
      <w:r w:rsidR="000E56B5" w:rsidRPr="00605771">
        <w:t xml:space="preserve"> ordonnances de</w:t>
      </w:r>
      <w:r w:rsidR="00781399" w:rsidRPr="00605771">
        <w:t xml:space="preserve"> la</w:t>
      </w:r>
      <w:r w:rsidR="000E56B5" w:rsidRPr="00605771">
        <w:t xml:space="preserve"> chambre d</w:t>
      </w:r>
      <w:r w:rsidR="00605771" w:rsidRPr="00605771">
        <w:t>’</w:t>
      </w:r>
      <w:r w:rsidR="000E56B5" w:rsidRPr="00605771">
        <w:t>accusation</w:t>
      </w:r>
      <w:r w:rsidR="00703796" w:rsidRPr="00605771">
        <w:t>, survenue selon elles en mai 2016</w:t>
      </w:r>
      <w:r w:rsidR="000E56B5" w:rsidRPr="00605771">
        <w:t>.</w:t>
      </w:r>
    </w:p>
    <w:bookmarkStart w:id="21" w:name="obsreqcadrejur"/>
    <w:p w:rsidR="002C7F5B" w:rsidRPr="00605771" w:rsidRDefault="008F5762"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117</w:t>
      </w:r>
      <w:r w:rsidRPr="00605771">
        <w:fldChar w:fldCharType="end"/>
      </w:r>
      <w:bookmarkEnd w:id="21"/>
      <w:r w:rsidRPr="00605771">
        <w:t>.  </w:t>
      </w:r>
      <w:r w:rsidR="005C7ACC" w:rsidRPr="00605771">
        <w:t>L</w:t>
      </w:r>
      <w:r w:rsidRPr="00605771">
        <w:t>es requérantes se plaignent également de la</w:t>
      </w:r>
      <w:r w:rsidRPr="00605771">
        <w:rPr>
          <w:b/>
        </w:rPr>
        <w:t xml:space="preserve"> </w:t>
      </w:r>
      <w:r w:rsidRPr="00605771">
        <w:t>prescription d</w:t>
      </w:r>
      <w:r w:rsidR="00605771" w:rsidRPr="00605771">
        <w:t>’</w:t>
      </w:r>
      <w:r w:rsidRPr="00605771">
        <w:t>une partie des actes prétendument comm</w:t>
      </w:r>
      <w:r w:rsidR="00873B7E" w:rsidRPr="00605771">
        <w:t>is par les employés du consulat</w:t>
      </w:r>
      <w:r w:rsidR="00277D8E" w:rsidRPr="00605771">
        <w:t xml:space="preserve">. </w:t>
      </w:r>
      <w:r w:rsidR="005C7ACC" w:rsidRPr="00605771">
        <w:t xml:space="preserve">Elles précisent à cet égard que le cadre législatif interne </w:t>
      </w:r>
      <w:r w:rsidR="00744F07" w:rsidRPr="00605771">
        <w:t>ne régissait pas suffisamment « la falsification des documents officiels en vue de faciliter la traite des êtres humains » à l</w:t>
      </w:r>
      <w:r w:rsidR="00605771" w:rsidRPr="00605771">
        <w:t>’</w:t>
      </w:r>
      <w:r w:rsidR="00744F07" w:rsidRPr="00605771">
        <w:t>époque des faits et qu</w:t>
      </w:r>
      <w:r w:rsidR="00605771" w:rsidRPr="00605771">
        <w:t>’</w:t>
      </w:r>
      <w:r w:rsidR="00744F07" w:rsidRPr="00605771">
        <w:t xml:space="preserve">il </w:t>
      </w:r>
      <w:r w:rsidR="005C7ACC" w:rsidRPr="00605771">
        <w:t xml:space="preserve">était </w:t>
      </w:r>
      <w:r w:rsidR="00744F07" w:rsidRPr="00605771">
        <w:t xml:space="preserve">donc </w:t>
      </w:r>
      <w:r w:rsidR="00277D8E" w:rsidRPr="00605771">
        <w:t>insuffisant</w:t>
      </w:r>
      <w:r w:rsidR="00744F07" w:rsidRPr="00605771">
        <w:t>.</w:t>
      </w:r>
      <w:r w:rsidR="005C7ACC" w:rsidRPr="00605771">
        <w:t xml:space="preserve"> Elles </w:t>
      </w:r>
      <w:r w:rsidR="00744F07" w:rsidRPr="00605771">
        <w:t>indiqu</w:t>
      </w:r>
      <w:r w:rsidR="005C7ACC" w:rsidRPr="00605771">
        <w:t>ent que tant la Convention de</w:t>
      </w:r>
      <w:r w:rsidR="00744F07" w:rsidRPr="00605771">
        <w:t>s</w:t>
      </w:r>
      <w:r w:rsidR="005C7ACC" w:rsidRPr="00605771">
        <w:t xml:space="preserve"> Nations </w:t>
      </w:r>
      <w:r w:rsidR="00744F07" w:rsidRPr="00605771">
        <w:t>u</w:t>
      </w:r>
      <w:r w:rsidR="005C7ACC" w:rsidRPr="00605771">
        <w:t xml:space="preserve">nies contre la </w:t>
      </w:r>
      <w:r w:rsidR="005C7ACC" w:rsidRPr="00605771">
        <w:lastRenderedPageBreak/>
        <w:t xml:space="preserve">criminalité transnationale organisée </w:t>
      </w:r>
      <w:r w:rsidR="00D304E0" w:rsidRPr="00605771">
        <w:t>(«</w:t>
      </w:r>
      <w:r w:rsidR="00DB1F98" w:rsidRPr="00605771">
        <w:t xml:space="preserve"> le</w:t>
      </w:r>
      <w:r w:rsidR="00D304E0" w:rsidRPr="00605771">
        <w:t xml:space="preserve"> Protocole de Palerme ») </w:t>
      </w:r>
      <w:r w:rsidR="005C7ACC" w:rsidRPr="00605771">
        <w:t xml:space="preserve">et les </w:t>
      </w:r>
      <w:r w:rsidR="00F06D50" w:rsidRPr="00605771">
        <w:t>p</w:t>
      </w:r>
      <w:r w:rsidR="005C7ACC" w:rsidRPr="00605771">
        <w:t>rotocoles s</w:t>
      </w:r>
      <w:r w:rsidR="00605771" w:rsidRPr="00605771">
        <w:t>’</w:t>
      </w:r>
      <w:r w:rsidR="005C7ACC" w:rsidRPr="00605771">
        <w:t>y rapportant que la Convention du Conseil de l</w:t>
      </w:r>
      <w:r w:rsidR="00605771" w:rsidRPr="00605771">
        <w:t>’</w:t>
      </w:r>
      <w:r w:rsidR="005C7ACC" w:rsidRPr="00605771">
        <w:t>Europe sur la lutte contre la traite des êtres humains, signée par la Grèce en 2005 et entrée en vigueur le 1</w:t>
      </w:r>
      <w:r w:rsidR="005C7ACC" w:rsidRPr="00605771">
        <w:rPr>
          <w:vertAlign w:val="superscript"/>
        </w:rPr>
        <w:t>er</w:t>
      </w:r>
      <w:r w:rsidR="005C7ACC" w:rsidRPr="00605771">
        <w:t xml:space="preserve"> août 2014, prévoient la criminalisation de la délivrance de documents de voyage falsifi</w:t>
      </w:r>
      <w:r w:rsidR="00744F07" w:rsidRPr="00605771">
        <w:t>é</w:t>
      </w:r>
      <w:r w:rsidR="005C7ACC" w:rsidRPr="00605771">
        <w:t>s. En tout état de cause, selon les requérantes, les autorités internes auraient dû prévoir des sanctions plus élevées pour les agents de l</w:t>
      </w:r>
      <w:r w:rsidR="00605771" w:rsidRPr="00605771">
        <w:t>’</w:t>
      </w:r>
      <w:r w:rsidR="005C7ACC" w:rsidRPr="00605771">
        <w:t xml:space="preserve">État </w:t>
      </w:r>
      <w:r w:rsidR="00A10874" w:rsidRPr="00605771">
        <w:t>impliqués</w:t>
      </w:r>
      <w:r w:rsidR="00744F07" w:rsidRPr="00605771">
        <w:t>, de même que</w:t>
      </w:r>
      <w:r w:rsidR="00A10874" w:rsidRPr="00605771">
        <w:t xml:space="preserve"> </w:t>
      </w:r>
      <w:r w:rsidR="00744F07" w:rsidRPr="00605771">
        <w:t>des</w:t>
      </w:r>
      <w:r w:rsidR="005C7ACC" w:rsidRPr="00605771">
        <w:t xml:space="preserve"> délais de prescription plus </w:t>
      </w:r>
      <w:r w:rsidR="00744F07" w:rsidRPr="00605771">
        <w:t>longs</w:t>
      </w:r>
      <w:r w:rsidR="005C7ACC" w:rsidRPr="00605771">
        <w:t>.</w:t>
      </w:r>
    </w:p>
    <w:p w:rsidR="002C7F5B" w:rsidRPr="00605771" w:rsidRDefault="002F6DFA"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118</w:t>
      </w:r>
      <w:r w:rsidRPr="00605771">
        <w:fldChar w:fldCharType="end"/>
      </w:r>
      <w:r w:rsidRPr="00605771">
        <w:t>.  </w:t>
      </w:r>
      <w:r w:rsidR="00833CA5" w:rsidRPr="00605771">
        <w:t>Les requérantes ajoutent qu</w:t>
      </w:r>
      <w:r w:rsidR="00605771" w:rsidRPr="00605771">
        <w:t>’</w:t>
      </w:r>
      <w:r w:rsidR="00833CA5" w:rsidRPr="00605771">
        <w:t>elles n</w:t>
      </w:r>
      <w:r w:rsidR="00605771" w:rsidRPr="00605771">
        <w:t>’</w:t>
      </w:r>
      <w:r w:rsidR="00833CA5" w:rsidRPr="00605771">
        <w:t xml:space="preserve">ont pas été invitées à déposer et, que, </w:t>
      </w:r>
      <w:r w:rsidR="00BC414B" w:rsidRPr="00605771">
        <w:t xml:space="preserve">au cours de la conduite de </w:t>
      </w:r>
      <w:r w:rsidR="00833CA5" w:rsidRPr="00605771">
        <w:t>l</w:t>
      </w:r>
      <w:r w:rsidR="00605771" w:rsidRPr="00605771">
        <w:t>’</w:t>
      </w:r>
      <w:r w:rsidR="00833CA5" w:rsidRPr="00605771">
        <w:t>enquête, elles n</w:t>
      </w:r>
      <w:r w:rsidR="00605771" w:rsidRPr="00605771">
        <w:t>’</w:t>
      </w:r>
      <w:r w:rsidR="00833CA5" w:rsidRPr="00605771">
        <w:t>avaient pas accès au dossier de l</w:t>
      </w:r>
      <w:r w:rsidR="00605771" w:rsidRPr="00605771">
        <w:t>’</w:t>
      </w:r>
      <w:r w:rsidR="00833CA5" w:rsidRPr="00605771">
        <w:t xml:space="preserve">affaire. Elles </w:t>
      </w:r>
      <w:r w:rsidR="00182DAC" w:rsidRPr="00605771">
        <w:t>disent aussi</w:t>
      </w:r>
      <w:r w:rsidR="00833CA5" w:rsidRPr="00605771">
        <w:t xml:space="preserve"> que ni </w:t>
      </w:r>
      <w:r w:rsidR="00182DAC" w:rsidRPr="00605771">
        <w:t>leurs représentants,</w:t>
      </w:r>
      <w:r w:rsidR="00833CA5" w:rsidRPr="00605771">
        <w:t xml:space="preserve"> ni les cinq témoins proposés par elles, ni quatre des auteurs </w:t>
      </w:r>
      <w:r w:rsidR="00343170" w:rsidRPr="00605771">
        <w:t xml:space="preserve">présumés </w:t>
      </w:r>
      <w:r w:rsidR="00833CA5" w:rsidRPr="00605771">
        <w:t>des faits n</w:t>
      </w:r>
      <w:r w:rsidR="00605771" w:rsidRPr="00605771">
        <w:t>’</w:t>
      </w:r>
      <w:r w:rsidR="00833CA5" w:rsidRPr="00605771">
        <w:t xml:space="preserve">ont été invités à déposer. </w:t>
      </w:r>
      <w:r w:rsidRPr="00605771">
        <w:t xml:space="preserve">Les requérantes </w:t>
      </w:r>
      <w:r w:rsidR="00846A85" w:rsidRPr="00605771">
        <w:t>précisent</w:t>
      </w:r>
      <w:r w:rsidRPr="00605771">
        <w:t xml:space="preserve"> </w:t>
      </w:r>
      <w:r w:rsidR="008F5762" w:rsidRPr="00605771">
        <w:t>qu</w:t>
      </w:r>
      <w:r w:rsidRPr="00605771">
        <w:t>e leur c</w:t>
      </w:r>
      <w:r w:rsidR="0010376B" w:rsidRPr="00605771">
        <w:t xml:space="preserve">onvocation </w:t>
      </w:r>
      <w:r w:rsidR="00633C9C" w:rsidRPr="00605771">
        <w:t>par le juge d</w:t>
      </w:r>
      <w:r w:rsidR="00605771" w:rsidRPr="00605771">
        <w:t>’</w:t>
      </w:r>
      <w:r w:rsidR="00633C9C" w:rsidRPr="00605771">
        <w:t>instruction a eu lieu aux adresses fourni</w:t>
      </w:r>
      <w:r w:rsidR="00182DAC" w:rsidRPr="00605771">
        <w:t>e</w:t>
      </w:r>
      <w:r w:rsidR="00633C9C" w:rsidRPr="00605771">
        <w:t xml:space="preserve">s </w:t>
      </w:r>
      <w:r w:rsidR="00EF25DF" w:rsidRPr="00605771">
        <w:t xml:space="preserve">par </w:t>
      </w:r>
      <w:r w:rsidR="00182DAC" w:rsidRPr="00605771">
        <w:t>ce dernier</w:t>
      </w:r>
      <w:r w:rsidR="00EF25DF" w:rsidRPr="00605771">
        <w:t xml:space="preserve"> à</w:t>
      </w:r>
      <w:r w:rsidR="00633C9C" w:rsidRPr="00605771">
        <w:t xml:space="preserve"> la police</w:t>
      </w:r>
      <w:r w:rsidR="00182DAC" w:rsidRPr="00605771">
        <w:t>, et non pas à celles déclarées par elles dans leur</w:t>
      </w:r>
      <w:r w:rsidR="00EF25DF" w:rsidRPr="00605771">
        <w:t>s</w:t>
      </w:r>
      <w:r w:rsidR="00182DAC" w:rsidRPr="00605771">
        <w:t xml:space="preserve"> demande</w:t>
      </w:r>
      <w:r w:rsidR="00EF25DF" w:rsidRPr="00605771">
        <w:t>s</w:t>
      </w:r>
      <w:r w:rsidR="00182DAC" w:rsidRPr="00605771">
        <w:t xml:space="preserve"> de constitution de partie civile</w:t>
      </w:r>
      <w:r w:rsidR="00633C9C" w:rsidRPr="00605771">
        <w:t xml:space="preserve">. La première requérante </w:t>
      </w:r>
      <w:r w:rsidR="00CC09E7" w:rsidRPr="00605771">
        <w:t>indique en outre</w:t>
      </w:r>
      <w:r w:rsidR="00633C9C" w:rsidRPr="00605771">
        <w:t xml:space="preserve"> que le juge d</w:t>
      </w:r>
      <w:r w:rsidR="00605771" w:rsidRPr="00605771">
        <w:t>’</w:t>
      </w:r>
      <w:r w:rsidR="00633C9C" w:rsidRPr="00605771">
        <w:t>ins</w:t>
      </w:r>
      <w:r w:rsidR="00846A85" w:rsidRPr="00605771">
        <w:t xml:space="preserve">truction a </w:t>
      </w:r>
      <w:r w:rsidR="00CC09E7" w:rsidRPr="00605771">
        <w:t>renseigné</w:t>
      </w:r>
      <w:r w:rsidR="00846A85" w:rsidRPr="00605771">
        <w:t xml:space="preserve"> l</w:t>
      </w:r>
      <w:r w:rsidR="00605771" w:rsidRPr="00605771">
        <w:t>’</w:t>
      </w:r>
      <w:r w:rsidR="00846A85" w:rsidRPr="00605771">
        <w:t>adresse « K</w:t>
      </w:r>
      <w:r w:rsidR="00633C9C" w:rsidRPr="00605771">
        <w:t xml:space="preserve">onstantinoupoleos 82, Athènes », mais </w:t>
      </w:r>
      <w:r w:rsidR="00C75DED" w:rsidRPr="00605771">
        <w:t xml:space="preserve">que, </w:t>
      </w:r>
      <w:r w:rsidR="00633C9C" w:rsidRPr="00605771">
        <w:t>au lieu d</w:t>
      </w:r>
      <w:r w:rsidR="00605771" w:rsidRPr="00605771">
        <w:t>’</w:t>
      </w:r>
      <w:r w:rsidR="00633C9C" w:rsidRPr="00605771">
        <w:t>envoyer par fax la convocation au commissariat de police d</w:t>
      </w:r>
      <w:r w:rsidR="00605771" w:rsidRPr="00605771">
        <w:t>’</w:t>
      </w:r>
      <w:r w:rsidR="00633C9C" w:rsidRPr="00605771">
        <w:t xml:space="preserve">Omonoia, compétent pour </w:t>
      </w:r>
      <w:r w:rsidR="00C75DED" w:rsidRPr="00605771">
        <w:t>procéder à la</w:t>
      </w:r>
      <w:r w:rsidR="00633C9C" w:rsidRPr="00605771">
        <w:t xml:space="preserve"> notification, il </w:t>
      </w:r>
      <w:r w:rsidR="00CC09E7" w:rsidRPr="00605771">
        <w:t>l</w:t>
      </w:r>
      <w:r w:rsidR="00605771" w:rsidRPr="00605771">
        <w:t>’</w:t>
      </w:r>
      <w:r w:rsidR="00633C9C" w:rsidRPr="00605771">
        <w:t>a envoyé</w:t>
      </w:r>
      <w:r w:rsidR="00CC09E7" w:rsidRPr="00605771">
        <w:t>e</w:t>
      </w:r>
      <w:r w:rsidR="00633C9C" w:rsidRPr="00605771">
        <w:t xml:space="preserve"> au commissariat de police d</w:t>
      </w:r>
      <w:r w:rsidR="00605771" w:rsidRPr="00605771">
        <w:t>’</w:t>
      </w:r>
      <w:r w:rsidR="00633C9C" w:rsidRPr="00605771">
        <w:t>A</w:t>
      </w:r>
      <w:r w:rsidR="00674226" w:rsidRPr="00605771">
        <w:t>i</w:t>
      </w:r>
      <w:r w:rsidR="00633C9C" w:rsidRPr="00605771">
        <w:t xml:space="preserve">galeo. </w:t>
      </w:r>
      <w:r w:rsidR="005C176A" w:rsidRPr="00605771">
        <w:t>À ses dires</w:t>
      </w:r>
      <w:r w:rsidR="00C75DED" w:rsidRPr="00605771">
        <w:t>, l</w:t>
      </w:r>
      <w:r w:rsidR="00633C9C" w:rsidRPr="00605771">
        <w:t xml:space="preserve">es policiers </w:t>
      </w:r>
      <w:r w:rsidR="00846A85" w:rsidRPr="00605771">
        <w:t>de</w:t>
      </w:r>
      <w:r w:rsidR="00633C9C" w:rsidRPr="00605771">
        <w:t xml:space="preserve"> </w:t>
      </w:r>
      <w:r w:rsidR="00C75DED" w:rsidRPr="00605771">
        <w:t xml:space="preserve">ce </w:t>
      </w:r>
      <w:r w:rsidR="00633C9C" w:rsidRPr="00605771">
        <w:t>commissariat, bien qu</w:t>
      </w:r>
      <w:r w:rsidR="00C75DED" w:rsidRPr="00605771">
        <w:t>e</w:t>
      </w:r>
      <w:r w:rsidR="00633C9C" w:rsidRPr="00605771">
        <w:t xml:space="preserve"> sa</w:t>
      </w:r>
      <w:r w:rsidR="00C75DED" w:rsidRPr="00605771">
        <w:t>cha</w:t>
      </w:r>
      <w:r w:rsidR="00633C9C" w:rsidRPr="00605771">
        <w:t>nt qu</w:t>
      </w:r>
      <w:r w:rsidR="00605771" w:rsidRPr="00605771">
        <w:t>’</w:t>
      </w:r>
      <w:r w:rsidR="00633C9C" w:rsidRPr="00605771">
        <w:t>ils n</w:t>
      </w:r>
      <w:r w:rsidR="00605771" w:rsidRPr="00605771">
        <w:t>’</w:t>
      </w:r>
      <w:r w:rsidR="00633C9C" w:rsidRPr="00605771">
        <w:t xml:space="preserve">étaient pas compétents, ont procédé à une convocation </w:t>
      </w:r>
      <w:r w:rsidR="00E53469" w:rsidRPr="00605771">
        <w:t>à l</w:t>
      </w:r>
      <w:r w:rsidR="00605771" w:rsidRPr="00605771">
        <w:t>’</w:t>
      </w:r>
      <w:r w:rsidR="00E53469" w:rsidRPr="00605771">
        <w:t xml:space="preserve">adresse </w:t>
      </w:r>
      <w:r w:rsidR="00846A85" w:rsidRPr="00605771">
        <w:t>« K</w:t>
      </w:r>
      <w:r w:rsidR="00E53469" w:rsidRPr="00605771">
        <w:t xml:space="preserve">onstantinoupoleos 82, Aigaleo» </w:t>
      </w:r>
      <w:r w:rsidR="00F74090" w:rsidRPr="00605771">
        <w:t xml:space="preserve">et ont </w:t>
      </w:r>
      <w:r w:rsidR="009070EA" w:rsidRPr="00605771">
        <w:t xml:space="preserve">ensuite </w:t>
      </w:r>
      <w:r w:rsidR="00F74090" w:rsidRPr="00605771">
        <w:t>informé le juge d</w:t>
      </w:r>
      <w:r w:rsidR="00605771" w:rsidRPr="00605771">
        <w:t>’</w:t>
      </w:r>
      <w:r w:rsidR="00F74090" w:rsidRPr="00605771">
        <w:t>instruction que les intéressées n</w:t>
      </w:r>
      <w:r w:rsidR="00605771" w:rsidRPr="00605771">
        <w:t>’</w:t>
      </w:r>
      <w:r w:rsidR="00846A85" w:rsidRPr="00605771">
        <w:t xml:space="preserve">y </w:t>
      </w:r>
      <w:r w:rsidR="00F74090" w:rsidRPr="00605771">
        <w:t xml:space="preserve">avaient pas été retrouvées. </w:t>
      </w:r>
      <w:r w:rsidR="00E53469" w:rsidRPr="00605771">
        <w:t>Les requérantes indiquent encore que le juge d</w:t>
      </w:r>
      <w:r w:rsidR="00605771" w:rsidRPr="00605771">
        <w:t>’</w:t>
      </w:r>
      <w:r w:rsidR="00E53469" w:rsidRPr="00605771">
        <w:t>instruction n</w:t>
      </w:r>
      <w:r w:rsidR="00605771" w:rsidRPr="00605771">
        <w:t>’</w:t>
      </w:r>
      <w:r w:rsidR="00E53469" w:rsidRPr="00605771">
        <w:t xml:space="preserve">a pas </w:t>
      </w:r>
      <w:r w:rsidR="00852496" w:rsidRPr="00605771">
        <w:t xml:space="preserve">procédé à la notification prévue par les </w:t>
      </w:r>
      <w:r w:rsidR="000B4F2A" w:rsidRPr="00605771">
        <w:t xml:space="preserve">articles 155 § 2 et 308 du CPP </w:t>
      </w:r>
      <w:r w:rsidR="00852496" w:rsidRPr="00605771">
        <w:t>à l</w:t>
      </w:r>
      <w:r w:rsidR="00605771" w:rsidRPr="00605771">
        <w:t>’</w:t>
      </w:r>
      <w:r w:rsidR="00852496" w:rsidRPr="00605771">
        <w:t xml:space="preserve">endroit de leurs représentants, </w:t>
      </w:r>
      <w:r w:rsidR="00B061C4" w:rsidRPr="00605771">
        <w:t xml:space="preserve">que </w:t>
      </w:r>
      <w:r w:rsidR="00852496" w:rsidRPr="00605771">
        <w:t xml:space="preserve">ni ces derniers </w:t>
      </w:r>
      <w:r w:rsidR="00B061C4" w:rsidRPr="00605771">
        <w:t>ni elles</w:t>
      </w:r>
      <w:r w:rsidR="00852496" w:rsidRPr="00605771">
        <w:noBreakHyphen/>
      </w:r>
      <w:r w:rsidR="00C75DED" w:rsidRPr="00605771">
        <w:t>mêmes</w:t>
      </w:r>
      <w:r w:rsidR="00B061C4" w:rsidRPr="00605771">
        <w:t xml:space="preserve"> n</w:t>
      </w:r>
      <w:r w:rsidR="00605771" w:rsidRPr="00605771">
        <w:t>’</w:t>
      </w:r>
      <w:r w:rsidR="00B061C4" w:rsidRPr="00605771">
        <w:t>ont été informés de la fin de l</w:t>
      </w:r>
      <w:r w:rsidR="00605771" w:rsidRPr="00605771">
        <w:t>’</w:t>
      </w:r>
      <w:r w:rsidR="00B061C4" w:rsidRPr="00605771">
        <w:t xml:space="preserve">instruction, </w:t>
      </w:r>
      <w:r w:rsidR="00852496" w:rsidRPr="00605771">
        <w:t xml:space="preserve">et ce </w:t>
      </w:r>
      <w:r w:rsidR="00EA1E3E" w:rsidRPr="00605771">
        <w:t xml:space="preserve">malgré </w:t>
      </w:r>
      <w:r w:rsidR="00852496" w:rsidRPr="00605771">
        <w:t>l</w:t>
      </w:r>
      <w:r w:rsidR="00605771" w:rsidRPr="00605771">
        <w:t>’</w:t>
      </w:r>
      <w:r w:rsidR="00852496" w:rsidRPr="00605771">
        <w:t xml:space="preserve">expression par </w:t>
      </w:r>
      <w:r w:rsidR="00B061C4" w:rsidRPr="00605771">
        <w:t xml:space="preserve">elles </w:t>
      </w:r>
      <w:r w:rsidR="00852496" w:rsidRPr="00605771">
        <w:t>de leur</w:t>
      </w:r>
      <w:r w:rsidR="00B061C4" w:rsidRPr="00605771">
        <w:t xml:space="preserve"> volonté à cet égard dans leurs demande</w:t>
      </w:r>
      <w:r w:rsidR="00852496" w:rsidRPr="00605771">
        <w:t>s</w:t>
      </w:r>
      <w:r w:rsidR="00B061C4" w:rsidRPr="00605771">
        <w:t xml:space="preserve"> de constitution de partie civile</w:t>
      </w:r>
      <w:r w:rsidR="00852496" w:rsidRPr="00605771">
        <w:t>,</w:t>
      </w:r>
      <w:r w:rsidR="00B061C4" w:rsidRPr="00605771">
        <w:t xml:space="preserve"> et qu</w:t>
      </w:r>
      <w:r w:rsidR="00605771" w:rsidRPr="00605771">
        <w:t>’</w:t>
      </w:r>
      <w:r w:rsidR="00B061C4" w:rsidRPr="00605771">
        <w:t>elles n</w:t>
      </w:r>
      <w:r w:rsidR="00605771" w:rsidRPr="00605771">
        <w:t>’</w:t>
      </w:r>
      <w:r w:rsidR="00B061C4" w:rsidRPr="00605771">
        <w:t xml:space="preserve">ont </w:t>
      </w:r>
      <w:r w:rsidR="00852496" w:rsidRPr="00605771">
        <w:t>par conséquent</w:t>
      </w:r>
      <w:r w:rsidR="00B061C4" w:rsidRPr="00605771">
        <w:t xml:space="preserve"> pas pu exercer les recours prévus par la loi.</w:t>
      </w:r>
    </w:p>
    <w:p w:rsidR="003253AD" w:rsidRPr="00605771" w:rsidRDefault="003253AD"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119</w:t>
      </w:r>
      <w:r w:rsidRPr="00605771">
        <w:fldChar w:fldCharType="end"/>
      </w:r>
      <w:r w:rsidRPr="00605771">
        <w:t>.  </w:t>
      </w:r>
      <w:r w:rsidR="00C3265C" w:rsidRPr="00605771">
        <w:t xml:space="preserve">Les </w:t>
      </w:r>
      <w:r w:rsidRPr="00605771">
        <w:t>requérantes soutiennent qu</w:t>
      </w:r>
      <w:r w:rsidR="00C3265C" w:rsidRPr="00605771">
        <w:t>e ni l</w:t>
      </w:r>
      <w:r w:rsidR="00605771" w:rsidRPr="00605771">
        <w:t>’</w:t>
      </w:r>
      <w:r w:rsidR="00C3265C" w:rsidRPr="00605771">
        <w:t>enquête administrative ni la procédure pénale n</w:t>
      </w:r>
      <w:r w:rsidR="00605771" w:rsidRPr="00605771">
        <w:t>’</w:t>
      </w:r>
      <w:r w:rsidR="00C3265C" w:rsidRPr="00605771">
        <w:t xml:space="preserve">ont été menées de manière impartiale. </w:t>
      </w:r>
      <w:r w:rsidR="00477557" w:rsidRPr="00605771">
        <w:t>S</w:t>
      </w:r>
      <w:r w:rsidR="002D2C77" w:rsidRPr="00605771">
        <w:t>elon elles</w:t>
      </w:r>
      <w:r w:rsidR="00720B40" w:rsidRPr="00605771">
        <w:t xml:space="preserve">, </w:t>
      </w:r>
      <w:r w:rsidR="005F17A6" w:rsidRPr="00605771">
        <w:t>l</w:t>
      </w:r>
      <w:r w:rsidR="00605771" w:rsidRPr="00605771">
        <w:t>’</w:t>
      </w:r>
      <w:r w:rsidR="005F17A6" w:rsidRPr="00605771">
        <w:t>enquête</w:t>
      </w:r>
      <w:r w:rsidR="00531A99" w:rsidRPr="00605771">
        <w:t xml:space="preserve"> </w:t>
      </w:r>
      <w:r w:rsidR="005F17A6" w:rsidRPr="00605771">
        <w:t xml:space="preserve">administrative </w:t>
      </w:r>
      <w:r w:rsidR="00531A99" w:rsidRPr="00605771">
        <w:t>a été menée par un diplomate</w:t>
      </w:r>
      <w:r w:rsidR="00EA1E3E" w:rsidRPr="00605771">
        <w:t xml:space="preserve"> </w:t>
      </w:r>
      <w:r w:rsidR="00720B40" w:rsidRPr="00605771">
        <w:t xml:space="preserve">dont les </w:t>
      </w:r>
      <w:r w:rsidR="002415D2" w:rsidRPr="00605771">
        <w:t>supérieurs</w:t>
      </w:r>
      <w:r w:rsidR="00720B40" w:rsidRPr="00605771">
        <w:t xml:space="preserve"> </w:t>
      </w:r>
      <w:r w:rsidR="002415D2" w:rsidRPr="00605771">
        <w:noBreakHyphen/>
        <w:t xml:space="preserve"> </w:t>
      </w:r>
      <w:r w:rsidR="00EA1E3E" w:rsidRPr="00605771">
        <w:t>en l</w:t>
      </w:r>
      <w:r w:rsidR="00605771" w:rsidRPr="00605771">
        <w:t>’</w:t>
      </w:r>
      <w:r w:rsidR="00EA1E3E" w:rsidRPr="00605771">
        <w:t xml:space="preserve">occurrence </w:t>
      </w:r>
      <w:r w:rsidR="00531A99" w:rsidRPr="00605771">
        <w:t>des conseillers ministériels</w:t>
      </w:r>
      <w:r w:rsidR="00EA1E3E" w:rsidRPr="00605771">
        <w:t xml:space="preserve"> – </w:t>
      </w:r>
      <w:r w:rsidR="00720B40" w:rsidRPr="00605771">
        <w:t>voyaient leur responsabilité être mise en jeu</w:t>
      </w:r>
      <w:r w:rsidR="00846A85" w:rsidRPr="00605771">
        <w:t>. Elles ajoutent que</w:t>
      </w:r>
      <w:r w:rsidR="00531A99" w:rsidRPr="00605771">
        <w:t xml:space="preserve"> </w:t>
      </w:r>
      <w:r w:rsidRPr="00605771">
        <w:t xml:space="preserve">le ministère des </w:t>
      </w:r>
      <w:r w:rsidR="00907391" w:rsidRPr="00605771">
        <w:t>A</w:t>
      </w:r>
      <w:r w:rsidRPr="00605771">
        <w:t>ffaires étrang</w:t>
      </w:r>
      <w:r w:rsidR="00907391" w:rsidRPr="00605771">
        <w:t>ères</w:t>
      </w:r>
      <w:r w:rsidRPr="00605771">
        <w:t xml:space="preserve"> n</w:t>
      </w:r>
      <w:r w:rsidR="00605771" w:rsidRPr="00605771">
        <w:t>’</w:t>
      </w:r>
      <w:r w:rsidRPr="00605771">
        <w:t xml:space="preserve">a </w:t>
      </w:r>
      <w:r w:rsidR="00720B40" w:rsidRPr="00605771">
        <w:t>engagé</w:t>
      </w:r>
      <w:r w:rsidRPr="00605771">
        <w:t xml:space="preserve"> cette procédure que le 7 juin 2006, et ce seulement après </w:t>
      </w:r>
      <w:r w:rsidR="00720B40" w:rsidRPr="00605771">
        <w:t xml:space="preserve">avoir </w:t>
      </w:r>
      <w:r w:rsidRPr="00605771">
        <w:t xml:space="preserve">été officiellement informé de la volonté du procureur </w:t>
      </w:r>
      <w:r w:rsidR="00BB1CC8" w:rsidRPr="00605771">
        <w:t>près</w:t>
      </w:r>
      <w:r w:rsidRPr="00605771">
        <w:t xml:space="preserve"> la Cour de cassation d</w:t>
      </w:r>
      <w:r w:rsidR="00605771" w:rsidRPr="00605771">
        <w:t>’</w:t>
      </w:r>
      <w:r w:rsidRPr="00605771">
        <w:t xml:space="preserve">ouvrir une enquête. Or, </w:t>
      </w:r>
      <w:r w:rsidR="00720B40" w:rsidRPr="00605771">
        <w:t xml:space="preserve">selon les intéressées, </w:t>
      </w:r>
      <w:r w:rsidRPr="00605771">
        <w:t xml:space="preserve">le Moniteur grec Helsinki avait déjà informé le ministère depuis décembre 2004 </w:t>
      </w:r>
      <w:r w:rsidR="00720B40" w:rsidRPr="00605771">
        <w:t>et</w:t>
      </w:r>
      <w:r w:rsidR="008B6E08" w:rsidRPr="00605771">
        <w:t>, à la suite de cette initiative,</w:t>
      </w:r>
      <w:r w:rsidR="002C7F5B" w:rsidRPr="00605771">
        <w:t xml:space="preserve"> </w:t>
      </w:r>
      <w:r w:rsidR="00463B43" w:rsidRPr="00605771">
        <w:t>il</w:t>
      </w:r>
      <w:r w:rsidR="00720B40" w:rsidRPr="00605771">
        <w:t xml:space="preserve"> s</w:t>
      </w:r>
      <w:r w:rsidR="00605771" w:rsidRPr="00605771">
        <w:t>’</w:t>
      </w:r>
      <w:r w:rsidR="00720B40" w:rsidRPr="00605771">
        <w:t xml:space="preserve">était vu </w:t>
      </w:r>
      <w:r w:rsidR="00463B43" w:rsidRPr="00605771">
        <w:t>répondre</w:t>
      </w:r>
      <w:r w:rsidRPr="00605771">
        <w:t xml:space="preserve"> qu</w:t>
      </w:r>
      <w:r w:rsidR="00605771" w:rsidRPr="00605771">
        <w:t>’</w:t>
      </w:r>
      <w:r w:rsidRPr="00605771">
        <w:t xml:space="preserve">une enquête administrative serait trop longue et </w:t>
      </w:r>
      <w:r w:rsidR="00EF3C8C" w:rsidRPr="00605771">
        <w:t>s</w:t>
      </w:r>
      <w:r w:rsidR="00605771" w:rsidRPr="00605771">
        <w:t>’</w:t>
      </w:r>
      <w:r w:rsidR="00EF3C8C" w:rsidRPr="00605771">
        <w:t xml:space="preserve">était </w:t>
      </w:r>
      <w:r w:rsidR="008B6E08" w:rsidRPr="00605771">
        <w:t>vu recommander de</w:t>
      </w:r>
      <w:r w:rsidRPr="00605771">
        <w:t xml:space="preserve"> s</w:t>
      </w:r>
      <w:r w:rsidR="00605771" w:rsidRPr="00605771">
        <w:t>’</w:t>
      </w:r>
      <w:r w:rsidRPr="00605771">
        <w:t>adresser au procureur compétent. Les requérantes ajoutent encore que l</w:t>
      </w:r>
      <w:r w:rsidR="00605771" w:rsidRPr="00605771">
        <w:t>’</w:t>
      </w:r>
      <w:r w:rsidRPr="00605771">
        <w:t>enquête administrative a pris fin très rapidement</w:t>
      </w:r>
      <w:r w:rsidR="00E6540E" w:rsidRPr="00605771">
        <w:t xml:space="preserve"> et que, de surcroît, </w:t>
      </w:r>
      <w:r w:rsidRPr="00605771">
        <w:t xml:space="preserve">elles </w:t>
      </w:r>
      <w:r w:rsidR="00720B40" w:rsidRPr="00605771">
        <w:t>n</w:t>
      </w:r>
      <w:r w:rsidR="00605771" w:rsidRPr="00605771">
        <w:t>’</w:t>
      </w:r>
      <w:r w:rsidR="00720B40" w:rsidRPr="00605771">
        <w:t xml:space="preserve">ont pas été </w:t>
      </w:r>
      <w:r w:rsidRPr="00605771">
        <w:t>invitées à compara</w:t>
      </w:r>
      <w:r w:rsidR="00720B40" w:rsidRPr="00605771">
        <w:t>î</w:t>
      </w:r>
      <w:r w:rsidRPr="00605771">
        <w:t>tre</w:t>
      </w:r>
      <w:r w:rsidR="00AF53A0" w:rsidRPr="00605771">
        <w:t xml:space="preserve"> et </w:t>
      </w:r>
      <w:r w:rsidR="00E6540E" w:rsidRPr="00605771">
        <w:t xml:space="preserve">ne se sont pas vu notifier </w:t>
      </w:r>
      <w:r w:rsidR="00AF53A0" w:rsidRPr="00605771">
        <w:t xml:space="preserve">les conclusions de </w:t>
      </w:r>
      <w:r w:rsidR="00C72972" w:rsidRPr="00605771">
        <w:t xml:space="preserve">cette </w:t>
      </w:r>
      <w:r w:rsidR="00AF53A0" w:rsidRPr="00605771">
        <w:t>enquête</w:t>
      </w:r>
      <w:r w:rsidRPr="00605771">
        <w:t>. De l</w:t>
      </w:r>
      <w:r w:rsidR="00605771" w:rsidRPr="00605771">
        <w:t>’</w:t>
      </w:r>
      <w:r w:rsidRPr="00605771">
        <w:t xml:space="preserve">avis des requérantes, la volonté des autorités de </w:t>
      </w:r>
      <w:r w:rsidR="00AF53A0" w:rsidRPr="00605771">
        <w:t xml:space="preserve">ne pas </w:t>
      </w:r>
      <w:r w:rsidR="00AF53A0" w:rsidRPr="00605771">
        <w:lastRenderedPageBreak/>
        <w:t>faire la lumière sur l</w:t>
      </w:r>
      <w:r w:rsidR="00605771" w:rsidRPr="00605771">
        <w:t>’</w:t>
      </w:r>
      <w:r w:rsidR="00AF53A0" w:rsidRPr="00605771">
        <w:t>affaire</w:t>
      </w:r>
      <w:r w:rsidR="00075630" w:rsidRPr="00605771">
        <w:t xml:space="preserve"> </w:t>
      </w:r>
      <w:r w:rsidR="00C72972" w:rsidRPr="00605771">
        <w:t xml:space="preserve">se trouve ainsi établie </w:t>
      </w:r>
      <w:r w:rsidR="00075630" w:rsidRPr="00605771">
        <w:t>par ces éléments</w:t>
      </w:r>
      <w:r w:rsidR="00AF53A0" w:rsidRPr="00605771">
        <w:t xml:space="preserve">. </w:t>
      </w:r>
      <w:r w:rsidR="00850858" w:rsidRPr="00605771">
        <w:t>Quant à la procédure pénale, les requérantes précisent que le procureur en chef près le tribunal correctionnel d</w:t>
      </w:r>
      <w:r w:rsidR="00605771" w:rsidRPr="00605771">
        <w:t>’</w:t>
      </w:r>
      <w:r w:rsidR="00850858" w:rsidRPr="00605771">
        <w:t>Athènes a renvoyé l</w:t>
      </w:r>
      <w:r w:rsidR="00605771" w:rsidRPr="00605771">
        <w:t>’</w:t>
      </w:r>
      <w:r w:rsidR="00850858" w:rsidRPr="00605771">
        <w:t>affaire à la direction de la sécurité de la police de l</w:t>
      </w:r>
      <w:r w:rsidR="00605771" w:rsidRPr="00605771">
        <w:t>’</w:t>
      </w:r>
      <w:r w:rsidR="00850858" w:rsidRPr="00605771">
        <w:t>Attique au lieu d</w:t>
      </w:r>
      <w:r w:rsidR="00605771" w:rsidRPr="00605771">
        <w:t>’</w:t>
      </w:r>
      <w:r w:rsidR="00850858" w:rsidRPr="00605771">
        <w:t xml:space="preserve">engager des poursuites pénales et de </w:t>
      </w:r>
      <w:r w:rsidR="00DE4467" w:rsidRPr="00605771">
        <w:t>transférer</w:t>
      </w:r>
      <w:r w:rsidR="00850858" w:rsidRPr="00605771">
        <w:t xml:space="preserve"> le dossier de l</w:t>
      </w:r>
      <w:r w:rsidR="00605771" w:rsidRPr="00605771">
        <w:t>’</w:t>
      </w:r>
      <w:r w:rsidR="00850858" w:rsidRPr="00605771">
        <w:t>affaire à un juge d</w:t>
      </w:r>
      <w:r w:rsidR="00605771" w:rsidRPr="00605771">
        <w:t>’</w:t>
      </w:r>
      <w:r w:rsidR="00850858" w:rsidRPr="00605771">
        <w:t>instruction.</w:t>
      </w:r>
    </w:p>
    <w:bookmarkStart w:id="22" w:name="griefvolmat"/>
    <w:p w:rsidR="002C7F5B" w:rsidRPr="00605771" w:rsidRDefault="003851F1"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120</w:t>
      </w:r>
      <w:r w:rsidRPr="00605771">
        <w:fldChar w:fldCharType="end"/>
      </w:r>
      <w:bookmarkEnd w:id="22"/>
      <w:r w:rsidRPr="00605771">
        <w:t>.  </w:t>
      </w:r>
      <w:r w:rsidR="0005502E" w:rsidRPr="00605771">
        <w:t xml:space="preserve">Enfin, les </w:t>
      </w:r>
      <w:r w:rsidRPr="00605771">
        <w:t xml:space="preserve">requérantes </w:t>
      </w:r>
      <w:r w:rsidR="0005502E" w:rsidRPr="00605771">
        <w:t>estiment</w:t>
      </w:r>
      <w:r w:rsidRPr="00605771">
        <w:t xml:space="preserve"> qu</w:t>
      </w:r>
      <w:r w:rsidR="00605771" w:rsidRPr="00605771">
        <w:t>’</w:t>
      </w:r>
      <w:r w:rsidRPr="00605771">
        <w:t>il y a eu en l</w:t>
      </w:r>
      <w:r w:rsidR="00605771" w:rsidRPr="00605771">
        <w:t>’</w:t>
      </w:r>
      <w:r w:rsidRPr="00605771">
        <w:t>espèce également violation d</w:t>
      </w:r>
      <w:r w:rsidR="0088303D" w:rsidRPr="00605771">
        <w:t>u volet</w:t>
      </w:r>
      <w:r w:rsidRPr="00605771">
        <w:t xml:space="preserve"> </w:t>
      </w:r>
      <w:r w:rsidR="00942146" w:rsidRPr="00605771">
        <w:t>matériel</w:t>
      </w:r>
      <w:r w:rsidRPr="00605771">
        <w:t xml:space="preserve"> de l</w:t>
      </w:r>
      <w:r w:rsidR="00605771" w:rsidRPr="00605771">
        <w:t>’</w:t>
      </w:r>
      <w:r w:rsidRPr="00605771">
        <w:t xml:space="preserve">article 4 de la Convention, </w:t>
      </w:r>
      <w:r w:rsidR="00075630" w:rsidRPr="00605771">
        <w:t xml:space="preserve">au motif </w:t>
      </w:r>
      <w:r w:rsidRPr="00605771">
        <w:t>que des agents de l</w:t>
      </w:r>
      <w:r w:rsidR="00605771" w:rsidRPr="00605771">
        <w:t>’</w:t>
      </w:r>
      <w:r w:rsidRPr="00605771">
        <w:t xml:space="preserve">État ont délivré des documents de voyage falsifiés. </w:t>
      </w:r>
      <w:r w:rsidR="006D4964" w:rsidRPr="00605771">
        <w:t xml:space="preserve">Or, </w:t>
      </w:r>
      <w:r w:rsidR="0005502E" w:rsidRPr="00605771">
        <w:t>à leurs yeux</w:t>
      </w:r>
      <w:r w:rsidR="00075630" w:rsidRPr="00605771">
        <w:t xml:space="preserve">, </w:t>
      </w:r>
      <w:r w:rsidR="006D4964" w:rsidRPr="00605771">
        <w:t>même si les délits en cause sont prescrits, l</w:t>
      </w:r>
      <w:r w:rsidR="00605771" w:rsidRPr="00605771">
        <w:t>’</w:t>
      </w:r>
      <w:r w:rsidR="006D4964" w:rsidRPr="00605771">
        <w:t>État est toujours responsable pour les actes contraires à l</w:t>
      </w:r>
      <w:r w:rsidR="00605771" w:rsidRPr="00605771">
        <w:t>’</w:t>
      </w:r>
      <w:r w:rsidR="006D4964" w:rsidRPr="00605771">
        <w:t xml:space="preserve">article 4 de la Convention. </w:t>
      </w:r>
      <w:r w:rsidR="0005502E" w:rsidRPr="00605771">
        <w:t>Aussi les intéressées</w:t>
      </w:r>
      <w:r w:rsidR="006D4964" w:rsidRPr="00605771">
        <w:t xml:space="preserve"> demandent</w:t>
      </w:r>
      <w:r w:rsidR="0005502E" w:rsidRPr="00605771">
        <w:t>-elles à</w:t>
      </w:r>
      <w:r w:rsidR="006D4964" w:rsidRPr="00605771">
        <w:t xml:space="preserve"> la Cour d</w:t>
      </w:r>
      <w:r w:rsidR="00605771" w:rsidRPr="00605771">
        <w:t>’</w:t>
      </w:r>
      <w:r w:rsidR="006D4964" w:rsidRPr="00605771">
        <w:t xml:space="preserve">inviter les parties </w:t>
      </w:r>
      <w:r w:rsidR="00075630" w:rsidRPr="00605771">
        <w:t>à</w:t>
      </w:r>
      <w:r w:rsidR="006D4964" w:rsidRPr="00605771">
        <w:t xml:space="preserve"> soumettre des observations complémentaires sur ce point</w:t>
      </w:r>
      <w:r w:rsidR="00C508B4" w:rsidRPr="00605771">
        <w:t xml:space="preserve"> </w:t>
      </w:r>
      <w:r w:rsidR="00075630" w:rsidRPr="00605771">
        <w:t>en application de</w:t>
      </w:r>
      <w:r w:rsidR="0005502E" w:rsidRPr="00605771">
        <w:t xml:space="preserve"> </w:t>
      </w:r>
      <w:r w:rsidR="00C508B4" w:rsidRPr="00605771">
        <w:t>l</w:t>
      </w:r>
      <w:r w:rsidR="00605771" w:rsidRPr="00605771">
        <w:t>’</w:t>
      </w:r>
      <w:r w:rsidR="002415D2" w:rsidRPr="00605771">
        <w:t>article 54 § </w:t>
      </w:r>
      <w:r w:rsidR="00C508B4" w:rsidRPr="00605771">
        <w:t>2 de son règlement</w:t>
      </w:r>
      <w:r w:rsidR="006D4964" w:rsidRPr="00605771">
        <w:t>.</w:t>
      </w:r>
    </w:p>
    <w:p w:rsidR="002C7F5B" w:rsidRPr="00605771" w:rsidRDefault="00D45B6C" w:rsidP="00605771">
      <w:pPr>
        <w:pStyle w:val="JuHa0"/>
      </w:pPr>
      <w:r w:rsidRPr="00605771">
        <w:t xml:space="preserve">Le </w:t>
      </w:r>
      <w:r w:rsidR="007D3C54" w:rsidRPr="00605771">
        <w:t>g</w:t>
      </w:r>
      <w:r w:rsidRPr="00605771">
        <w:t>ouvernement</w:t>
      </w:r>
    </w:p>
    <w:p w:rsidR="002C7F5B" w:rsidRPr="00605771" w:rsidRDefault="00F61333"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121</w:t>
      </w:r>
      <w:r w:rsidRPr="00605771">
        <w:fldChar w:fldCharType="end"/>
      </w:r>
      <w:r w:rsidR="00E77CB3" w:rsidRPr="00605771">
        <w:t xml:space="preserve">.  Le Gouvernement </w:t>
      </w:r>
      <w:r w:rsidR="00F30997" w:rsidRPr="00605771">
        <w:t>soutient que le cadre législatif pertinent en vigueur en Grèce au moment des faits a offert aux requérantes une protection pratique et effective</w:t>
      </w:r>
      <w:r w:rsidR="003333FD" w:rsidRPr="00605771">
        <w:t xml:space="preserve">, dont les </w:t>
      </w:r>
      <w:r w:rsidR="00B56338" w:rsidRPr="00605771">
        <w:t xml:space="preserve">intéressées auraient </w:t>
      </w:r>
      <w:r w:rsidR="003333FD" w:rsidRPr="00605771">
        <w:t>bénéficié</w:t>
      </w:r>
      <w:r w:rsidR="00F30997" w:rsidRPr="00605771">
        <w:t>.</w:t>
      </w:r>
      <w:r w:rsidR="00915B5B" w:rsidRPr="00605771">
        <w:t xml:space="preserve"> </w:t>
      </w:r>
      <w:r w:rsidR="00BF40A3" w:rsidRPr="00605771">
        <w:t xml:space="preserve">En particulier, selon le Gouvernement, </w:t>
      </w:r>
      <w:r w:rsidR="00550351" w:rsidRPr="00605771">
        <w:t xml:space="preserve">immédiatement après </w:t>
      </w:r>
      <w:r w:rsidR="003333FD" w:rsidRPr="00605771">
        <w:t>l</w:t>
      </w:r>
      <w:r w:rsidR="00605771" w:rsidRPr="00605771">
        <w:t>’</w:t>
      </w:r>
      <w:r w:rsidR="003333FD" w:rsidRPr="00605771">
        <w:t>introduction d</w:t>
      </w:r>
      <w:r w:rsidR="00550351" w:rsidRPr="00605771">
        <w:t>es plaintes des requérantes</w:t>
      </w:r>
      <w:r w:rsidR="00B56338" w:rsidRPr="00605771">
        <w:t>,</w:t>
      </w:r>
      <w:r w:rsidR="00550351" w:rsidRPr="00605771">
        <w:t xml:space="preserve"> les autorités </w:t>
      </w:r>
      <w:r w:rsidR="003333FD" w:rsidRPr="00605771">
        <w:t>ont</w:t>
      </w:r>
      <w:r w:rsidR="00B56338" w:rsidRPr="00605771">
        <w:t xml:space="preserve"> </w:t>
      </w:r>
      <w:r w:rsidR="003333FD" w:rsidRPr="00605771">
        <w:t>informé</w:t>
      </w:r>
      <w:r w:rsidR="00B56338" w:rsidRPr="00605771">
        <w:t xml:space="preserve"> </w:t>
      </w:r>
      <w:r w:rsidR="00BF40A3" w:rsidRPr="00605771">
        <w:t>ces dernières</w:t>
      </w:r>
      <w:r w:rsidR="00B56338" w:rsidRPr="00605771">
        <w:t xml:space="preserve"> de</w:t>
      </w:r>
      <w:r w:rsidR="00F1358E" w:rsidRPr="00605771">
        <w:t xml:space="preserve"> leurs droits par l</w:t>
      </w:r>
      <w:r w:rsidR="00605771" w:rsidRPr="00605771">
        <w:t>’</w:t>
      </w:r>
      <w:r w:rsidR="00F1358E" w:rsidRPr="00605771">
        <w:t>intermédiaire d</w:t>
      </w:r>
      <w:r w:rsidR="00605771" w:rsidRPr="00605771">
        <w:t>’</w:t>
      </w:r>
      <w:r w:rsidR="00F1358E" w:rsidRPr="00605771">
        <w:t>un interprète</w:t>
      </w:r>
      <w:r w:rsidR="00B56338" w:rsidRPr="00605771">
        <w:t xml:space="preserve"> et leur </w:t>
      </w:r>
      <w:r w:rsidR="00BF40A3" w:rsidRPr="00605771">
        <w:t>o</w:t>
      </w:r>
      <w:r w:rsidR="00B56338" w:rsidRPr="00605771">
        <w:t>nt assuré un logement</w:t>
      </w:r>
      <w:r w:rsidR="00F1358E" w:rsidRPr="00605771">
        <w:t xml:space="preserve">, </w:t>
      </w:r>
      <w:r w:rsidR="00BF40A3" w:rsidRPr="00605771">
        <w:t>elles o</w:t>
      </w:r>
      <w:r w:rsidR="00B56338" w:rsidRPr="00605771">
        <w:t>nt porté les faits à la connaissance du</w:t>
      </w:r>
      <w:r w:rsidR="00F1358E" w:rsidRPr="00605771">
        <w:t xml:space="preserve"> procureur compétent</w:t>
      </w:r>
      <w:r w:rsidR="003333FD" w:rsidRPr="00605771">
        <w:t xml:space="preserve">, </w:t>
      </w:r>
      <w:r w:rsidR="00B56338" w:rsidRPr="00605771">
        <w:t xml:space="preserve">et </w:t>
      </w:r>
      <w:r w:rsidR="00BF40A3" w:rsidRPr="00605771">
        <w:t>elles se sont</w:t>
      </w:r>
      <w:r w:rsidR="003333FD" w:rsidRPr="00605771">
        <w:t xml:space="preserve"> mobilisées afin de retrouver les</w:t>
      </w:r>
      <w:r w:rsidR="00550351" w:rsidRPr="00605771">
        <w:t xml:space="preserve"> </w:t>
      </w:r>
      <w:r w:rsidR="00C666FA" w:rsidRPr="00605771">
        <w:t>responsables.</w:t>
      </w:r>
    </w:p>
    <w:p w:rsidR="002C7F5B" w:rsidRPr="00605771" w:rsidRDefault="00F1358E"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122</w:t>
      </w:r>
      <w:r w:rsidRPr="00605771">
        <w:fldChar w:fldCharType="end"/>
      </w:r>
      <w:r w:rsidRPr="00605771">
        <w:t>. </w:t>
      </w:r>
      <w:r w:rsidR="004C0DBB" w:rsidRPr="00605771">
        <w:t> </w:t>
      </w:r>
      <w:r w:rsidR="00F11008" w:rsidRPr="00605771">
        <w:t>Le Gouvernement estime qu</w:t>
      </w:r>
      <w:r w:rsidR="00AF7720" w:rsidRPr="00605771">
        <w:t xml:space="preserve">e, </w:t>
      </w:r>
      <w:r w:rsidR="00F11008" w:rsidRPr="00605771">
        <w:t xml:space="preserve">en ce qui concerne les </w:t>
      </w:r>
      <w:r w:rsidRPr="00605771">
        <w:t>enqu</w:t>
      </w:r>
      <w:r w:rsidR="00846A85" w:rsidRPr="00605771">
        <w:t>êtes</w:t>
      </w:r>
      <w:r w:rsidR="00F11008" w:rsidRPr="00605771">
        <w:t xml:space="preserve"> </w:t>
      </w:r>
      <w:r w:rsidR="001816AE" w:rsidRPr="00605771">
        <w:t xml:space="preserve">menées par </w:t>
      </w:r>
      <w:r w:rsidR="00EC344E" w:rsidRPr="00605771">
        <w:t>la section</w:t>
      </w:r>
      <w:r w:rsidR="001816AE" w:rsidRPr="00605771">
        <w:t xml:space="preserve"> de police </w:t>
      </w:r>
      <w:r w:rsidR="00EC344E" w:rsidRPr="00605771">
        <w:t xml:space="preserve">spécialisée dans </w:t>
      </w:r>
      <w:r w:rsidR="001816AE" w:rsidRPr="00605771">
        <w:t xml:space="preserve">la lutte </w:t>
      </w:r>
      <w:r w:rsidR="00EC344E" w:rsidRPr="00605771">
        <w:t>contre</w:t>
      </w:r>
      <w:r w:rsidR="001816AE" w:rsidRPr="00605771">
        <w:t xml:space="preserve"> la traite des êtres humains</w:t>
      </w:r>
      <w:r w:rsidR="00EC344E" w:rsidRPr="00605771">
        <w:t>,</w:t>
      </w:r>
      <w:r w:rsidR="001816AE" w:rsidRPr="00605771">
        <w:t xml:space="preserve"> </w:t>
      </w:r>
      <w:r w:rsidR="00956736" w:rsidRPr="00605771">
        <w:t>l</w:t>
      </w:r>
      <w:r w:rsidR="00F11008" w:rsidRPr="00605771">
        <w:t xml:space="preserve">es autorités </w:t>
      </w:r>
      <w:r w:rsidR="00C9493A" w:rsidRPr="00605771">
        <w:t xml:space="preserve">de </w:t>
      </w:r>
      <w:r w:rsidR="00F11008" w:rsidRPr="00605771">
        <w:t>police ont agi rapidement</w:t>
      </w:r>
      <w:r w:rsidR="00956736" w:rsidRPr="00605771">
        <w:t xml:space="preserve"> et</w:t>
      </w:r>
      <w:r w:rsidR="00F11008" w:rsidRPr="00605771">
        <w:t xml:space="preserve"> avec diligence</w:t>
      </w:r>
      <w:r w:rsidR="00956736" w:rsidRPr="00605771">
        <w:t>. L</w:t>
      </w:r>
      <w:r w:rsidR="00605771" w:rsidRPr="00605771">
        <w:t>’</w:t>
      </w:r>
      <w:r w:rsidR="00956736" w:rsidRPr="00605771">
        <w:t>enquête a</w:t>
      </w:r>
      <w:r w:rsidR="00EC344E" w:rsidRPr="00605771">
        <w:t>urait</w:t>
      </w:r>
      <w:r w:rsidR="00956736" w:rsidRPr="00605771">
        <w:t xml:space="preserve"> été étendue aux autres femmes victime</w:t>
      </w:r>
      <w:r w:rsidR="00EC344E" w:rsidRPr="00605771">
        <w:t>s</w:t>
      </w:r>
      <w:r w:rsidR="00956736" w:rsidRPr="00605771">
        <w:t xml:space="preserve"> de la traite</w:t>
      </w:r>
      <w:r w:rsidR="004457A7" w:rsidRPr="00605771">
        <w:t xml:space="preserve"> des êtres humains</w:t>
      </w:r>
      <w:r w:rsidR="008515D8" w:rsidRPr="00605771">
        <w:t>. Le Gouvernement ajoute que le Moniteur grec Helsinki</w:t>
      </w:r>
      <w:r w:rsidR="00EC344E" w:rsidRPr="00605771">
        <w:t xml:space="preserve"> –</w:t>
      </w:r>
      <w:r w:rsidR="001816AE" w:rsidRPr="00605771">
        <w:t xml:space="preserve"> qui</w:t>
      </w:r>
      <w:r w:rsidR="008515D8" w:rsidRPr="00605771">
        <w:t xml:space="preserve"> a représenté </w:t>
      </w:r>
      <w:r w:rsidR="001816AE" w:rsidRPr="00605771">
        <w:t>les</w:t>
      </w:r>
      <w:r w:rsidR="008515D8" w:rsidRPr="00605771">
        <w:t xml:space="preserve"> requérantes devant les juridictions inter</w:t>
      </w:r>
      <w:r w:rsidR="001816AE" w:rsidRPr="00605771">
        <w:t>nes</w:t>
      </w:r>
      <w:r w:rsidR="00EC344E" w:rsidRPr="00605771">
        <w:t xml:space="preserve"> –</w:t>
      </w:r>
      <w:r w:rsidR="001816AE" w:rsidRPr="00605771">
        <w:t xml:space="preserve"> </w:t>
      </w:r>
      <w:r w:rsidR="008515D8" w:rsidRPr="00605771">
        <w:t xml:space="preserve">recevait </w:t>
      </w:r>
      <w:r w:rsidR="00EC344E" w:rsidRPr="00605771">
        <w:t>des fonds</w:t>
      </w:r>
      <w:r w:rsidR="00D74668" w:rsidRPr="00605771">
        <w:t xml:space="preserve"> d</w:t>
      </w:r>
      <w:r w:rsidR="00EC344E" w:rsidRPr="00605771">
        <w:t>e la part du</w:t>
      </w:r>
      <w:r w:rsidR="008515D8" w:rsidRPr="00605771">
        <w:t xml:space="preserve"> ministère des </w:t>
      </w:r>
      <w:r w:rsidR="00907391" w:rsidRPr="00605771">
        <w:t>A</w:t>
      </w:r>
      <w:r w:rsidR="008515D8" w:rsidRPr="00605771">
        <w:t>ffaires étrangères</w:t>
      </w:r>
      <w:r w:rsidR="00D74668" w:rsidRPr="00605771">
        <w:t>, destinés à</w:t>
      </w:r>
      <w:r w:rsidR="00BD4D5C" w:rsidRPr="00605771">
        <w:t xml:space="preserve"> l</w:t>
      </w:r>
      <w:r w:rsidR="00605771" w:rsidRPr="00605771">
        <w:t>’</w:t>
      </w:r>
      <w:r w:rsidR="001E4FA1" w:rsidRPr="00605771">
        <w:t>aide</w:t>
      </w:r>
      <w:r w:rsidR="00D74668" w:rsidRPr="00605771">
        <w:t xml:space="preserve"> aux</w:t>
      </w:r>
      <w:r w:rsidR="008515D8" w:rsidRPr="00605771">
        <w:t xml:space="preserve"> victimes de la traite des êtres humains. </w:t>
      </w:r>
      <w:r w:rsidR="00394D10" w:rsidRPr="00605771">
        <w:t>Il dit aussi que</w:t>
      </w:r>
      <w:r w:rsidR="009D1C3D" w:rsidRPr="00605771">
        <w:t xml:space="preserve"> les autorités internes ont collaboré avec l</w:t>
      </w:r>
      <w:r w:rsidR="00EC344E" w:rsidRPr="00605771">
        <w:t>e bureau central d</w:t>
      </w:r>
      <w:r w:rsidR="00605771" w:rsidRPr="00605771">
        <w:t>’</w:t>
      </w:r>
      <w:r w:rsidR="009D1C3D" w:rsidRPr="00605771">
        <w:t xml:space="preserve">Interpol </w:t>
      </w:r>
      <w:r w:rsidR="00961BCA" w:rsidRPr="00605771">
        <w:t xml:space="preserve">en </w:t>
      </w:r>
      <w:r w:rsidR="009D1C3D" w:rsidRPr="00605771">
        <w:t>Russ</w:t>
      </w:r>
      <w:r w:rsidR="00961BCA" w:rsidRPr="00605771">
        <w:t>i</w:t>
      </w:r>
      <w:r w:rsidR="009D1C3D" w:rsidRPr="00605771">
        <w:t>e</w:t>
      </w:r>
      <w:r w:rsidR="00961BCA" w:rsidRPr="00605771">
        <w:t>.</w:t>
      </w:r>
    </w:p>
    <w:p w:rsidR="002C7F5B" w:rsidRPr="00605771" w:rsidRDefault="00310FE9"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123</w:t>
      </w:r>
      <w:r w:rsidRPr="00605771">
        <w:rPr>
          <w:lang w:val="el-GR"/>
        </w:rPr>
        <w:fldChar w:fldCharType="end"/>
      </w:r>
      <w:r w:rsidRPr="00605771">
        <w:t>.  Le Gouvernement estime que l</w:t>
      </w:r>
      <w:r w:rsidR="00605771" w:rsidRPr="00605771">
        <w:t>’</w:t>
      </w:r>
      <w:r w:rsidRPr="00605771">
        <w:t xml:space="preserve">affaire </w:t>
      </w:r>
      <w:r w:rsidR="00961469" w:rsidRPr="00605771">
        <w:t>relative aux faits d</w:t>
      </w:r>
      <w:r w:rsidR="00605771" w:rsidRPr="00605771">
        <w:t>’</w:t>
      </w:r>
      <w:r w:rsidRPr="00605771">
        <w:t xml:space="preserve">exploitation </w:t>
      </w:r>
      <w:r w:rsidR="00961469" w:rsidRPr="00605771">
        <w:t>concernant</w:t>
      </w:r>
      <w:r w:rsidRPr="00605771">
        <w:t xml:space="preserve"> la troisième requérante a été dans son ensemble jugée dans des délais raisonnables</w:t>
      </w:r>
      <w:r w:rsidR="00EC344E" w:rsidRPr="00605771">
        <w:t>,</w:t>
      </w:r>
      <w:r w:rsidRPr="00605771">
        <w:t xml:space="preserve"> et </w:t>
      </w:r>
      <w:r w:rsidR="00EC344E" w:rsidRPr="00605771">
        <w:t>il précise</w:t>
      </w:r>
      <w:r w:rsidRPr="00605771">
        <w:t xml:space="preserve"> </w:t>
      </w:r>
      <w:r w:rsidR="00EC344E" w:rsidRPr="00605771">
        <w:t xml:space="preserve">à ce sujet </w:t>
      </w:r>
      <w:r w:rsidRPr="00605771">
        <w:t>que la procédure a duré cinq ans et huit mois pour deux instances. Il ajoute à cet égard que les ajournements d</w:t>
      </w:r>
      <w:r w:rsidR="00605771" w:rsidRPr="00605771">
        <w:t>’</w:t>
      </w:r>
      <w:r w:rsidR="001F5B2A" w:rsidRPr="00605771">
        <w:t>audience</w:t>
      </w:r>
      <w:r w:rsidRPr="00605771">
        <w:t xml:space="preserve"> étaient justifiés et que</w:t>
      </w:r>
      <w:r w:rsidR="001F5B2A" w:rsidRPr="00605771">
        <w:t xml:space="preserve"> cette</w:t>
      </w:r>
      <w:r w:rsidRPr="00605771">
        <w:t xml:space="preserve"> requérante a </w:t>
      </w:r>
      <w:r w:rsidR="001F5B2A" w:rsidRPr="00605771">
        <w:t>elle</w:t>
      </w:r>
      <w:r w:rsidR="001F5B2A" w:rsidRPr="00605771">
        <w:noBreakHyphen/>
        <w:t xml:space="preserve">même </w:t>
      </w:r>
      <w:r w:rsidRPr="00605771">
        <w:t xml:space="preserve">demandé </w:t>
      </w:r>
      <w:r w:rsidR="001F5B2A" w:rsidRPr="00605771">
        <w:t>un</w:t>
      </w:r>
      <w:r w:rsidR="001F5B2A" w:rsidRPr="00605771">
        <w:rPr>
          <w:color w:val="000000"/>
        </w:rPr>
        <w:t xml:space="preserve"> </w:t>
      </w:r>
      <w:r w:rsidR="001F5B2A" w:rsidRPr="00605771">
        <w:t>report de l</w:t>
      </w:r>
      <w:r w:rsidR="00605771" w:rsidRPr="00605771">
        <w:t>’</w:t>
      </w:r>
      <w:r w:rsidR="001F5B2A" w:rsidRPr="00605771">
        <w:t>examen de l</w:t>
      </w:r>
      <w:r w:rsidR="00605771" w:rsidRPr="00605771">
        <w:t>’</w:t>
      </w:r>
      <w:r w:rsidR="001F5B2A" w:rsidRPr="00605771">
        <w:t>affaire</w:t>
      </w:r>
      <w:r w:rsidRPr="00605771">
        <w:t>.</w:t>
      </w:r>
    </w:p>
    <w:p w:rsidR="001816AE" w:rsidRPr="00605771" w:rsidRDefault="001816AE"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124</w:t>
      </w:r>
      <w:r w:rsidRPr="00605771">
        <w:fldChar w:fldCharType="end"/>
      </w:r>
      <w:r w:rsidRPr="00605771">
        <w:t xml:space="preserve">.  Le Gouvernement </w:t>
      </w:r>
      <w:r w:rsidR="00EC344E" w:rsidRPr="00605771">
        <w:t>dit</w:t>
      </w:r>
      <w:r w:rsidRPr="00605771">
        <w:t xml:space="preserve"> que N.S., F.P. et E.M., responsables présumés </w:t>
      </w:r>
      <w:r w:rsidR="00EC344E" w:rsidRPr="00605771">
        <w:t>des faits de traite des êtres humains commis à l</w:t>
      </w:r>
      <w:r w:rsidR="00605771" w:rsidRPr="00605771">
        <w:t>’</w:t>
      </w:r>
      <w:r w:rsidR="00EC344E" w:rsidRPr="00605771">
        <w:t>en</w:t>
      </w:r>
      <w:r w:rsidRPr="00605771">
        <w:t xml:space="preserve">contre </w:t>
      </w:r>
      <w:r w:rsidR="00EC344E" w:rsidRPr="00605771">
        <w:t xml:space="preserve">de </w:t>
      </w:r>
      <w:r w:rsidRPr="00605771">
        <w:t xml:space="preserve">la troisième requérante, ont été arrêtés un jour après </w:t>
      </w:r>
      <w:r w:rsidR="00EC344E" w:rsidRPr="00605771">
        <w:t xml:space="preserve">le recueil de </w:t>
      </w:r>
      <w:r w:rsidRPr="00605771">
        <w:t>la deuxième déposition de l</w:t>
      </w:r>
      <w:r w:rsidR="00605771" w:rsidRPr="00605771">
        <w:t>’</w:t>
      </w:r>
      <w:r w:rsidRPr="00605771">
        <w:t xml:space="preserve">intéressée. </w:t>
      </w:r>
      <w:r w:rsidR="00EC344E" w:rsidRPr="00605771">
        <w:t>Il dit aussi que l</w:t>
      </w:r>
      <w:r w:rsidRPr="00605771">
        <w:t>e juge d</w:t>
      </w:r>
      <w:r w:rsidR="00605771" w:rsidRPr="00605771">
        <w:t>’</w:t>
      </w:r>
      <w:r w:rsidRPr="00605771">
        <w:t>instruction a ordonné la détention provisoire de N.S. et de F.P.</w:t>
      </w:r>
      <w:r w:rsidR="00EC344E" w:rsidRPr="00605771">
        <w:t>,</w:t>
      </w:r>
      <w:r w:rsidRPr="00605771">
        <w:t xml:space="preserve"> et l</w:t>
      </w:r>
      <w:r w:rsidR="00605771" w:rsidRPr="00605771">
        <w:t>’</w:t>
      </w:r>
      <w:r w:rsidRPr="00605771">
        <w:t xml:space="preserve">imposition de mesures restrictives à </w:t>
      </w:r>
      <w:r w:rsidR="00EC344E" w:rsidRPr="00605771">
        <w:t>l</w:t>
      </w:r>
      <w:r w:rsidR="00605771" w:rsidRPr="00605771">
        <w:t>’</w:t>
      </w:r>
      <w:r w:rsidR="00EC344E" w:rsidRPr="00605771">
        <w:t xml:space="preserve">encontre de </w:t>
      </w:r>
      <w:r w:rsidRPr="00605771">
        <w:t xml:space="preserve">E.M. </w:t>
      </w:r>
      <w:r w:rsidR="00EC344E" w:rsidRPr="00605771">
        <w:t>Il ajoute que l</w:t>
      </w:r>
      <w:r w:rsidRPr="00605771">
        <w:t xml:space="preserve">es accusés N.S. et F.P. ont été </w:t>
      </w:r>
      <w:r w:rsidRPr="00605771">
        <w:lastRenderedPageBreak/>
        <w:t>condamnés à des peines lourdes tant en première qu</w:t>
      </w:r>
      <w:r w:rsidR="00605771" w:rsidRPr="00605771">
        <w:t>’</w:t>
      </w:r>
      <w:r w:rsidRPr="00605771">
        <w:t xml:space="preserve">en deuxième instance, et ce sans </w:t>
      </w:r>
      <w:r w:rsidR="00350D44" w:rsidRPr="00605771">
        <w:t xml:space="preserve">se voir accorder le </w:t>
      </w:r>
      <w:r w:rsidR="00A90AB3" w:rsidRPr="00605771">
        <w:t>bénéfice d</w:t>
      </w:r>
      <w:r w:rsidR="00605771" w:rsidRPr="00605771">
        <w:t>’</w:t>
      </w:r>
      <w:r w:rsidR="00A90AB3" w:rsidRPr="00605771">
        <w:t xml:space="preserve">un </w:t>
      </w:r>
      <w:r w:rsidR="00EC344E" w:rsidRPr="00605771">
        <w:t>sursis</w:t>
      </w:r>
      <w:r w:rsidR="00A544BC" w:rsidRPr="00605771">
        <w:t xml:space="preserve"> à l</w:t>
      </w:r>
      <w:r w:rsidR="00605771" w:rsidRPr="00605771">
        <w:t>’</w:t>
      </w:r>
      <w:r w:rsidR="00A544BC" w:rsidRPr="00605771">
        <w:t>exécution</w:t>
      </w:r>
      <w:r w:rsidRPr="00605771">
        <w:t xml:space="preserve"> en deuxième instance. Quant à la détermination de la peine à imposer </w:t>
      </w:r>
      <w:r w:rsidR="00073ED2" w:rsidRPr="00605771">
        <w:t xml:space="preserve">en cas de </w:t>
      </w:r>
      <w:r w:rsidR="00DB06F3" w:rsidRPr="00605771">
        <w:t>concours d</w:t>
      </w:r>
      <w:r w:rsidR="00605771" w:rsidRPr="00605771">
        <w:t>’</w:t>
      </w:r>
      <w:r w:rsidRPr="00605771">
        <w:t xml:space="preserve">infractions, le Gouvernement allègue que le </w:t>
      </w:r>
      <w:r w:rsidR="00DB06F3" w:rsidRPr="00605771">
        <w:t xml:space="preserve">cumul strict </w:t>
      </w:r>
      <w:r w:rsidRPr="00605771">
        <w:t xml:space="preserve">des peines </w:t>
      </w:r>
      <w:r w:rsidR="00B658D3" w:rsidRPr="00605771">
        <w:t>infligées</w:t>
      </w:r>
      <w:r w:rsidRPr="00605771">
        <w:t xml:space="preserve"> a des effets indésirables. Il indique en particulier que la fixation d</w:t>
      </w:r>
      <w:r w:rsidR="00605771" w:rsidRPr="00605771">
        <w:t>’</w:t>
      </w:r>
      <w:r w:rsidRPr="00605771">
        <w:t>une peine globale est justifiée car elle éviterait l</w:t>
      </w:r>
      <w:r w:rsidR="00605771" w:rsidRPr="00605771">
        <w:t>’</w:t>
      </w:r>
      <w:r w:rsidRPr="00605771">
        <w:t>imposition d</w:t>
      </w:r>
      <w:r w:rsidR="00605771" w:rsidRPr="00605771">
        <w:t>’</w:t>
      </w:r>
      <w:r w:rsidRPr="00605771">
        <w:t xml:space="preserve">une peine trop stricte et </w:t>
      </w:r>
      <w:r w:rsidR="00642289" w:rsidRPr="00605771">
        <w:t>l</w:t>
      </w:r>
      <w:r w:rsidR="00605771" w:rsidRPr="00605771">
        <w:t>’</w:t>
      </w:r>
      <w:r w:rsidR="00642289" w:rsidRPr="00605771">
        <w:t>application d</w:t>
      </w:r>
      <w:r w:rsidR="00605771" w:rsidRPr="00605771">
        <w:t>’</w:t>
      </w:r>
      <w:r w:rsidR="00642289" w:rsidRPr="00605771">
        <w:t>une</w:t>
      </w:r>
      <w:r w:rsidRPr="00605771">
        <w:t xml:space="preserve"> sanction disproportionnée </w:t>
      </w:r>
      <w:r w:rsidR="00642289" w:rsidRPr="00605771">
        <w:t>à</w:t>
      </w:r>
      <w:r w:rsidRPr="00605771">
        <w:t xml:space="preserve"> l</w:t>
      </w:r>
      <w:r w:rsidR="00605771" w:rsidRPr="00605771">
        <w:t>’</w:t>
      </w:r>
      <w:r w:rsidRPr="00605771">
        <w:t>auteur de l</w:t>
      </w:r>
      <w:r w:rsidR="00605771" w:rsidRPr="00605771">
        <w:t>’</w:t>
      </w:r>
      <w:r w:rsidRPr="00605771">
        <w:t>infraction. Le Gouvernement ajoute que la troisième requérante a bénéficié de l</w:t>
      </w:r>
      <w:r w:rsidR="00605771" w:rsidRPr="00605771">
        <w:t>’</w:t>
      </w:r>
      <w:r w:rsidRPr="00605771">
        <w:t>assistance d</w:t>
      </w:r>
      <w:r w:rsidR="00605771" w:rsidRPr="00605771">
        <w:t>’</w:t>
      </w:r>
      <w:r w:rsidRPr="00605771">
        <w:t>un avocat du Moniteur grec Helsinki</w:t>
      </w:r>
      <w:r w:rsidR="00073ED2" w:rsidRPr="00605771">
        <w:t>,</w:t>
      </w:r>
      <w:r w:rsidRPr="00605771">
        <w:t xml:space="preserve"> </w:t>
      </w:r>
      <w:r w:rsidR="000B4097" w:rsidRPr="00605771">
        <w:t xml:space="preserve">mais </w:t>
      </w:r>
      <w:r w:rsidR="00073ED2" w:rsidRPr="00605771">
        <w:t>qu</w:t>
      </w:r>
      <w:r w:rsidR="00605771" w:rsidRPr="00605771">
        <w:t>’</w:t>
      </w:r>
      <w:r w:rsidRPr="00605771">
        <w:t>elle a choisi de ne pas compara</w:t>
      </w:r>
      <w:r w:rsidR="00073ED2" w:rsidRPr="00605771">
        <w:t>î</w:t>
      </w:r>
      <w:r w:rsidRPr="00605771">
        <w:t xml:space="preserve">tre devant </w:t>
      </w:r>
      <w:r w:rsidR="000B4097" w:rsidRPr="00605771">
        <w:t>la cour d</w:t>
      </w:r>
      <w:r w:rsidR="00605771" w:rsidRPr="00605771">
        <w:t>’</w:t>
      </w:r>
      <w:r w:rsidR="000B4097" w:rsidRPr="00605771">
        <w:t>appel.</w:t>
      </w:r>
    </w:p>
    <w:p w:rsidR="002545BC" w:rsidRPr="00605771" w:rsidRDefault="002545BC"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125</w:t>
      </w:r>
      <w:r w:rsidRPr="00605771">
        <w:fldChar w:fldCharType="end"/>
      </w:r>
      <w:r w:rsidRPr="00605771">
        <w:t xml:space="preserve">.  En outre, </w:t>
      </w:r>
      <w:r w:rsidR="00361AA3" w:rsidRPr="00605771">
        <w:t xml:space="preserve">le Gouvernement soutient que, </w:t>
      </w:r>
      <w:r w:rsidRPr="00605771">
        <w:t xml:space="preserve">en ce qui concerne les deux premières requérantes, les autorités </w:t>
      </w:r>
      <w:r w:rsidR="00C9493A" w:rsidRPr="00605771">
        <w:t xml:space="preserve">de </w:t>
      </w:r>
      <w:r w:rsidRPr="00605771">
        <w:t xml:space="preserve">police ont agi avec diligence </w:t>
      </w:r>
      <w:r w:rsidR="00FE1F75" w:rsidRPr="00605771">
        <w:t>en vue de l</w:t>
      </w:r>
      <w:r w:rsidR="00605771" w:rsidRPr="00605771">
        <w:t>’</w:t>
      </w:r>
      <w:r w:rsidR="00FE1F75" w:rsidRPr="00605771">
        <w:t>arrestation des suspects et de leur renvoi devant la justice</w:t>
      </w:r>
      <w:r w:rsidRPr="00605771">
        <w:t xml:space="preserve">. </w:t>
      </w:r>
      <w:r w:rsidR="00361AA3" w:rsidRPr="00605771">
        <w:t>Il expose</w:t>
      </w:r>
      <w:r w:rsidRPr="00605771">
        <w:t xml:space="preserve"> que </w:t>
      </w:r>
      <w:r w:rsidR="00361AA3" w:rsidRPr="00605771">
        <w:t xml:space="preserve">la </w:t>
      </w:r>
      <w:r w:rsidRPr="00605771">
        <w:t>procédure</w:t>
      </w:r>
      <w:r w:rsidR="00E71071" w:rsidRPr="00605771">
        <w:t xml:space="preserve"> </w:t>
      </w:r>
      <w:r w:rsidR="00361AA3" w:rsidRPr="00605771">
        <w:t xml:space="preserve">en cause </w:t>
      </w:r>
      <w:r w:rsidR="00E71071" w:rsidRPr="00605771">
        <w:t>a débuté le 20 juin 2008, date</w:t>
      </w:r>
      <w:r w:rsidRPr="00605771">
        <w:t xml:space="preserve"> </w:t>
      </w:r>
      <w:r w:rsidR="00361AA3" w:rsidRPr="00605771">
        <w:t>de constitution de partie civile de</w:t>
      </w:r>
      <w:r w:rsidRPr="00605771">
        <w:t xml:space="preserve"> la deuxième requérante</w:t>
      </w:r>
      <w:r w:rsidR="00361AA3" w:rsidRPr="00605771">
        <w:t xml:space="preserve">, </w:t>
      </w:r>
      <w:r w:rsidR="00E71071" w:rsidRPr="00605771">
        <w:t xml:space="preserve">et </w:t>
      </w:r>
      <w:r w:rsidR="00361AA3" w:rsidRPr="00605771">
        <w:t>qu</w:t>
      </w:r>
      <w:r w:rsidR="00605771" w:rsidRPr="00605771">
        <w:t>’</w:t>
      </w:r>
      <w:r w:rsidR="00361AA3" w:rsidRPr="00605771">
        <w:t>elle s</w:t>
      </w:r>
      <w:r w:rsidR="00605771" w:rsidRPr="00605771">
        <w:t>’</w:t>
      </w:r>
      <w:r w:rsidR="00E71071" w:rsidRPr="00605771">
        <w:t>est terminée le</w:t>
      </w:r>
      <w:r w:rsidR="003C2867" w:rsidRPr="00605771">
        <w:t xml:space="preserve"> </w:t>
      </w:r>
      <w:r w:rsidRPr="00605771">
        <w:t xml:space="preserve">19 mars 2010, date de </w:t>
      </w:r>
      <w:r w:rsidR="00361AA3" w:rsidRPr="00605771">
        <w:t>prononcé</w:t>
      </w:r>
      <w:r w:rsidRPr="00605771">
        <w:t xml:space="preserve"> de l</w:t>
      </w:r>
      <w:r w:rsidR="00605771" w:rsidRPr="00605771">
        <w:t>’</w:t>
      </w:r>
      <w:r w:rsidRPr="00605771">
        <w:t>arrêt n</w:t>
      </w:r>
      <w:r w:rsidRPr="00605771">
        <w:rPr>
          <w:vertAlign w:val="superscript"/>
        </w:rPr>
        <w:t>o</w:t>
      </w:r>
      <w:r w:rsidRPr="00605771">
        <w:t> 25018-26603/2010 du tribunal correctionnel d</w:t>
      </w:r>
      <w:r w:rsidR="00605771" w:rsidRPr="00605771">
        <w:t>’</w:t>
      </w:r>
      <w:r w:rsidRPr="00605771">
        <w:t>Athènes.</w:t>
      </w:r>
      <w:r w:rsidR="00E2151A" w:rsidRPr="00605771">
        <w:t xml:space="preserve"> Il</w:t>
      </w:r>
      <w:r w:rsidRPr="00605771">
        <w:t xml:space="preserve"> estime que cette période d</w:t>
      </w:r>
      <w:r w:rsidR="00605771" w:rsidRPr="00605771">
        <w:t>’</w:t>
      </w:r>
      <w:r w:rsidRPr="00605771">
        <w:t>un an et neuf mois environ n</w:t>
      </w:r>
      <w:r w:rsidR="00605771" w:rsidRPr="00605771">
        <w:t>’</w:t>
      </w:r>
      <w:r w:rsidR="00E2151A" w:rsidRPr="00605771">
        <w:t>a</w:t>
      </w:r>
      <w:r w:rsidRPr="00605771">
        <w:t xml:space="preserve"> pas </w:t>
      </w:r>
      <w:r w:rsidR="00E2151A" w:rsidRPr="00605771">
        <w:t>été d</w:t>
      </w:r>
      <w:r w:rsidR="00605771" w:rsidRPr="00605771">
        <w:t>’</w:t>
      </w:r>
      <w:r w:rsidR="00E2151A" w:rsidRPr="00605771">
        <w:t xml:space="preserve">une durée </w:t>
      </w:r>
      <w:r w:rsidRPr="00605771">
        <w:t>déraisonnable, compte tenu de la complexité de l</w:t>
      </w:r>
      <w:r w:rsidR="00605771" w:rsidRPr="00605771">
        <w:t>’</w:t>
      </w:r>
      <w:r w:rsidRPr="00605771">
        <w:t>affaire et des nombreux actes d</w:t>
      </w:r>
      <w:r w:rsidR="00605771" w:rsidRPr="00605771">
        <w:t>’</w:t>
      </w:r>
      <w:r w:rsidRPr="00605771">
        <w:t xml:space="preserve">enquête </w:t>
      </w:r>
      <w:r w:rsidR="00A969E0" w:rsidRPr="00605771">
        <w:t>réalisés.</w:t>
      </w:r>
      <w:r w:rsidRPr="00605771">
        <w:t xml:space="preserve"> Il </w:t>
      </w:r>
      <w:r w:rsidR="0094563E" w:rsidRPr="00605771">
        <w:t>est aussi d</w:t>
      </w:r>
      <w:r w:rsidR="00605771" w:rsidRPr="00605771">
        <w:t>’</w:t>
      </w:r>
      <w:r w:rsidR="0094563E" w:rsidRPr="00605771">
        <w:t>avis</w:t>
      </w:r>
      <w:r w:rsidRPr="00605771">
        <w:t xml:space="preserve"> que la </w:t>
      </w:r>
      <w:r w:rsidR="00324329" w:rsidRPr="00605771">
        <w:t xml:space="preserve">durée de la </w:t>
      </w:r>
      <w:r w:rsidRPr="00605771">
        <w:t xml:space="preserve">période </w:t>
      </w:r>
      <w:r w:rsidR="00324329" w:rsidRPr="00605771">
        <w:t>comprise entre le</w:t>
      </w:r>
      <w:r w:rsidRPr="00605771">
        <w:t xml:space="preserve"> 20</w:t>
      </w:r>
      <w:r w:rsidR="00A969E0" w:rsidRPr="00605771">
        <w:t> </w:t>
      </w:r>
      <w:r w:rsidRPr="00605771">
        <w:t xml:space="preserve">juin 2008, date </w:t>
      </w:r>
      <w:r w:rsidR="00350D44" w:rsidRPr="00605771">
        <w:t>susmentionnée correspondant à la</w:t>
      </w:r>
      <w:r w:rsidR="00A969E0" w:rsidRPr="00605771">
        <w:t xml:space="preserve"> constitution de</w:t>
      </w:r>
      <w:r w:rsidRPr="00605771">
        <w:t xml:space="preserve"> partie civile</w:t>
      </w:r>
      <w:r w:rsidR="00A969E0" w:rsidRPr="00605771">
        <w:t xml:space="preserve"> de la deuxième requérante</w:t>
      </w:r>
      <w:r w:rsidRPr="00605771">
        <w:t xml:space="preserve">, </w:t>
      </w:r>
      <w:r w:rsidR="00324329" w:rsidRPr="00605771">
        <w:t>et le</w:t>
      </w:r>
      <w:r w:rsidRPr="00605771">
        <w:t xml:space="preserve"> 20 octobre 2009, date</w:t>
      </w:r>
      <w:r w:rsidR="00A969E0" w:rsidRPr="00605771">
        <w:t xml:space="preserve"> de la décision de suspension du procès dirigé contre</w:t>
      </w:r>
      <w:r w:rsidRPr="00605771">
        <w:t xml:space="preserve"> N.M.</w:t>
      </w:r>
      <w:r w:rsidR="00777F9B" w:rsidRPr="00605771">
        <w:t xml:space="preserve"> </w:t>
      </w:r>
      <w:r w:rsidR="00A969E0" w:rsidRPr="00605771">
        <w:t>prise par le procureur</w:t>
      </w:r>
      <w:r w:rsidR="0094563E" w:rsidRPr="00605771">
        <w:t xml:space="preserve">, ne peut être </w:t>
      </w:r>
      <w:r w:rsidR="00324329" w:rsidRPr="00605771">
        <w:t>qualifiée de</w:t>
      </w:r>
      <w:r w:rsidR="0094563E" w:rsidRPr="00605771">
        <w:t xml:space="preserve"> déraisonnable</w:t>
      </w:r>
      <w:r w:rsidR="00A969E0" w:rsidRPr="00605771">
        <w:t>.</w:t>
      </w:r>
    </w:p>
    <w:p w:rsidR="002C7F5B" w:rsidRPr="00605771" w:rsidRDefault="002545BC"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126</w:t>
      </w:r>
      <w:r w:rsidRPr="00605771">
        <w:fldChar w:fldCharType="end"/>
      </w:r>
      <w:r w:rsidRPr="00605771">
        <w:t>.  </w:t>
      </w:r>
      <w:r w:rsidR="00324329" w:rsidRPr="00605771">
        <w:t>Le</w:t>
      </w:r>
      <w:r w:rsidRPr="00605771">
        <w:t xml:space="preserve"> Gouvernement</w:t>
      </w:r>
      <w:r w:rsidR="00441FE5" w:rsidRPr="00605771">
        <w:t xml:space="preserve"> considère que</w:t>
      </w:r>
      <w:r w:rsidRPr="00605771">
        <w:t xml:space="preserve"> </w:t>
      </w:r>
      <w:r w:rsidR="004B683E" w:rsidRPr="00605771">
        <w:t>le fait</w:t>
      </w:r>
      <w:r w:rsidRPr="00605771">
        <w:t xml:space="preserve"> que les accusés P.F. et A.A. ont été acquittés en appel </w:t>
      </w:r>
      <w:r w:rsidR="004B683E" w:rsidRPr="00605771">
        <w:t xml:space="preserve">ne permet pas de douter </w:t>
      </w:r>
      <w:r w:rsidR="00441FE5" w:rsidRPr="00605771">
        <w:t>de l</w:t>
      </w:r>
      <w:r w:rsidR="00605771" w:rsidRPr="00605771">
        <w:t>’</w:t>
      </w:r>
      <w:r w:rsidR="00441FE5" w:rsidRPr="00605771">
        <w:t>indépendance et de l</w:t>
      </w:r>
      <w:r w:rsidR="00605771" w:rsidRPr="00605771">
        <w:t>’</w:t>
      </w:r>
      <w:r w:rsidR="00441FE5" w:rsidRPr="00605771">
        <w:t xml:space="preserve">impartialité des tribunaux ayant examiné les </w:t>
      </w:r>
      <w:r w:rsidR="00FB59F6" w:rsidRPr="00605771">
        <w:t>charges</w:t>
      </w:r>
      <w:r w:rsidRPr="00605771">
        <w:t xml:space="preserve"> </w:t>
      </w:r>
      <w:r w:rsidR="004B683E" w:rsidRPr="00605771">
        <w:t xml:space="preserve">portées </w:t>
      </w:r>
      <w:r w:rsidR="00364B62" w:rsidRPr="00605771">
        <w:t>à leur en</w:t>
      </w:r>
      <w:r w:rsidR="004B683E" w:rsidRPr="00605771">
        <w:t xml:space="preserve">contre, </w:t>
      </w:r>
      <w:r w:rsidR="00441FE5" w:rsidRPr="00605771">
        <w:t xml:space="preserve">puisque </w:t>
      </w:r>
      <w:r w:rsidRPr="00605771">
        <w:t>l</w:t>
      </w:r>
      <w:r w:rsidR="00605771" w:rsidRPr="00605771">
        <w:t>’</w:t>
      </w:r>
      <w:r w:rsidRPr="00605771">
        <w:t>article 4 de la Convention n</w:t>
      </w:r>
      <w:r w:rsidR="00605771" w:rsidRPr="00605771">
        <w:t>’</w:t>
      </w:r>
      <w:r w:rsidRPr="00605771">
        <w:t>établi</w:t>
      </w:r>
      <w:r w:rsidR="00441FE5" w:rsidRPr="00605771">
        <w:t>rait</w:t>
      </w:r>
      <w:r w:rsidRPr="00605771">
        <w:t xml:space="preserve"> pas </w:t>
      </w:r>
      <w:r w:rsidR="004B683E" w:rsidRPr="00605771">
        <w:t xml:space="preserve">une </w:t>
      </w:r>
      <w:r w:rsidRPr="00605771">
        <w:t xml:space="preserve">obligation </w:t>
      </w:r>
      <w:r w:rsidR="004B683E" w:rsidRPr="00605771">
        <w:t>d</w:t>
      </w:r>
      <w:r w:rsidR="00605771" w:rsidRPr="00605771">
        <w:t>’</w:t>
      </w:r>
      <w:r w:rsidR="004B683E" w:rsidRPr="00605771">
        <w:t>aboutissement de</w:t>
      </w:r>
      <w:r w:rsidRPr="00605771">
        <w:t xml:space="preserve"> toutes les plaintes pour traite des êtres humains à une condamnation. </w:t>
      </w:r>
      <w:r w:rsidR="004B683E" w:rsidRPr="00605771">
        <w:t>De m</w:t>
      </w:r>
      <w:r w:rsidRPr="00605771">
        <w:t>ême</w:t>
      </w:r>
      <w:r w:rsidR="004B683E" w:rsidRPr="00605771">
        <w:t xml:space="preserve">, </w:t>
      </w:r>
      <w:r w:rsidR="00364B62" w:rsidRPr="00605771">
        <w:t>il estime que</w:t>
      </w:r>
      <w:r w:rsidR="004B683E" w:rsidRPr="00605771">
        <w:t xml:space="preserve"> </w:t>
      </w:r>
      <w:r w:rsidRPr="00605771">
        <w:t>le fait que N.M. n</w:t>
      </w:r>
      <w:r w:rsidR="00605771" w:rsidRPr="00605771">
        <w:t>’</w:t>
      </w:r>
      <w:r w:rsidRPr="00605771">
        <w:t>a pas pu être retrouvée par l</w:t>
      </w:r>
      <w:r w:rsidR="00E71071" w:rsidRPr="00605771">
        <w:t xml:space="preserve">es autorités de </w:t>
      </w:r>
      <w:r w:rsidRPr="00605771">
        <w:t xml:space="preserve">police, </w:t>
      </w:r>
      <w:r w:rsidR="004B683E" w:rsidRPr="00605771">
        <w:t xml:space="preserve">en dépit des efforts </w:t>
      </w:r>
      <w:r w:rsidR="00364B62" w:rsidRPr="00605771">
        <w:t xml:space="preserve">qui auraient été </w:t>
      </w:r>
      <w:r w:rsidR="004B683E" w:rsidRPr="00605771">
        <w:t xml:space="preserve">immédiatement </w:t>
      </w:r>
      <w:r w:rsidR="00364B62" w:rsidRPr="00605771">
        <w:t xml:space="preserve">déployés par celles-ci </w:t>
      </w:r>
      <w:r w:rsidR="004B683E" w:rsidRPr="00605771">
        <w:t>après le recueil des dépositions des requérantes pour</w:t>
      </w:r>
      <w:r w:rsidRPr="00605771">
        <w:t xml:space="preserve"> </w:t>
      </w:r>
      <w:r w:rsidR="00611C99" w:rsidRPr="00605771">
        <w:t xml:space="preserve">la </w:t>
      </w:r>
      <w:r w:rsidRPr="00605771">
        <w:t xml:space="preserve">localiser et </w:t>
      </w:r>
      <w:r w:rsidR="00611C99" w:rsidRPr="00605771">
        <w:t>l</w:t>
      </w:r>
      <w:r w:rsidR="00605771" w:rsidRPr="00605771">
        <w:t>’</w:t>
      </w:r>
      <w:r w:rsidRPr="00605771">
        <w:t>arrêter, n</w:t>
      </w:r>
      <w:r w:rsidR="00605771" w:rsidRPr="00605771">
        <w:t>’</w:t>
      </w:r>
      <w:r w:rsidRPr="00605771">
        <w:t>est pas susceptible de mettre en doute l</w:t>
      </w:r>
      <w:r w:rsidR="00605771" w:rsidRPr="00605771">
        <w:t>’</w:t>
      </w:r>
      <w:r w:rsidRPr="00605771">
        <w:t>eff</w:t>
      </w:r>
      <w:r w:rsidR="009F0737" w:rsidRPr="00605771">
        <w:t>ectivité</w:t>
      </w:r>
      <w:r w:rsidRPr="00605771">
        <w:t xml:space="preserve"> de l</w:t>
      </w:r>
      <w:r w:rsidR="00605771" w:rsidRPr="00605771">
        <w:t>’</w:t>
      </w:r>
      <w:r w:rsidRPr="00605771">
        <w:t>enquête en l</w:t>
      </w:r>
      <w:r w:rsidR="00605771" w:rsidRPr="00605771">
        <w:t>’</w:t>
      </w:r>
      <w:r w:rsidRPr="00605771">
        <w:t>espèce. En tout état de cause, selon le Gouvernement, la procédure contre N.M. n</w:t>
      </w:r>
      <w:r w:rsidR="00605771" w:rsidRPr="00605771">
        <w:t>’</w:t>
      </w:r>
      <w:r w:rsidRPr="00605771">
        <w:t xml:space="preserve">a pas été </w:t>
      </w:r>
      <w:r w:rsidR="0098466B" w:rsidRPr="00605771">
        <w:t>clôturée</w:t>
      </w:r>
      <w:r w:rsidR="008B3593" w:rsidRPr="00605771">
        <w:t>,</w:t>
      </w:r>
      <w:r w:rsidRPr="00605771">
        <w:t xml:space="preserve"> mais uniquement suspendue jusqu</w:t>
      </w:r>
      <w:r w:rsidR="00605771" w:rsidRPr="00605771">
        <w:t>’</w:t>
      </w:r>
      <w:r w:rsidRPr="00605771">
        <w:t xml:space="preserve">à </w:t>
      </w:r>
      <w:r w:rsidR="00FE2FEB" w:rsidRPr="00605771">
        <w:t>l</w:t>
      </w:r>
      <w:r w:rsidR="00605771" w:rsidRPr="00605771">
        <w:t>’</w:t>
      </w:r>
      <w:r w:rsidR="00FE2FEB" w:rsidRPr="00605771">
        <w:t>arrestation et la traduction en justice de</w:t>
      </w:r>
      <w:r w:rsidR="009F0737" w:rsidRPr="00605771">
        <w:t xml:space="preserve"> cette dernière</w:t>
      </w:r>
      <w:r w:rsidRPr="00605771">
        <w:t>. Le Gouvernement ajoute que</w:t>
      </w:r>
      <w:r w:rsidR="009F0737" w:rsidRPr="00605771">
        <w:t>,</w:t>
      </w:r>
      <w:r w:rsidRPr="00605771">
        <w:t xml:space="preserve"> tout au long de l</w:t>
      </w:r>
      <w:r w:rsidR="00605771" w:rsidRPr="00605771">
        <w:t>’</w:t>
      </w:r>
      <w:r w:rsidRPr="00605771">
        <w:t>enquête, les autorités de police ont coopéré avec les requérantes et procédé à l</w:t>
      </w:r>
      <w:r w:rsidR="00605771" w:rsidRPr="00605771">
        <w:t>’</w:t>
      </w:r>
      <w:r w:rsidR="009F0737" w:rsidRPr="00605771">
        <w:t>audition</w:t>
      </w:r>
      <w:r w:rsidRPr="00605771">
        <w:t xml:space="preserve"> de nombreux témoins.</w:t>
      </w:r>
    </w:p>
    <w:p w:rsidR="002C7F5B" w:rsidRPr="00605771" w:rsidRDefault="000E65FA"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127</w:t>
      </w:r>
      <w:r w:rsidRPr="00605771">
        <w:fldChar w:fldCharType="end"/>
      </w:r>
      <w:r w:rsidRPr="00605771">
        <w:t>.  Quant aux procédures</w:t>
      </w:r>
      <w:r w:rsidR="00011840" w:rsidRPr="00605771">
        <w:t xml:space="preserve"> portant sur</w:t>
      </w:r>
      <w:r w:rsidRPr="00605771">
        <w:t xml:space="preserve"> la délivrance de</w:t>
      </w:r>
      <w:r w:rsidR="009A236E" w:rsidRPr="00605771">
        <w:t>s</w:t>
      </w:r>
      <w:r w:rsidRPr="00605771">
        <w:t xml:space="preserve"> visa</w:t>
      </w:r>
      <w:r w:rsidR="00873B7E" w:rsidRPr="00605771">
        <w:t>s</w:t>
      </w:r>
      <w:r w:rsidRPr="00605771">
        <w:t xml:space="preserve">, le Gouvernement </w:t>
      </w:r>
      <w:r w:rsidR="002D64FB" w:rsidRPr="00605771">
        <w:t>argue</w:t>
      </w:r>
      <w:r w:rsidRPr="00605771">
        <w:t xml:space="preserve"> que l</w:t>
      </w:r>
      <w:r w:rsidR="00605771" w:rsidRPr="00605771">
        <w:t>’</w:t>
      </w:r>
      <w:r w:rsidRPr="00605771">
        <w:t>enquête</w:t>
      </w:r>
      <w:r w:rsidR="00834788" w:rsidRPr="00605771">
        <w:t xml:space="preserve"> judiciaire </w:t>
      </w:r>
      <w:r w:rsidRPr="00605771">
        <w:t xml:space="preserve">menée </w:t>
      </w:r>
      <w:r w:rsidR="00E4086A" w:rsidRPr="00605771">
        <w:t>en l</w:t>
      </w:r>
      <w:r w:rsidR="00605771" w:rsidRPr="00605771">
        <w:t>’</w:t>
      </w:r>
      <w:r w:rsidR="00E4086A" w:rsidRPr="00605771">
        <w:t xml:space="preserve">espèce </w:t>
      </w:r>
      <w:r w:rsidRPr="00605771">
        <w:t>était pleinement satisfaisante, qu</w:t>
      </w:r>
      <w:r w:rsidR="00605771" w:rsidRPr="00605771">
        <w:t>’</w:t>
      </w:r>
      <w:r w:rsidRPr="00605771">
        <w:t xml:space="preserve">elle a été </w:t>
      </w:r>
      <w:r w:rsidR="002D64FB" w:rsidRPr="00605771">
        <w:t>engag</w:t>
      </w:r>
      <w:r w:rsidRPr="00605771">
        <w:t>ée immédiatement après la plainte du Moniteur grec Helsinki du 17 janvier 2006</w:t>
      </w:r>
      <w:r w:rsidR="002D64FB" w:rsidRPr="00605771">
        <w:t xml:space="preserve"> et</w:t>
      </w:r>
      <w:r w:rsidRPr="00605771">
        <w:t xml:space="preserve"> qu</w:t>
      </w:r>
      <w:r w:rsidR="00605771" w:rsidRPr="00605771">
        <w:t>’</w:t>
      </w:r>
      <w:r w:rsidRPr="00605771">
        <w:t xml:space="preserve">elle a été </w:t>
      </w:r>
      <w:r w:rsidR="009A236E" w:rsidRPr="00605771">
        <w:t>conduite</w:t>
      </w:r>
      <w:r w:rsidRPr="00605771">
        <w:t xml:space="preserve"> avec la diligence requise, </w:t>
      </w:r>
      <w:r w:rsidR="002D64FB" w:rsidRPr="00605771">
        <w:t xml:space="preserve">étant donné </w:t>
      </w:r>
      <w:r w:rsidRPr="00605771">
        <w:t xml:space="preserve">notamment </w:t>
      </w:r>
      <w:r w:rsidR="002D64FB" w:rsidRPr="00605771">
        <w:t xml:space="preserve">la </w:t>
      </w:r>
      <w:r w:rsidRPr="00605771">
        <w:t>demand</w:t>
      </w:r>
      <w:r w:rsidR="002D64FB" w:rsidRPr="00605771">
        <w:t>e</w:t>
      </w:r>
      <w:r w:rsidRPr="00605771">
        <w:t xml:space="preserve"> </w:t>
      </w:r>
      <w:r w:rsidR="002D64FB" w:rsidRPr="00605771">
        <w:t>d</w:t>
      </w:r>
      <w:r w:rsidR="00605771" w:rsidRPr="00605771">
        <w:t>’</w:t>
      </w:r>
      <w:r w:rsidR="002D64FB" w:rsidRPr="00605771">
        <w:t>extension du champ de ladite enquête</w:t>
      </w:r>
      <w:r w:rsidRPr="00605771">
        <w:t xml:space="preserve"> </w:t>
      </w:r>
      <w:r w:rsidR="002D64FB" w:rsidRPr="00605771">
        <w:t xml:space="preserve">formulée par le procureur </w:t>
      </w:r>
      <w:r w:rsidR="002D64FB" w:rsidRPr="00605771">
        <w:lastRenderedPageBreak/>
        <w:t xml:space="preserve">compétent </w:t>
      </w:r>
      <w:r w:rsidRPr="00605771">
        <w:t xml:space="preserve">(paragraphe </w:t>
      </w:r>
      <w:r w:rsidRPr="00605771">
        <w:fldChar w:fldCharType="begin"/>
      </w:r>
      <w:r w:rsidRPr="00605771">
        <w:instrText xml:space="preserve"> REF demandeprocureure3 \h </w:instrText>
      </w:r>
      <w:r w:rsidR="00DD419A" w:rsidRPr="00605771">
        <w:instrText xml:space="preserve"> \* MERGEFORMAT </w:instrText>
      </w:r>
      <w:r w:rsidRPr="00605771">
        <w:fldChar w:fldCharType="separate"/>
      </w:r>
      <w:r w:rsidR="00605771" w:rsidRPr="00605771">
        <w:rPr>
          <w:noProof/>
        </w:rPr>
        <w:t>77</w:t>
      </w:r>
      <w:r w:rsidRPr="00605771">
        <w:fldChar w:fldCharType="end"/>
      </w:r>
      <w:r w:rsidRPr="00605771">
        <w:t xml:space="preserve"> ci-dessus)</w:t>
      </w:r>
      <w:r w:rsidR="0019536B" w:rsidRPr="00605771">
        <w:t>,</w:t>
      </w:r>
      <w:r w:rsidRPr="00605771">
        <w:t xml:space="preserve"> et</w:t>
      </w:r>
      <w:r w:rsidR="0019536B" w:rsidRPr="00605771">
        <w:t>, en outre,</w:t>
      </w:r>
      <w:r w:rsidRPr="00605771">
        <w:t xml:space="preserve"> </w:t>
      </w:r>
      <w:r w:rsidR="0019536B" w:rsidRPr="00605771">
        <w:t>qu</w:t>
      </w:r>
      <w:r w:rsidR="00605771" w:rsidRPr="00605771">
        <w:t>’</w:t>
      </w:r>
      <w:r w:rsidR="0019536B" w:rsidRPr="00605771">
        <w:t>aucune inertie ne peut être reprochée aux</w:t>
      </w:r>
      <w:r w:rsidRPr="00605771">
        <w:t xml:space="preserve"> autorités. </w:t>
      </w:r>
      <w:r w:rsidR="00DD419A" w:rsidRPr="00605771">
        <w:t>En particulier, de l</w:t>
      </w:r>
      <w:r w:rsidR="00605771" w:rsidRPr="00605771">
        <w:t>’</w:t>
      </w:r>
      <w:r w:rsidR="00DD419A" w:rsidRPr="00605771">
        <w:t xml:space="preserve">avis du Gouvernement, seule doit être prise en compte la période allant du 16 mai 2006, date </w:t>
      </w:r>
      <w:r w:rsidR="002D64FB" w:rsidRPr="00605771">
        <w:t xml:space="preserve">de </w:t>
      </w:r>
      <w:r w:rsidR="00DD419A" w:rsidRPr="00605771">
        <w:t>constitu</w:t>
      </w:r>
      <w:r w:rsidR="002D64FB" w:rsidRPr="00605771">
        <w:t>tion de</w:t>
      </w:r>
      <w:r w:rsidR="00E71071" w:rsidRPr="00605771">
        <w:t xml:space="preserve"> partie civile</w:t>
      </w:r>
      <w:r w:rsidR="00A73A4D" w:rsidRPr="00605771">
        <w:t xml:space="preserve"> des requérantes</w:t>
      </w:r>
      <w:r w:rsidR="00E71071" w:rsidRPr="00605771">
        <w:t>, au 4 </w:t>
      </w:r>
      <w:r w:rsidR="00DD419A" w:rsidRPr="00605771">
        <w:t xml:space="preserve">décembre 2009, date </w:t>
      </w:r>
      <w:r w:rsidR="002D64FB" w:rsidRPr="00605771">
        <w:t>de clôture de</w:t>
      </w:r>
      <w:r w:rsidR="00DD419A" w:rsidRPr="00605771">
        <w:t xml:space="preserve"> l</w:t>
      </w:r>
      <w:r w:rsidR="00605771" w:rsidRPr="00605771">
        <w:t>’</w:t>
      </w:r>
      <w:r w:rsidR="00DD419A" w:rsidRPr="00605771">
        <w:t>enquête préliminaire</w:t>
      </w:r>
      <w:r w:rsidR="002D64FB" w:rsidRPr="00605771">
        <w:t xml:space="preserve"> par le procureur compétent</w:t>
      </w:r>
      <w:r w:rsidR="00DD419A" w:rsidRPr="00605771">
        <w:t>. Dès lors, selon le Gouvernement, cette période de trois ans et six mois environ n</w:t>
      </w:r>
      <w:r w:rsidR="00605771" w:rsidRPr="00605771">
        <w:t>’</w:t>
      </w:r>
      <w:r w:rsidR="00150012" w:rsidRPr="00605771">
        <w:t>a</w:t>
      </w:r>
      <w:r w:rsidR="00DD419A" w:rsidRPr="00605771">
        <w:t xml:space="preserve"> pas</w:t>
      </w:r>
      <w:r w:rsidR="00150012" w:rsidRPr="00605771">
        <w:t xml:space="preserve"> été d</w:t>
      </w:r>
      <w:r w:rsidR="00605771" w:rsidRPr="00605771">
        <w:t>’</w:t>
      </w:r>
      <w:r w:rsidR="00150012" w:rsidRPr="00605771">
        <w:t>une durée</w:t>
      </w:r>
      <w:r w:rsidR="00DD419A" w:rsidRPr="00605771">
        <w:t xml:space="preserve"> déraisonnable en l</w:t>
      </w:r>
      <w:r w:rsidR="00605771" w:rsidRPr="00605771">
        <w:t>’</w:t>
      </w:r>
      <w:r w:rsidR="00DD419A" w:rsidRPr="00605771">
        <w:t>espèce, étant donné la complexité de l</w:t>
      </w:r>
      <w:r w:rsidR="00605771" w:rsidRPr="00605771">
        <w:t>’</w:t>
      </w:r>
      <w:r w:rsidR="00DD419A" w:rsidRPr="00605771">
        <w:t>affaire et les nombreux actes d</w:t>
      </w:r>
      <w:r w:rsidR="00605771" w:rsidRPr="00605771">
        <w:t>’</w:t>
      </w:r>
      <w:r w:rsidR="00DD419A" w:rsidRPr="00605771">
        <w:t>enquête</w:t>
      </w:r>
      <w:r w:rsidR="002D64FB" w:rsidRPr="00605771">
        <w:t xml:space="preserve"> réalisés</w:t>
      </w:r>
      <w:r w:rsidR="00DD419A" w:rsidRPr="00605771">
        <w:t>. En ce qui concerne la complexité de l</w:t>
      </w:r>
      <w:r w:rsidR="00605771" w:rsidRPr="00605771">
        <w:t>’</w:t>
      </w:r>
      <w:r w:rsidR="00DD419A" w:rsidRPr="00605771">
        <w:t>affaire, le</w:t>
      </w:r>
      <w:r w:rsidRPr="00605771">
        <w:t xml:space="preserve"> Gouvernement </w:t>
      </w:r>
      <w:r w:rsidR="002D64FB" w:rsidRPr="00605771">
        <w:t>expose</w:t>
      </w:r>
      <w:r w:rsidRPr="00605771">
        <w:t xml:space="preserve"> que le procureur </w:t>
      </w:r>
      <w:r w:rsidR="00534D4E" w:rsidRPr="00605771">
        <w:t>près le</w:t>
      </w:r>
      <w:r w:rsidRPr="00605771">
        <w:t xml:space="preserve"> tribunal correctionnel d</w:t>
      </w:r>
      <w:r w:rsidR="00605771" w:rsidRPr="00605771">
        <w:t>’</w:t>
      </w:r>
      <w:r w:rsidRPr="00605771">
        <w:t xml:space="preserve">Athènes a </w:t>
      </w:r>
      <w:r w:rsidR="00166457" w:rsidRPr="00605771">
        <w:t xml:space="preserve">demandé </w:t>
      </w:r>
      <w:r w:rsidR="005E02CD" w:rsidRPr="00605771">
        <w:t>la conduite d</w:t>
      </w:r>
      <w:r w:rsidR="00605771" w:rsidRPr="00605771">
        <w:t>’</w:t>
      </w:r>
      <w:r w:rsidR="00166457" w:rsidRPr="00605771">
        <w:t xml:space="preserve">une enquête </w:t>
      </w:r>
      <w:r w:rsidRPr="00605771">
        <w:t xml:space="preserve">en avril 2006 et que des poursuites pénales ont été engagées contre neuf personnes, y compris </w:t>
      </w:r>
      <w:r w:rsidR="00FF7030" w:rsidRPr="00605771">
        <w:t xml:space="preserve">contre </w:t>
      </w:r>
      <w:r w:rsidRPr="00605771">
        <w:t>trois employés du consulat.</w:t>
      </w:r>
    </w:p>
    <w:p w:rsidR="00DD419A" w:rsidRPr="00605771" w:rsidRDefault="00DD419A"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128</w:t>
      </w:r>
      <w:r w:rsidRPr="00605771">
        <w:fldChar w:fldCharType="end"/>
      </w:r>
      <w:r w:rsidRPr="00605771">
        <w:t>.  Le Gouvernement</w:t>
      </w:r>
      <w:r w:rsidR="005C7ACC" w:rsidRPr="00605771">
        <w:t xml:space="preserve"> </w:t>
      </w:r>
      <w:r w:rsidR="00EE4B84" w:rsidRPr="00605771">
        <w:t>indique aussi</w:t>
      </w:r>
      <w:r w:rsidR="005C7ACC" w:rsidRPr="00605771">
        <w:t xml:space="preserve"> que les requérantes ont participé activement à cette procédure, en </w:t>
      </w:r>
      <w:r w:rsidR="00680718" w:rsidRPr="00605771">
        <w:t>manifestant</w:t>
      </w:r>
      <w:r w:rsidR="005C7ACC" w:rsidRPr="00605771">
        <w:t xml:space="preserve"> leur intention de se constituer parties civiles et en soumettant un mémoire et des éléments complémentaires en mai et en décembre 2006. </w:t>
      </w:r>
      <w:r w:rsidR="00EE4B84" w:rsidRPr="00605771">
        <w:t>Il ajoute qu</w:t>
      </w:r>
      <w:r w:rsidR="00605771" w:rsidRPr="00605771">
        <w:t>’</w:t>
      </w:r>
      <w:r w:rsidR="00EE4B84" w:rsidRPr="00605771">
        <w:t>elles</w:t>
      </w:r>
      <w:r w:rsidR="005C7ACC" w:rsidRPr="00605771">
        <w:t xml:space="preserve"> ont été invitées à déposer </w:t>
      </w:r>
      <w:r w:rsidR="00E71071" w:rsidRPr="00605771">
        <w:t>en tant que</w:t>
      </w:r>
      <w:r w:rsidR="005C7ACC" w:rsidRPr="00605771">
        <w:t xml:space="preserve"> témoins</w:t>
      </w:r>
      <w:r w:rsidR="00EE4B84" w:rsidRPr="00605771">
        <w:t xml:space="preserve"> et que, </w:t>
      </w:r>
      <w:r w:rsidRPr="00605771">
        <w:t>lors de l</w:t>
      </w:r>
      <w:r w:rsidR="00605771" w:rsidRPr="00605771">
        <w:t>’</w:t>
      </w:r>
      <w:r w:rsidRPr="00605771">
        <w:t xml:space="preserve">instruction, les autorités compétentes les ont </w:t>
      </w:r>
      <w:r w:rsidR="0048183C" w:rsidRPr="00605771">
        <w:t>recherché</w:t>
      </w:r>
      <w:r w:rsidR="00EE4B84" w:rsidRPr="00605771">
        <w:t>e</w:t>
      </w:r>
      <w:r w:rsidR="0048183C" w:rsidRPr="00605771">
        <w:t>s</w:t>
      </w:r>
      <w:r w:rsidR="007A5239" w:rsidRPr="00605771">
        <w:t xml:space="preserve">, en vain, </w:t>
      </w:r>
      <w:r w:rsidRPr="00605771">
        <w:t>aux adresses déclarées par elles. Il précise à cet égard que</w:t>
      </w:r>
      <w:r w:rsidR="004D4657" w:rsidRPr="00605771">
        <w:t>, d</w:t>
      </w:r>
      <w:r w:rsidR="00605771" w:rsidRPr="00605771">
        <w:t>’</w:t>
      </w:r>
      <w:r w:rsidR="004D4657" w:rsidRPr="00605771">
        <w:t>après</w:t>
      </w:r>
      <w:r w:rsidRPr="00605771">
        <w:t xml:space="preserve"> l</w:t>
      </w:r>
      <w:r w:rsidR="00605771" w:rsidRPr="00605771">
        <w:t>’</w:t>
      </w:r>
      <w:r w:rsidRPr="00605771">
        <w:t>article 155 du CPP</w:t>
      </w:r>
      <w:r w:rsidR="004D4657" w:rsidRPr="00605771">
        <w:t xml:space="preserve">, </w:t>
      </w:r>
      <w:r w:rsidRPr="00605771">
        <w:t xml:space="preserve">la notification peut </w:t>
      </w:r>
      <w:r w:rsidR="00EE4B84" w:rsidRPr="00605771">
        <w:t>être faite</w:t>
      </w:r>
      <w:r w:rsidRPr="00605771">
        <w:t xml:space="preserve"> </w:t>
      </w:r>
      <w:r w:rsidR="00152C62" w:rsidRPr="00605771">
        <w:t>à un</w:t>
      </w:r>
      <w:r w:rsidRPr="00605771">
        <w:t xml:space="preserve"> représentant </w:t>
      </w:r>
      <w:r w:rsidR="00152C62" w:rsidRPr="00605771">
        <w:t xml:space="preserve">dans le </w:t>
      </w:r>
      <w:r w:rsidR="004D4657" w:rsidRPr="00605771">
        <w:t xml:space="preserve">seul </w:t>
      </w:r>
      <w:r w:rsidR="00152C62" w:rsidRPr="00605771">
        <w:t xml:space="preserve">cas </w:t>
      </w:r>
      <w:r w:rsidR="004D4657" w:rsidRPr="00605771">
        <w:t>où il s</w:t>
      </w:r>
      <w:r w:rsidR="00605771" w:rsidRPr="00605771">
        <w:t>’</w:t>
      </w:r>
      <w:r w:rsidR="004D4657" w:rsidRPr="00605771">
        <w:t xml:space="preserve">agit du mandataire </w:t>
      </w:r>
      <w:r w:rsidR="00152C62" w:rsidRPr="00605771">
        <w:t>d</w:t>
      </w:r>
      <w:r w:rsidR="004D4657" w:rsidRPr="00605771">
        <w:t>e l</w:t>
      </w:r>
      <w:r w:rsidR="00605771" w:rsidRPr="00605771">
        <w:t>’</w:t>
      </w:r>
      <w:r w:rsidR="00152C62" w:rsidRPr="00605771">
        <w:t>accusé ou de la</w:t>
      </w:r>
      <w:r w:rsidR="00EB6D38" w:rsidRPr="00605771">
        <w:t xml:space="preserve"> personne civilement </w:t>
      </w:r>
      <w:r w:rsidRPr="00605771">
        <w:t>responsable</w:t>
      </w:r>
      <w:r w:rsidR="00EB6D38" w:rsidRPr="00605771">
        <w:t xml:space="preserve"> de ce dernier</w:t>
      </w:r>
      <w:r w:rsidR="00152C62" w:rsidRPr="00605771">
        <w:rPr>
          <w:snapToGrid w:val="0"/>
        </w:rPr>
        <w:t>.</w:t>
      </w:r>
    </w:p>
    <w:p w:rsidR="002C7F5B" w:rsidRPr="00605771" w:rsidRDefault="00DD419A"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129</w:t>
      </w:r>
      <w:r w:rsidRPr="00605771">
        <w:fldChar w:fldCharType="end"/>
      </w:r>
      <w:r w:rsidRPr="00605771">
        <w:t>.  </w:t>
      </w:r>
      <w:r w:rsidR="005C7ACC" w:rsidRPr="00605771">
        <w:t xml:space="preserve">Quant aux allégations des requérantes </w:t>
      </w:r>
      <w:r w:rsidR="00EE4B84" w:rsidRPr="00605771">
        <w:t>portant sur la prescription de</w:t>
      </w:r>
      <w:r w:rsidR="005C7ACC" w:rsidRPr="00605771">
        <w:t xml:space="preserve"> certains des </w:t>
      </w:r>
      <w:r w:rsidR="00744F07" w:rsidRPr="00605771">
        <w:t>faits</w:t>
      </w:r>
      <w:r w:rsidR="005C7ACC" w:rsidRPr="00605771">
        <w:t xml:space="preserve">, le Gouvernement </w:t>
      </w:r>
      <w:r w:rsidR="00EE4B84" w:rsidRPr="00605771">
        <w:t>réplique</w:t>
      </w:r>
      <w:r w:rsidR="005C7ACC" w:rsidRPr="00605771">
        <w:t xml:space="preserve"> que la prescription ne concernait qu</w:t>
      </w:r>
      <w:r w:rsidR="00605771" w:rsidRPr="00605771">
        <w:t>’</w:t>
      </w:r>
      <w:r w:rsidR="005C7ACC" w:rsidRPr="00605771">
        <w:t xml:space="preserve">une partie des </w:t>
      </w:r>
      <w:r w:rsidR="00744F07" w:rsidRPr="00605771">
        <w:t>agissements</w:t>
      </w:r>
      <w:r w:rsidR="00993AAC" w:rsidRPr="00605771">
        <w:t xml:space="preserve"> en cause</w:t>
      </w:r>
      <w:r w:rsidR="00EE4B84" w:rsidRPr="00605771">
        <w:t>, à savoir ceux de nature délictuelle et non pas criminelle. Il indique e</w:t>
      </w:r>
      <w:r w:rsidR="005C7ACC" w:rsidRPr="00605771">
        <w:t xml:space="preserve">n particulier, </w:t>
      </w:r>
      <w:r w:rsidR="00EE4B84" w:rsidRPr="00605771">
        <w:t>s</w:t>
      </w:r>
      <w:r w:rsidR="00605771" w:rsidRPr="00605771">
        <w:t>’</w:t>
      </w:r>
      <w:r w:rsidR="00EE4B84" w:rsidRPr="00605771">
        <w:t>agissant d</w:t>
      </w:r>
      <w:r w:rsidR="005C7ACC" w:rsidRPr="00605771">
        <w:t xml:space="preserve">es actes de </w:t>
      </w:r>
      <w:r w:rsidR="00E71071" w:rsidRPr="00605771">
        <w:t>traite</w:t>
      </w:r>
      <w:r w:rsidR="00EE4B84" w:rsidRPr="00605771">
        <w:t xml:space="preserve"> des êtres humains</w:t>
      </w:r>
      <w:r w:rsidR="005C7ACC" w:rsidRPr="00605771">
        <w:t xml:space="preserve">, </w:t>
      </w:r>
      <w:r w:rsidR="00EE4B84" w:rsidRPr="00605771">
        <w:t xml:space="preserve">que </w:t>
      </w:r>
      <w:r w:rsidR="005C7ACC" w:rsidRPr="00605771">
        <w:t>des poursuites pénales ont été engagées et une instruction ordonnée. Le Gouvernement ajoute que, après avoir pris en compte tous les éléments du dossier</w:t>
      </w:r>
      <w:r w:rsidR="00EE4B84" w:rsidRPr="00605771">
        <w:t xml:space="preserve">, le procureur compétent a, </w:t>
      </w:r>
      <w:r w:rsidR="005C7ACC" w:rsidRPr="00605771">
        <w:t>par un arrêt amplement motivé, conclu à l</w:t>
      </w:r>
      <w:r w:rsidR="00605771" w:rsidRPr="00605771">
        <w:t>’</w:t>
      </w:r>
      <w:r w:rsidR="005C7ACC" w:rsidRPr="00605771">
        <w:t>absence de preuves suffisantes de culpabilité en ce qui concernait l</w:t>
      </w:r>
      <w:r w:rsidR="00EE4B84" w:rsidRPr="00605771">
        <w:t xml:space="preserve">es faits </w:t>
      </w:r>
      <w:r w:rsidR="005C7ACC" w:rsidRPr="00605771">
        <w:t>allégué</w:t>
      </w:r>
      <w:r w:rsidR="00EE4B84" w:rsidRPr="00605771">
        <w:t>s</w:t>
      </w:r>
      <w:r w:rsidR="005C7ACC" w:rsidRPr="00605771">
        <w:t xml:space="preserve"> de manquement au</w:t>
      </w:r>
      <w:r w:rsidR="009B7E68" w:rsidRPr="00605771">
        <w:t>x</w:t>
      </w:r>
      <w:r w:rsidR="005C7ACC" w:rsidRPr="00605771">
        <w:t xml:space="preserve"> devoir</w:t>
      </w:r>
      <w:r w:rsidR="009B7E68" w:rsidRPr="00605771">
        <w:t>s professionnels</w:t>
      </w:r>
      <w:r w:rsidR="005C7ACC" w:rsidRPr="00605771">
        <w:t xml:space="preserve">, </w:t>
      </w:r>
      <w:r w:rsidR="00A910B5" w:rsidRPr="00605771">
        <w:t>prétendument commis par les employés du ministère des Affaires étrangères en raison de l</w:t>
      </w:r>
      <w:r w:rsidR="00605771" w:rsidRPr="00605771">
        <w:t>’</w:t>
      </w:r>
      <w:r w:rsidR="00A910B5" w:rsidRPr="00605771">
        <w:t>absence de conduite par eux d</w:t>
      </w:r>
      <w:r w:rsidR="00605771" w:rsidRPr="00605771">
        <w:t>’</w:t>
      </w:r>
      <w:r w:rsidR="00A910B5" w:rsidRPr="00605771">
        <w:t>une enquête administrative lors de la procédure d</w:t>
      </w:r>
      <w:r w:rsidR="00605771" w:rsidRPr="00605771">
        <w:t>’</w:t>
      </w:r>
      <w:r w:rsidR="00A910B5" w:rsidRPr="00605771">
        <w:t>examen des demandes de visa.</w:t>
      </w:r>
    </w:p>
    <w:p w:rsidR="002C7F5B" w:rsidRPr="00605771" w:rsidRDefault="00DD419A"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130</w:t>
      </w:r>
      <w:r w:rsidRPr="00605771">
        <w:fldChar w:fldCharType="end"/>
      </w:r>
      <w:r w:rsidRPr="00605771">
        <w:t>.  </w:t>
      </w:r>
      <w:r w:rsidR="00E91C3C" w:rsidRPr="00605771">
        <w:t xml:space="preserve">Le Gouvernement estime en outre que </w:t>
      </w:r>
      <w:r w:rsidR="00D34FB1" w:rsidRPr="00605771">
        <w:t xml:space="preserve">les allégations des requérantes ont été examinées </w:t>
      </w:r>
      <w:r w:rsidR="00686C5C" w:rsidRPr="00605771">
        <w:t>de manière approfondie</w:t>
      </w:r>
      <w:r w:rsidR="00D34FB1" w:rsidRPr="00605771">
        <w:t xml:space="preserve"> et que </w:t>
      </w:r>
      <w:r w:rsidR="00E91C3C" w:rsidRPr="00605771">
        <w:t>le fait que la chambre d</w:t>
      </w:r>
      <w:r w:rsidR="00605771" w:rsidRPr="00605771">
        <w:t>’</w:t>
      </w:r>
      <w:r w:rsidR="00E91C3C" w:rsidRPr="00605771">
        <w:t>accusation a procédé à la délivrance d</w:t>
      </w:r>
      <w:r w:rsidR="00605771" w:rsidRPr="00605771">
        <w:t>’</w:t>
      </w:r>
      <w:r w:rsidR="00E91C3C" w:rsidRPr="00605771">
        <w:t>une ordonnance de non</w:t>
      </w:r>
      <w:r w:rsidR="00EE4B84" w:rsidRPr="00605771">
        <w:noBreakHyphen/>
      </w:r>
      <w:r w:rsidR="00E91C3C" w:rsidRPr="00605771">
        <w:t xml:space="preserve">lieu ne </w:t>
      </w:r>
      <w:r w:rsidR="00EE4B84" w:rsidRPr="00605771">
        <w:t xml:space="preserve">permet pas de </w:t>
      </w:r>
      <w:r w:rsidR="00E91C3C" w:rsidRPr="00605771">
        <w:t>doute</w:t>
      </w:r>
      <w:r w:rsidR="00EE4B84" w:rsidRPr="00605771">
        <w:t>r de</w:t>
      </w:r>
      <w:r w:rsidR="00E91C3C" w:rsidRPr="00605771">
        <w:t xml:space="preserve"> l</w:t>
      </w:r>
      <w:r w:rsidR="00605771" w:rsidRPr="00605771">
        <w:t>’</w:t>
      </w:r>
      <w:r w:rsidR="00E91C3C" w:rsidRPr="00605771">
        <w:t>effectivité de l</w:t>
      </w:r>
      <w:r w:rsidR="00605771" w:rsidRPr="00605771">
        <w:t>’</w:t>
      </w:r>
      <w:r w:rsidR="00E91C3C" w:rsidRPr="00605771">
        <w:t xml:space="preserve">enquête. </w:t>
      </w:r>
      <w:r w:rsidR="005F2D24" w:rsidRPr="00605771">
        <w:t>Il dit p</w:t>
      </w:r>
      <w:r w:rsidR="00EE4B84" w:rsidRPr="00605771">
        <w:t>ar ailleurs</w:t>
      </w:r>
      <w:r w:rsidR="005F2D24" w:rsidRPr="00605771">
        <w:t xml:space="preserve"> </w:t>
      </w:r>
      <w:r w:rsidR="00D45B6C" w:rsidRPr="00605771">
        <w:t>que, à l</w:t>
      </w:r>
      <w:r w:rsidR="00605771" w:rsidRPr="00605771">
        <w:t>’</w:t>
      </w:r>
      <w:r w:rsidR="00026175" w:rsidRPr="00605771">
        <w:t>issue de l</w:t>
      </w:r>
      <w:r w:rsidR="00605771" w:rsidRPr="00605771">
        <w:t>’</w:t>
      </w:r>
      <w:r w:rsidR="00D45B6C" w:rsidRPr="00605771">
        <w:t>enquête administrative</w:t>
      </w:r>
      <w:r w:rsidR="00026175" w:rsidRPr="00605771">
        <w:t>, au cours de</w:t>
      </w:r>
      <w:r w:rsidR="00D45B6C" w:rsidRPr="00605771">
        <w:t xml:space="preserve"> laquelle tous les éléments de preuve </w:t>
      </w:r>
      <w:r w:rsidR="00026175" w:rsidRPr="00605771">
        <w:t xml:space="preserve">auraient </w:t>
      </w:r>
      <w:r w:rsidR="00D45B6C" w:rsidRPr="00605771">
        <w:t xml:space="preserve">été évalués et </w:t>
      </w:r>
      <w:r w:rsidR="00026175" w:rsidRPr="00605771">
        <w:t>pris en compte</w:t>
      </w:r>
      <w:r w:rsidR="00D45B6C" w:rsidRPr="00605771">
        <w:t xml:space="preserve">, il a été considéré que les visas en cause </w:t>
      </w:r>
      <w:r w:rsidR="00026175" w:rsidRPr="00605771">
        <w:t>avaient</w:t>
      </w:r>
      <w:r w:rsidR="00D45B6C" w:rsidRPr="00605771">
        <w:t xml:space="preserve"> été délivrés conformément aux exigences </w:t>
      </w:r>
      <w:r w:rsidR="005F2D24" w:rsidRPr="00605771">
        <w:t>requises en la matière</w:t>
      </w:r>
      <w:r w:rsidR="00D45B6C" w:rsidRPr="00605771">
        <w:t xml:space="preserve"> et que les employés du consulat ne pouvaient pas savoir que les requérantes risquaient de devenir victimes d</w:t>
      </w:r>
      <w:r w:rsidR="004F0FF1" w:rsidRPr="00605771">
        <w:t>e la</w:t>
      </w:r>
      <w:r w:rsidR="00D45B6C" w:rsidRPr="00605771">
        <w:t xml:space="preserve"> traite des êtres humains.</w:t>
      </w:r>
    </w:p>
    <w:p w:rsidR="002C7F5B" w:rsidRPr="00605771" w:rsidRDefault="003457C4" w:rsidP="00605771">
      <w:pPr>
        <w:pStyle w:val="JuPara"/>
      </w:pPr>
      <w:r w:rsidRPr="00605771">
        <w:lastRenderedPageBreak/>
        <w:fldChar w:fldCharType="begin"/>
      </w:r>
      <w:r w:rsidRPr="00605771">
        <w:instrText xml:space="preserve"> SEQ level0 \*arabic </w:instrText>
      </w:r>
      <w:r w:rsidRPr="00605771">
        <w:fldChar w:fldCharType="separate"/>
      </w:r>
      <w:r w:rsidR="00605771" w:rsidRPr="00605771">
        <w:rPr>
          <w:noProof/>
        </w:rPr>
        <w:t>131</w:t>
      </w:r>
      <w:r w:rsidRPr="00605771">
        <w:fldChar w:fldCharType="end"/>
      </w:r>
      <w:r w:rsidRPr="00605771">
        <w:t xml:space="preserve">.  Le Gouvernement avance </w:t>
      </w:r>
      <w:r w:rsidR="002835A4" w:rsidRPr="00605771">
        <w:t xml:space="preserve">enfin </w:t>
      </w:r>
      <w:r w:rsidRPr="00605771">
        <w:t>qu</w:t>
      </w:r>
      <w:r w:rsidR="004F0FF1" w:rsidRPr="00605771">
        <w:t>e la présente affaire se distingue de</w:t>
      </w:r>
      <w:r w:rsidRPr="00605771">
        <w:t xml:space="preserve"> l</w:t>
      </w:r>
      <w:r w:rsidR="00605771" w:rsidRPr="00605771">
        <w:t>’</w:t>
      </w:r>
      <w:r w:rsidRPr="00605771">
        <w:t xml:space="preserve">affaire </w:t>
      </w:r>
      <w:r w:rsidRPr="00605771">
        <w:rPr>
          <w:i/>
        </w:rPr>
        <w:t>L.E. c. Grèce</w:t>
      </w:r>
      <w:r w:rsidRPr="00605771">
        <w:t xml:space="preserve"> </w:t>
      </w:r>
      <w:r w:rsidR="004F0FF1" w:rsidRPr="00605771">
        <w:t>(</w:t>
      </w:r>
      <w:r w:rsidRPr="00605771">
        <w:t>précité</w:t>
      </w:r>
      <w:r w:rsidR="004F0FF1" w:rsidRPr="00605771">
        <w:t>e), en ce que, en l</w:t>
      </w:r>
      <w:r w:rsidR="00605771" w:rsidRPr="00605771">
        <w:t>’</w:t>
      </w:r>
      <w:r w:rsidR="004F0FF1" w:rsidRPr="00605771">
        <w:t xml:space="preserve">espèce, </w:t>
      </w:r>
      <w:r w:rsidRPr="00605771">
        <w:t xml:space="preserve">les autorités internes </w:t>
      </w:r>
      <w:r w:rsidR="004F0FF1" w:rsidRPr="00605771">
        <w:t>auraient promptement</w:t>
      </w:r>
      <w:r w:rsidRPr="00605771">
        <w:t xml:space="preserve"> reconnu </w:t>
      </w:r>
      <w:r w:rsidR="00373AE7" w:rsidRPr="00605771">
        <w:t>le statut de victimes</w:t>
      </w:r>
      <w:r w:rsidRPr="00605771">
        <w:t xml:space="preserve"> de </w:t>
      </w:r>
      <w:r w:rsidR="00E71071" w:rsidRPr="00605771">
        <w:t xml:space="preserve">la </w:t>
      </w:r>
      <w:r w:rsidRPr="00605771">
        <w:t>traite des êtres humains</w:t>
      </w:r>
      <w:r w:rsidR="00373AE7" w:rsidRPr="00605771">
        <w:t xml:space="preserve"> aux requérantes </w:t>
      </w:r>
      <w:r w:rsidR="00E1046A" w:rsidRPr="00605771">
        <w:t xml:space="preserve">et </w:t>
      </w:r>
      <w:r w:rsidR="00650F9C" w:rsidRPr="00605771">
        <w:t>ne seraient jamais revenues sur l</w:t>
      </w:r>
      <w:r w:rsidR="00605771" w:rsidRPr="00605771">
        <w:t>’</w:t>
      </w:r>
      <w:r w:rsidR="00650F9C" w:rsidRPr="00605771">
        <w:t xml:space="preserve">octroi de </w:t>
      </w:r>
      <w:r w:rsidRPr="00605771">
        <w:t>cette protection pendant les procédures pénales.</w:t>
      </w:r>
    </w:p>
    <w:p w:rsidR="000A6B7A" w:rsidRPr="00605771" w:rsidRDefault="0051529B" w:rsidP="00605771">
      <w:pPr>
        <w:pStyle w:val="JuH1"/>
      </w:pPr>
      <w:r w:rsidRPr="00605771">
        <w:t>Arguments du</w:t>
      </w:r>
      <w:r w:rsidR="000A6B7A" w:rsidRPr="00605771">
        <w:t xml:space="preserve"> </w:t>
      </w:r>
      <w:r w:rsidR="007D3C54" w:rsidRPr="00605771">
        <w:t>g</w:t>
      </w:r>
      <w:r w:rsidR="000A6B7A" w:rsidRPr="00605771">
        <w:t xml:space="preserve">ouvernement russe </w:t>
      </w:r>
      <w:r w:rsidRPr="00605771">
        <w:t>en tant que tiers intervenant</w:t>
      </w:r>
    </w:p>
    <w:p w:rsidR="002C7F5B" w:rsidRPr="00605771" w:rsidRDefault="00104D70"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132</w:t>
      </w:r>
      <w:r w:rsidRPr="00605771">
        <w:fldChar w:fldCharType="end"/>
      </w:r>
      <w:r w:rsidRPr="00605771">
        <w:t>.  </w:t>
      </w:r>
      <w:r w:rsidR="008D56A8" w:rsidRPr="00605771">
        <w:t xml:space="preserve">Le </w:t>
      </w:r>
      <w:r w:rsidR="00B86D71" w:rsidRPr="00605771">
        <w:t>g</w:t>
      </w:r>
      <w:r w:rsidR="008D56A8" w:rsidRPr="00605771">
        <w:t xml:space="preserve">ouvernement russe </w:t>
      </w:r>
      <w:r w:rsidR="00E1046A" w:rsidRPr="00605771">
        <w:t xml:space="preserve">considère </w:t>
      </w:r>
      <w:r w:rsidR="008D56A8" w:rsidRPr="00605771">
        <w:t>que</w:t>
      </w:r>
      <w:r w:rsidR="00E1046A" w:rsidRPr="00605771">
        <w:t>,</w:t>
      </w:r>
      <w:r w:rsidR="00DF168C" w:rsidRPr="00605771">
        <w:t xml:space="preserve"> </w:t>
      </w:r>
      <w:r w:rsidR="00E1046A" w:rsidRPr="00605771">
        <w:t>au moment de l</w:t>
      </w:r>
      <w:r w:rsidR="00605771" w:rsidRPr="00605771">
        <w:t>’</w:t>
      </w:r>
      <w:r w:rsidR="00E1046A" w:rsidRPr="00605771">
        <w:t>acceptation par elles des</w:t>
      </w:r>
      <w:r w:rsidR="008D56A8" w:rsidRPr="00605771">
        <w:t xml:space="preserve"> propositions d</w:t>
      </w:r>
      <w:r w:rsidR="00605771" w:rsidRPr="00605771">
        <w:t>’</w:t>
      </w:r>
      <w:r w:rsidR="00E1046A" w:rsidRPr="00605771">
        <w:t>emploi</w:t>
      </w:r>
      <w:r w:rsidR="008D56A8" w:rsidRPr="00605771">
        <w:t xml:space="preserve">, </w:t>
      </w:r>
      <w:r w:rsidR="00E1046A" w:rsidRPr="00605771">
        <w:t>les requérantes</w:t>
      </w:r>
      <w:r w:rsidR="008D56A8" w:rsidRPr="00605771">
        <w:t xml:space="preserve"> auraient pu prévoir </w:t>
      </w:r>
      <w:r w:rsidR="00983C7D" w:rsidRPr="00605771">
        <w:t>à quel</w:t>
      </w:r>
      <w:r w:rsidR="008D56A8" w:rsidRPr="00605771">
        <w:t xml:space="preserve"> type de travail elles étaient destinées. Il ajoute que la Cour a déjà constaté que le cadre législatif grec était </w:t>
      </w:r>
      <w:r w:rsidR="00E1046A" w:rsidRPr="00605771">
        <w:t xml:space="preserve">conforme, </w:t>
      </w:r>
      <w:r w:rsidR="008D56A8" w:rsidRPr="00605771">
        <w:t>à l</w:t>
      </w:r>
      <w:r w:rsidR="00605771" w:rsidRPr="00605771">
        <w:t>’</w:t>
      </w:r>
      <w:r w:rsidR="008D56A8" w:rsidRPr="00605771">
        <w:t>époque des faits</w:t>
      </w:r>
      <w:r w:rsidR="00E1046A" w:rsidRPr="00605771">
        <w:t xml:space="preserve">, </w:t>
      </w:r>
      <w:r w:rsidR="008D56A8" w:rsidRPr="00605771">
        <w:t>à la Convention et que les requérantes se plaignent uniquement de l</w:t>
      </w:r>
      <w:r w:rsidR="00605771" w:rsidRPr="00605771">
        <w:t>’</w:t>
      </w:r>
      <w:r w:rsidR="008D56A8" w:rsidRPr="00605771">
        <w:t>application de ce cadre en l</w:t>
      </w:r>
      <w:r w:rsidR="00605771" w:rsidRPr="00605771">
        <w:t>’</w:t>
      </w:r>
      <w:r w:rsidR="008D56A8" w:rsidRPr="00605771">
        <w:t xml:space="preserve">espèce. </w:t>
      </w:r>
      <w:r w:rsidR="00983C7D" w:rsidRPr="00605771">
        <w:t xml:space="preserve">Le </w:t>
      </w:r>
      <w:r w:rsidR="007D3C54" w:rsidRPr="00605771">
        <w:t>g</w:t>
      </w:r>
      <w:r w:rsidR="008D56A8" w:rsidRPr="00605771">
        <w:t>ouvernement russe</w:t>
      </w:r>
      <w:r w:rsidR="00983C7D" w:rsidRPr="00605771">
        <w:t xml:space="preserve"> indique ensuite que l</w:t>
      </w:r>
      <w:r w:rsidR="008D56A8" w:rsidRPr="00605771">
        <w:t xml:space="preserve">es observations du </w:t>
      </w:r>
      <w:r w:rsidR="007D3C54" w:rsidRPr="00605771">
        <w:t>g</w:t>
      </w:r>
      <w:r w:rsidR="008D56A8" w:rsidRPr="00605771">
        <w:t xml:space="preserve">ouvernement grec </w:t>
      </w:r>
      <w:r w:rsidR="00983C7D" w:rsidRPr="00605771">
        <w:t>ne font pas état de toutes les</w:t>
      </w:r>
      <w:r w:rsidR="008D56A8" w:rsidRPr="00605771">
        <w:t xml:space="preserve"> informations </w:t>
      </w:r>
      <w:r w:rsidR="00983C7D" w:rsidRPr="00605771">
        <w:t xml:space="preserve">relatives aux </w:t>
      </w:r>
      <w:r w:rsidR="008D56A8" w:rsidRPr="00605771">
        <w:t>procédures en cause</w:t>
      </w:r>
      <w:r w:rsidR="00983C7D" w:rsidRPr="00605771">
        <w:t xml:space="preserve">. Il en déduit </w:t>
      </w:r>
      <w:r w:rsidR="008D56A8" w:rsidRPr="00605771">
        <w:t>que les autorités internes ont pris des mesures prompte</w:t>
      </w:r>
      <w:r w:rsidR="00B23B79" w:rsidRPr="00605771">
        <w:t>s</w:t>
      </w:r>
      <w:r w:rsidR="008D56A8" w:rsidRPr="00605771">
        <w:t xml:space="preserve"> afin de mener des enquêtes, d</w:t>
      </w:r>
      <w:r w:rsidR="00605771" w:rsidRPr="00605771">
        <w:t>’</w:t>
      </w:r>
      <w:r w:rsidR="008D56A8" w:rsidRPr="00605771">
        <w:t xml:space="preserve">identifier les auteurs des faits et de </w:t>
      </w:r>
      <w:r w:rsidR="00B23B79" w:rsidRPr="00605771">
        <w:t xml:space="preserve">permettre une </w:t>
      </w:r>
      <w:r w:rsidR="008D56A8" w:rsidRPr="00605771">
        <w:t>collabor</w:t>
      </w:r>
      <w:r w:rsidR="00B23B79" w:rsidRPr="00605771">
        <w:t>ation</w:t>
      </w:r>
      <w:r w:rsidR="008D56A8" w:rsidRPr="00605771">
        <w:t xml:space="preserve"> entre les différents départements. </w:t>
      </w:r>
      <w:r w:rsidR="00B23B79" w:rsidRPr="00605771">
        <w:t>Selon le</w:t>
      </w:r>
      <w:r w:rsidR="008D56A8" w:rsidRPr="00605771">
        <w:t xml:space="preserve"> </w:t>
      </w:r>
      <w:r w:rsidR="007D3C54" w:rsidRPr="00605771">
        <w:t>g</w:t>
      </w:r>
      <w:r w:rsidR="008D56A8" w:rsidRPr="00605771">
        <w:t xml:space="preserve">ouvernement russe, la police </w:t>
      </w:r>
      <w:r w:rsidR="00B23B79" w:rsidRPr="00605771">
        <w:t xml:space="preserve">hellénique </w:t>
      </w:r>
      <w:r w:rsidR="008D56A8" w:rsidRPr="00605771">
        <w:t xml:space="preserve">a également coopéré avec les requérantes, </w:t>
      </w:r>
      <w:r w:rsidR="00B23B79" w:rsidRPr="00605771">
        <w:t xml:space="preserve">en </w:t>
      </w:r>
      <w:r w:rsidR="008D56A8" w:rsidRPr="00605771">
        <w:t>leur accordant le statut de victime</w:t>
      </w:r>
      <w:r w:rsidR="00B23B79" w:rsidRPr="00605771">
        <w:t>s</w:t>
      </w:r>
      <w:r w:rsidR="008D56A8" w:rsidRPr="00605771">
        <w:t xml:space="preserve"> de </w:t>
      </w:r>
      <w:r w:rsidR="00B23B79" w:rsidRPr="00605771">
        <w:t xml:space="preserve">la </w:t>
      </w:r>
      <w:r w:rsidR="008D56A8" w:rsidRPr="00605771">
        <w:t xml:space="preserve">traite </w:t>
      </w:r>
      <w:r w:rsidR="00B23B79" w:rsidRPr="00605771">
        <w:t>des êtres humains ainsi que le bénéfice d</w:t>
      </w:r>
      <w:r w:rsidR="00605771" w:rsidRPr="00605771">
        <w:t>’</w:t>
      </w:r>
      <w:r w:rsidR="00B23B79" w:rsidRPr="00605771">
        <w:t>une « </w:t>
      </w:r>
      <w:r w:rsidR="008D56A8" w:rsidRPr="00605771">
        <w:t>protection physique</w:t>
      </w:r>
      <w:r w:rsidR="00B23B79" w:rsidRPr="00605771">
        <w:t> »</w:t>
      </w:r>
      <w:r w:rsidR="008D56A8" w:rsidRPr="00605771">
        <w:t xml:space="preserve">. Le </w:t>
      </w:r>
      <w:r w:rsidR="007D3C54" w:rsidRPr="00605771">
        <w:t>g</w:t>
      </w:r>
      <w:r w:rsidR="008D56A8" w:rsidRPr="00605771">
        <w:t xml:space="preserve">ouvernement russe ajoute que le </w:t>
      </w:r>
      <w:r w:rsidR="007D3C54" w:rsidRPr="00605771">
        <w:t>g</w:t>
      </w:r>
      <w:r w:rsidR="008D56A8" w:rsidRPr="00605771">
        <w:t xml:space="preserve">ouvernement grec a fourni à la Cour des explications suffisantes quant à la durée des procédures, </w:t>
      </w:r>
      <w:r w:rsidR="008F3888" w:rsidRPr="00605771">
        <w:t xml:space="preserve">à </w:t>
      </w:r>
      <w:r w:rsidR="008D56A8" w:rsidRPr="00605771">
        <w:t xml:space="preserve">la participation des </w:t>
      </w:r>
      <w:r w:rsidR="008F3888" w:rsidRPr="00605771">
        <w:t>requérantes à celles-ci</w:t>
      </w:r>
      <w:r w:rsidR="008D56A8" w:rsidRPr="00605771">
        <w:t xml:space="preserve"> et </w:t>
      </w:r>
      <w:r w:rsidR="00290CA5" w:rsidRPr="00605771">
        <w:t>au respect</w:t>
      </w:r>
      <w:r w:rsidR="00FD0A70" w:rsidRPr="00605771">
        <w:t xml:space="preserve"> </w:t>
      </w:r>
      <w:r w:rsidR="008D56A8" w:rsidRPr="00605771">
        <w:t>de</w:t>
      </w:r>
      <w:r w:rsidR="008F3888" w:rsidRPr="00605771">
        <w:t>s</w:t>
      </w:r>
      <w:r w:rsidR="008D56A8" w:rsidRPr="00605771">
        <w:t xml:space="preserve"> droits et obligations procéduraux</w:t>
      </w:r>
      <w:r w:rsidR="008F3888" w:rsidRPr="00605771">
        <w:t xml:space="preserve"> des intéressées</w:t>
      </w:r>
      <w:r w:rsidR="008D56A8" w:rsidRPr="00605771">
        <w:t>.</w:t>
      </w:r>
    </w:p>
    <w:p w:rsidR="002C7F5B" w:rsidRPr="00605771" w:rsidRDefault="008D56A8"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133</w:t>
      </w:r>
      <w:r w:rsidRPr="00605771">
        <w:fldChar w:fldCharType="end"/>
      </w:r>
      <w:r w:rsidRPr="00605771">
        <w:t>.  </w:t>
      </w:r>
      <w:r w:rsidR="004449F2" w:rsidRPr="00605771">
        <w:t>En revanche</w:t>
      </w:r>
      <w:r w:rsidRPr="00605771">
        <w:t xml:space="preserve">, le </w:t>
      </w:r>
      <w:r w:rsidR="007D3C54" w:rsidRPr="00605771">
        <w:t>g</w:t>
      </w:r>
      <w:r w:rsidRPr="00605771">
        <w:t>ouvernement russe</w:t>
      </w:r>
      <w:r w:rsidR="008F3888" w:rsidRPr="00605771">
        <w:t xml:space="preserve"> estime que</w:t>
      </w:r>
      <w:r w:rsidRPr="00605771">
        <w:t xml:space="preserve"> le </w:t>
      </w:r>
      <w:r w:rsidR="007D3C54" w:rsidRPr="00605771">
        <w:t>g</w:t>
      </w:r>
      <w:r w:rsidRPr="00605771">
        <w:t>ouvernement grec n</w:t>
      </w:r>
      <w:r w:rsidR="00605771" w:rsidRPr="00605771">
        <w:t>’</w:t>
      </w:r>
      <w:r w:rsidR="008F3888" w:rsidRPr="00605771">
        <w:t xml:space="preserve">a pas </w:t>
      </w:r>
      <w:r w:rsidRPr="00605771">
        <w:t xml:space="preserve">fourni </w:t>
      </w:r>
      <w:r w:rsidR="00DF168C" w:rsidRPr="00605771">
        <w:t>d</w:t>
      </w:r>
      <w:r w:rsidR="00605771" w:rsidRPr="00605771">
        <w:t>’</w:t>
      </w:r>
      <w:r w:rsidR="00DF168C" w:rsidRPr="00605771">
        <w:t>explication</w:t>
      </w:r>
      <w:r w:rsidR="008F3888" w:rsidRPr="00605771">
        <w:t>s</w:t>
      </w:r>
      <w:r w:rsidRPr="00605771">
        <w:t xml:space="preserve"> </w:t>
      </w:r>
      <w:r w:rsidR="00DF168C" w:rsidRPr="00605771">
        <w:t>satisfaisante</w:t>
      </w:r>
      <w:r w:rsidR="008F3888" w:rsidRPr="00605771">
        <w:t>s</w:t>
      </w:r>
      <w:r w:rsidRPr="00605771">
        <w:t xml:space="preserve"> </w:t>
      </w:r>
      <w:r w:rsidR="004449F2" w:rsidRPr="00605771">
        <w:t>sur</w:t>
      </w:r>
      <w:r w:rsidRPr="00605771">
        <w:t xml:space="preserve"> la durée de l</w:t>
      </w:r>
      <w:r w:rsidR="00605771" w:rsidRPr="00605771">
        <w:t>’</w:t>
      </w:r>
      <w:r w:rsidRPr="00605771">
        <w:t xml:space="preserve">enquête menée </w:t>
      </w:r>
      <w:r w:rsidR="008F3888" w:rsidRPr="00605771">
        <w:t>au sujet de</w:t>
      </w:r>
      <w:r w:rsidRPr="00605771">
        <w:t xml:space="preserve"> la délivrance des visas</w:t>
      </w:r>
      <w:r w:rsidR="008F3888" w:rsidRPr="00605771">
        <w:t>,</w:t>
      </w:r>
      <w:r w:rsidRPr="00605771">
        <w:t xml:space="preserve"> et </w:t>
      </w:r>
      <w:r w:rsidR="008F3888" w:rsidRPr="00605771">
        <w:t xml:space="preserve">il </w:t>
      </w:r>
      <w:r w:rsidRPr="00605771">
        <w:t xml:space="preserve">précise que </w:t>
      </w:r>
      <w:r w:rsidR="00F2215B" w:rsidRPr="00605771">
        <w:t xml:space="preserve">cette </w:t>
      </w:r>
      <w:r w:rsidRPr="00605771">
        <w:t>enquête n</w:t>
      </w:r>
      <w:r w:rsidR="00605771" w:rsidRPr="00605771">
        <w:t>’</w:t>
      </w:r>
      <w:r w:rsidRPr="00605771">
        <w:t>a débuté qu</w:t>
      </w:r>
      <w:r w:rsidR="00605771" w:rsidRPr="00605771">
        <w:t>’</w:t>
      </w:r>
      <w:r w:rsidRPr="00605771">
        <w:t xml:space="preserve">en 2006, </w:t>
      </w:r>
      <w:r w:rsidR="008F3888" w:rsidRPr="00605771">
        <w:t xml:space="preserve">à la </w:t>
      </w:r>
      <w:r w:rsidRPr="00605771">
        <w:t xml:space="preserve">suite </w:t>
      </w:r>
      <w:r w:rsidR="008F3888" w:rsidRPr="00605771">
        <w:t>de</w:t>
      </w:r>
      <w:r w:rsidRPr="00605771">
        <w:t xml:space="preserve"> la couverture médiatique de l</w:t>
      </w:r>
      <w:r w:rsidR="00605771" w:rsidRPr="00605771">
        <w:t>’</w:t>
      </w:r>
      <w:r w:rsidRPr="00605771">
        <w:t xml:space="preserve">affaire. </w:t>
      </w:r>
      <w:r w:rsidR="008F3888" w:rsidRPr="00605771">
        <w:t>Il</w:t>
      </w:r>
      <w:r w:rsidRPr="00605771">
        <w:t xml:space="preserve"> </w:t>
      </w:r>
      <w:r w:rsidR="00315D60" w:rsidRPr="00605771">
        <w:t xml:space="preserve">escompte </w:t>
      </w:r>
      <w:r w:rsidRPr="00605771">
        <w:t>que la Cour pren</w:t>
      </w:r>
      <w:r w:rsidR="00315D60" w:rsidRPr="00605771">
        <w:t>ne</w:t>
      </w:r>
      <w:r w:rsidRPr="00605771">
        <w:t xml:space="preserve"> en considération les circonstances de l</w:t>
      </w:r>
      <w:r w:rsidR="00605771" w:rsidRPr="00605771">
        <w:t>’</w:t>
      </w:r>
      <w:r w:rsidRPr="00605771">
        <w:t>affaire e</w:t>
      </w:r>
      <w:r w:rsidR="00DF168C" w:rsidRPr="00605771">
        <w:t xml:space="preserve">t les arguments des parties et </w:t>
      </w:r>
      <w:r w:rsidR="00315D60" w:rsidRPr="00605771">
        <w:t>qu</w:t>
      </w:r>
      <w:r w:rsidR="00605771" w:rsidRPr="00605771">
        <w:t>’</w:t>
      </w:r>
      <w:r w:rsidR="00315D60" w:rsidRPr="00605771">
        <w:t xml:space="preserve">elle </w:t>
      </w:r>
      <w:r w:rsidR="00DF168C" w:rsidRPr="00605771">
        <w:t>« </w:t>
      </w:r>
      <w:r w:rsidRPr="00605771">
        <w:t>a</w:t>
      </w:r>
      <w:r w:rsidR="00DF168C" w:rsidRPr="00605771">
        <w:t>dopte une décision appropriée »</w:t>
      </w:r>
      <w:r w:rsidRPr="00605771">
        <w:t>.</w:t>
      </w:r>
    </w:p>
    <w:p w:rsidR="000D1BC2" w:rsidRPr="00605771" w:rsidRDefault="00D45B6C" w:rsidP="00605771">
      <w:pPr>
        <w:pStyle w:val="JuH1"/>
      </w:pPr>
      <w:r w:rsidRPr="00605771">
        <w:t>Appréciation de la Cour</w:t>
      </w:r>
    </w:p>
    <w:p w:rsidR="002C7F5B" w:rsidRPr="00605771" w:rsidRDefault="004D6903" w:rsidP="00605771">
      <w:pPr>
        <w:pStyle w:val="JuHa0"/>
      </w:pPr>
      <w:r w:rsidRPr="00605771">
        <w:t>P</w:t>
      </w:r>
      <w:r w:rsidR="00F7740F" w:rsidRPr="00605771">
        <w:t xml:space="preserve">rincipes généraux </w:t>
      </w:r>
      <w:r w:rsidR="00BC2807" w:rsidRPr="00605771">
        <w:t>consacrés à</w:t>
      </w:r>
      <w:r w:rsidR="00F7740F" w:rsidRPr="00605771">
        <w:t xml:space="preserve"> l</w:t>
      </w:r>
      <w:r w:rsidR="00605771" w:rsidRPr="00605771">
        <w:t>’</w:t>
      </w:r>
      <w:r w:rsidR="00F7740F" w:rsidRPr="00605771">
        <w:t>article 4</w:t>
      </w:r>
      <w:r w:rsidR="00B86D71" w:rsidRPr="00605771">
        <w:t xml:space="preserve"> de la Convention</w:t>
      </w:r>
    </w:p>
    <w:p w:rsidR="002C7F5B" w:rsidRPr="00605771" w:rsidRDefault="00F7740F"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134</w:t>
      </w:r>
      <w:r w:rsidRPr="00605771">
        <w:fldChar w:fldCharType="end"/>
      </w:r>
      <w:r w:rsidR="00571D92" w:rsidRPr="00605771">
        <w:t>.</w:t>
      </w:r>
      <w:r w:rsidR="004C0DBB" w:rsidRPr="00605771">
        <w:t>  </w:t>
      </w:r>
      <w:r w:rsidR="00571D92" w:rsidRPr="00605771">
        <w:t>La Cour renvoie à sa jurisprudence pertinente sur les principes généraux régissant l</w:t>
      </w:r>
      <w:r w:rsidR="00605771" w:rsidRPr="00605771">
        <w:t>’</w:t>
      </w:r>
      <w:r w:rsidR="00571D92" w:rsidRPr="00605771">
        <w:t>application de l</w:t>
      </w:r>
      <w:r w:rsidR="00605771" w:rsidRPr="00605771">
        <w:t>’</w:t>
      </w:r>
      <w:r w:rsidR="00571D92" w:rsidRPr="00605771">
        <w:t xml:space="preserve">article 4 dans le contexte spécifique de la traite des êtres humains (voir notamment </w:t>
      </w:r>
      <w:r w:rsidR="00571D92" w:rsidRPr="00605771">
        <w:rPr>
          <w:i/>
        </w:rPr>
        <w:t xml:space="preserve">Rantsev, </w:t>
      </w:r>
      <w:r w:rsidR="00571D92" w:rsidRPr="00605771">
        <w:t>précité, §§ 283-289). Elle relève notamment qu</w:t>
      </w:r>
      <w:r w:rsidR="00605771" w:rsidRPr="00605771">
        <w:t>’</w:t>
      </w:r>
      <w:r w:rsidR="00571D92" w:rsidRPr="00605771">
        <w:t>avec les articles 2 et 3, l</w:t>
      </w:r>
      <w:r w:rsidR="00605771" w:rsidRPr="00605771">
        <w:t>’</w:t>
      </w:r>
      <w:r w:rsidR="00571D92" w:rsidRPr="00605771">
        <w:t>article 4 consacre l</w:t>
      </w:r>
      <w:r w:rsidR="00605771" w:rsidRPr="00605771">
        <w:t>’</w:t>
      </w:r>
      <w:r w:rsidR="00571D92" w:rsidRPr="00605771">
        <w:t>une des valeurs fondamentales des sociétés démocratiques qui forment le Conseil de l</w:t>
      </w:r>
      <w:r w:rsidR="00605771" w:rsidRPr="00605771">
        <w:t>’</w:t>
      </w:r>
      <w:r w:rsidR="00571D92" w:rsidRPr="00605771">
        <w:t>Europe. Vu l</w:t>
      </w:r>
      <w:r w:rsidR="00605771" w:rsidRPr="00605771">
        <w:t>’</w:t>
      </w:r>
      <w:r w:rsidR="00571D92" w:rsidRPr="00605771">
        <w:t>importance de l</w:t>
      </w:r>
      <w:r w:rsidR="00605771" w:rsidRPr="00605771">
        <w:t>’</w:t>
      </w:r>
      <w:r w:rsidR="00571D92" w:rsidRPr="00605771">
        <w:t>article 4 au sein de la Convention, sa portée ne pourrait se limiter aux seuls agissements directs des autorités de l</w:t>
      </w:r>
      <w:r w:rsidR="00605771" w:rsidRPr="00605771">
        <w:t>’</w:t>
      </w:r>
      <w:r w:rsidR="00571D92" w:rsidRPr="00605771">
        <w:t xml:space="preserve">État. Ladite disposition met aussi à la charge des États </w:t>
      </w:r>
      <w:r w:rsidR="00B66ACA" w:rsidRPr="00605771">
        <w:t xml:space="preserve">parties </w:t>
      </w:r>
      <w:r w:rsidR="00571D92" w:rsidRPr="00605771">
        <w:t>une série d</w:t>
      </w:r>
      <w:r w:rsidR="00605771" w:rsidRPr="00605771">
        <w:t>’</w:t>
      </w:r>
      <w:r w:rsidR="00571D92" w:rsidRPr="00605771">
        <w:t xml:space="preserve">obligations positives se rapportant notamment à la </w:t>
      </w:r>
      <w:r w:rsidR="00571D92" w:rsidRPr="00605771">
        <w:lastRenderedPageBreak/>
        <w:t>protection de la victime de la traite ainsi que la prévention et la répression de celle-ci (</w:t>
      </w:r>
      <w:r w:rsidR="00571D92" w:rsidRPr="00605771">
        <w:rPr>
          <w:i/>
        </w:rPr>
        <w:t>Siliadin c. France</w:t>
      </w:r>
      <w:r w:rsidR="00571D92" w:rsidRPr="00605771">
        <w:t>, n</w:t>
      </w:r>
      <w:r w:rsidR="00571D92" w:rsidRPr="00605771">
        <w:rPr>
          <w:vertAlign w:val="superscript"/>
        </w:rPr>
        <w:t>o</w:t>
      </w:r>
      <w:r w:rsidR="00571D92" w:rsidRPr="00605771">
        <w:t> 73316/01, §§ 7 et 89, CEDH 2005</w:t>
      </w:r>
      <w:r w:rsidR="00571D92" w:rsidRPr="00605771">
        <w:noBreakHyphen/>
        <w:t>VII).</w:t>
      </w:r>
    </w:p>
    <w:p w:rsidR="00571D92" w:rsidRPr="00605771" w:rsidRDefault="00F7740F"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135</w:t>
      </w:r>
      <w:r w:rsidRPr="00605771">
        <w:fldChar w:fldCharType="end"/>
      </w:r>
      <w:r w:rsidRPr="00605771">
        <w:t>. </w:t>
      </w:r>
      <w:r w:rsidR="004C0DBB" w:rsidRPr="00605771">
        <w:t> </w:t>
      </w:r>
      <w:r w:rsidR="00571D92" w:rsidRPr="00605771">
        <w:t>En ce qui concerne, en particulier, la traite des êtres humains, il y a la nécessité d</w:t>
      </w:r>
      <w:r w:rsidR="00605771" w:rsidRPr="00605771">
        <w:t>’</w:t>
      </w:r>
      <w:r w:rsidR="00571D92" w:rsidRPr="00605771">
        <w:t>adopter une approche globale pour lutter contre ce phénomène en mettant en place, en plus, des mesures visant à sanctionner les trafiquants, ainsi qu</w:t>
      </w:r>
      <w:r w:rsidR="00605771" w:rsidRPr="00605771">
        <w:t>’</w:t>
      </w:r>
      <w:r w:rsidR="00571D92" w:rsidRPr="00605771">
        <w:t>à prévenir le trafic et protéger les victimes (</w:t>
      </w:r>
      <w:r w:rsidR="00571D92" w:rsidRPr="00605771">
        <w:rPr>
          <w:i/>
        </w:rPr>
        <w:t xml:space="preserve">Rantsev, </w:t>
      </w:r>
      <w:r w:rsidR="00571D92" w:rsidRPr="00605771">
        <w:t>précité, § 285). Il ressort de la jurisprudence que les États assument, tout d</w:t>
      </w:r>
      <w:r w:rsidR="00605771" w:rsidRPr="00605771">
        <w:t>’</w:t>
      </w:r>
      <w:r w:rsidR="00571D92" w:rsidRPr="00605771">
        <w:t>abord, la responsabilité de mettre en place un cadre juridique et réglementaire approprié, offrant une protection concrète et effective du droit des victimes, réelles et potentielles, de traite. En outre, la législation des États sur l</w:t>
      </w:r>
      <w:r w:rsidR="00605771" w:rsidRPr="00605771">
        <w:t>’</w:t>
      </w:r>
      <w:r w:rsidR="00571D92" w:rsidRPr="00605771">
        <w:t>immigration doit répondre aux préoccupations en matière d</w:t>
      </w:r>
      <w:r w:rsidR="00605771" w:rsidRPr="00605771">
        <w:t>’</w:t>
      </w:r>
      <w:r w:rsidR="00571D92" w:rsidRPr="00605771">
        <w:t>incitation et d</w:t>
      </w:r>
      <w:r w:rsidR="00605771" w:rsidRPr="00605771">
        <w:t>’</w:t>
      </w:r>
      <w:r w:rsidR="00571D92" w:rsidRPr="00605771">
        <w:t>aide à la traite ou de tolérance envers celle-ci (</w:t>
      </w:r>
      <w:r w:rsidR="00571D92" w:rsidRPr="00605771">
        <w:rPr>
          <w:i/>
        </w:rPr>
        <w:t>Rantsev</w:t>
      </w:r>
      <w:r w:rsidR="00571D92" w:rsidRPr="00605771">
        <w:t>, précité, § 287).</w:t>
      </w:r>
    </w:p>
    <w:p w:rsidR="0064265F" w:rsidRPr="00605771" w:rsidRDefault="0064265F" w:rsidP="00605771">
      <w:pPr>
        <w:pStyle w:val="JuPara"/>
        <w:rPr>
          <w:i/>
        </w:rPr>
      </w:pPr>
      <w:r w:rsidRPr="00605771">
        <w:fldChar w:fldCharType="begin"/>
      </w:r>
      <w:r w:rsidRPr="00605771">
        <w:instrText xml:space="preserve"> SEQ level0 \*arabic </w:instrText>
      </w:r>
      <w:r w:rsidRPr="00605771">
        <w:fldChar w:fldCharType="separate"/>
      </w:r>
      <w:r w:rsidR="00605771" w:rsidRPr="00605771">
        <w:rPr>
          <w:noProof/>
        </w:rPr>
        <w:t>136</w:t>
      </w:r>
      <w:r w:rsidRPr="00605771">
        <w:fldChar w:fldCharType="end"/>
      </w:r>
      <w:r w:rsidRPr="00605771">
        <w:t>.  En deuxième lieu, dans certaines circonstances, l</w:t>
      </w:r>
      <w:r w:rsidR="00605771" w:rsidRPr="00605771">
        <w:t>’</w:t>
      </w:r>
      <w:r w:rsidRPr="00605771">
        <w:t>État se trouve devant l</w:t>
      </w:r>
      <w:r w:rsidR="00605771" w:rsidRPr="00605771">
        <w:t>’</w:t>
      </w:r>
      <w:r w:rsidRPr="00605771">
        <w:t>obligation de prendre des mesures concrètes pour protéger les victimes avérées ou potentielles de traitements contraires à l</w:t>
      </w:r>
      <w:r w:rsidR="00605771" w:rsidRPr="00605771">
        <w:t>’</w:t>
      </w:r>
      <w:r w:rsidR="004C0DBB" w:rsidRPr="00605771">
        <w:t>article </w:t>
      </w:r>
      <w:r w:rsidRPr="00605771">
        <w:t>4. Comme les articles 2 et 3 de la Convention, l</w:t>
      </w:r>
      <w:r w:rsidR="00605771" w:rsidRPr="00605771">
        <w:t>’</w:t>
      </w:r>
      <w:r w:rsidRPr="00605771">
        <w:t>article 4 peut, dans certaines circonstances, imposer à l</w:t>
      </w:r>
      <w:r w:rsidR="00605771" w:rsidRPr="00605771">
        <w:t>’</w:t>
      </w:r>
      <w:r w:rsidRPr="00605771">
        <w:t>État ce type d</w:t>
      </w:r>
      <w:r w:rsidR="00605771" w:rsidRPr="00605771">
        <w:t>’</w:t>
      </w:r>
      <w:r w:rsidRPr="00605771">
        <w:t xml:space="preserve">obligation (voir, </w:t>
      </w:r>
      <w:r w:rsidR="003B1233" w:rsidRPr="00605771">
        <w:rPr>
          <w:i/>
        </w:rPr>
        <w:t>L.E.</w:t>
      </w:r>
      <w:r w:rsidR="003B1233" w:rsidRPr="00605771">
        <w:t>, précité, §</w:t>
      </w:r>
      <w:r w:rsidR="00DD2B48" w:rsidRPr="00605771">
        <w:t> </w:t>
      </w:r>
      <w:r w:rsidR="003B1233" w:rsidRPr="00605771">
        <w:t>66</w:t>
      </w:r>
      <w:r w:rsidR="00F9346B" w:rsidRPr="00605771">
        <w:t xml:space="preserve">, et </w:t>
      </w:r>
      <w:r w:rsidR="00F9346B" w:rsidRPr="00605771">
        <w:rPr>
          <w:i/>
        </w:rPr>
        <w:t>Chowdury et autres</w:t>
      </w:r>
      <w:r w:rsidR="00F9346B" w:rsidRPr="00605771">
        <w:t>, précité, § 88</w:t>
      </w:r>
      <w:r w:rsidRPr="00605771">
        <w:t>). Pour qu</w:t>
      </w:r>
      <w:r w:rsidR="00605771" w:rsidRPr="00605771">
        <w:t>’</w:t>
      </w:r>
      <w:r w:rsidRPr="00605771">
        <w:t>il y ait obligation positive de prendre des mesures concrètes dans une affaire donnée, il doit être démontré que les autorités de l</w:t>
      </w:r>
      <w:r w:rsidR="00605771" w:rsidRPr="00605771">
        <w:t>’</w:t>
      </w:r>
      <w:r w:rsidRPr="00605771">
        <w:t>État avaient ou devaient avoir connaissance de circonstances permettant de soupçonner raisonnablement qu</w:t>
      </w:r>
      <w:r w:rsidR="00605771" w:rsidRPr="00605771">
        <w:t>’</w:t>
      </w:r>
      <w:r w:rsidRPr="00605771">
        <w:t>un individu était soumis, ou se trouvait en danger réel et immédiat de l</w:t>
      </w:r>
      <w:r w:rsidR="00605771" w:rsidRPr="00605771">
        <w:t>’</w:t>
      </w:r>
      <w:r w:rsidRPr="00605771">
        <w:t>être, à la traite ou à l</w:t>
      </w:r>
      <w:r w:rsidR="00605771" w:rsidRPr="00605771">
        <w:t>’</w:t>
      </w:r>
      <w:r w:rsidRPr="00605771">
        <w:t>exploitation au sens de l</w:t>
      </w:r>
      <w:r w:rsidR="00605771" w:rsidRPr="00605771">
        <w:t>’</w:t>
      </w:r>
      <w:r w:rsidRPr="00605771">
        <w:t>article 3 a) du Protocole de Palerme et de l</w:t>
      </w:r>
      <w:r w:rsidR="00605771" w:rsidRPr="00605771">
        <w:t>’</w:t>
      </w:r>
      <w:r w:rsidRPr="00605771">
        <w:t>article 4 a) de la convention anti-traite du Conseil de l</w:t>
      </w:r>
      <w:r w:rsidR="00605771" w:rsidRPr="00605771">
        <w:t>’</w:t>
      </w:r>
      <w:r w:rsidRPr="00605771">
        <w:t>Europe. Si tel est le cas et qu</w:t>
      </w:r>
      <w:r w:rsidR="00605771" w:rsidRPr="00605771">
        <w:t>’</w:t>
      </w:r>
      <w:r w:rsidRPr="00605771">
        <w:t>elles ne prennent pas les mesures appropriées relevant de leurs pouvoirs pour soustraire l</w:t>
      </w:r>
      <w:r w:rsidR="00605771" w:rsidRPr="00605771">
        <w:t>’</w:t>
      </w:r>
      <w:r w:rsidRPr="00605771">
        <w:t>individu à la situation ou au risque en question, il y a violation de l</w:t>
      </w:r>
      <w:r w:rsidR="00605771" w:rsidRPr="00605771">
        <w:t>’</w:t>
      </w:r>
      <w:r w:rsidRPr="00605771">
        <w:t xml:space="preserve">article 4 de la Convention (voir, </w:t>
      </w:r>
      <w:r w:rsidRPr="00605771">
        <w:rPr>
          <w:i/>
        </w:rPr>
        <w:t xml:space="preserve">Rantsev, </w:t>
      </w:r>
      <w:r w:rsidR="004C0DBB" w:rsidRPr="00605771">
        <w:t>précité, § </w:t>
      </w:r>
      <w:r w:rsidRPr="00605771">
        <w:t>286</w:t>
      </w:r>
      <w:r w:rsidR="00751657" w:rsidRPr="00605771">
        <w:t>,</w:t>
      </w:r>
      <w:r w:rsidR="002C7F5B" w:rsidRPr="00605771">
        <w:t xml:space="preserve"> </w:t>
      </w:r>
      <w:r w:rsidR="00751657" w:rsidRPr="00605771">
        <w:rPr>
          <w:i/>
        </w:rPr>
        <w:t>L.E.</w:t>
      </w:r>
      <w:r w:rsidR="00751657" w:rsidRPr="00605771">
        <w:t>, précité, § 66</w:t>
      </w:r>
      <w:r w:rsidR="002D307B" w:rsidRPr="00605771">
        <w:t xml:space="preserve">, et </w:t>
      </w:r>
      <w:r w:rsidR="002D307B" w:rsidRPr="00605771">
        <w:rPr>
          <w:i/>
        </w:rPr>
        <w:t>Chowdury et autres</w:t>
      </w:r>
      <w:r w:rsidR="002D307B" w:rsidRPr="00605771">
        <w:t>, précité, § 88</w:t>
      </w:r>
      <w:r w:rsidRPr="00605771">
        <w:t>).</w:t>
      </w:r>
    </w:p>
    <w:p w:rsidR="002625D9" w:rsidRPr="00605771" w:rsidRDefault="002625D9"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137</w:t>
      </w:r>
      <w:r w:rsidRPr="00605771">
        <w:fldChar w:fldCharType="end"/>
      </w:r>
      <w:r w:rsidRPr="00605771">
        <w:t>.  Il n</w:t>
      </w:r>
      <w:r w:rsidR="00605771" w:rsidRPr="00605771">
        <w:t>’</w:t>
      </w:r>
      <w:r w:rsidRPr="00605771">
        <w:t>en résulte pas, toutefois, que l</w:t>
      </w:r>
      <w:r w:rsidR="00605771" w:rsidRPr="00605771">
        <w:t>’</w:t>
      </w:r>
      <w:r w:rsidRPr="00605771">
        <w:t>on puisse déduire de cette disposition une obligation positive d</w:t>
      </w:r>
      <w:r w:rsidR="00605771" w:rsidRPr="00605771">
        <w:t>’</w:t>
      </w:r>
      <w:r w:rsidRPr="00605771">
        <w:t>empêcher toute violence potentielle. Il faut en effet interpréter cette obligation de manière à ne pas imposer aux autorités un fardeau insupportable ou excessif, eu égard aux difficultés pour la police d</w:t>
      </w:r>
      <w:r w:rsidR="00605771" w:rsidRPr="00605771">
        <w:t>’</w:t>
      </w:r>
      <w:r w:rsidRPr="00605771">
        <w:t>exercer ses fonctions dans les sociétés contemporaines et à l</w:t>
      </w:r>
      <w:r w:rsidR="00605771" w:rsidRPr="00605771">
        <w:t>’</w:t>
      </w:r>
      <w:r w:rsidRPr="00605771">
        <w:t>imprévisibilité du comportement humain, ainsi qu</w:t>
      </w:r>
      <w:r w:rsidR="00605771" w:rsidRPr="00605771">
        <w:t>’</w:t>
      </w:r>
      <w:r w:rsidRPr="00605771">
        <w:t>aux choix opérationnels à faire en termes de priorités et de ressources (voir,</w:t>
      </w:r>
      <w:r w:rsidR="00B84363" w:rsidRPr="00605771">
        <w:t xml:space="preserve"> </w:t>
      </w:r>
      <w:r w:rsidR="00B84363" w:rsidRPr="00605771">
        <w:rPr>
          <w:i/>
        </w:rPr>
        <w:t>L.E.</w:t>
      </w:r>
      <w:r w:rsidR="00B84363" w:rsidRPr="00605771">
        <w:t>, précité, § 67)</w:t>
      </w:r>
      <w:r w:rsidR="00B84363" w:rsidRPr="00605771">
        <w:rPr>
          <w:i/>
        </w:rPr>
        <w:t xml:space="preserve"> </w:t>
      </w:r>
      <w:r w:rsidRPr="00605771">
        <w:t>.</w:t>
      </w:r>
    </w:p>
    <w:p w:rsidR="00571D92" w:rsidRPr="00605771" w:rsidRDefault="002625D9"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138</w:t>
      </w:r>
      <w:r w:rsidRPr="00605771">
        <w:fldChar w:fldCharType="end"/>
      </w:r>
      <w:r w:rsidRPr="00605771">
        <w:t>.  En troisième lieu, l</w:t>
      </w:r>
      <w:r w:rsidR="00605771" w:rsidRPr="00605771">
        <w:t>’</w:t>
      </w:r>
      <w:r w:rsidRPr="00605771">
        <w:t>article 4 impose une obligation procédurale d</w:t>
      </w:r>
      <w:r w:rsidR="00605771" w:rsidRPr="00605771">
        <w:t>’</w:t>
      </w:r>
      <w:r w:rsidRPr="00605771">
        <w:t>enquêter sur les situations de traite potentielle. L</w:t>
      </w:r>
      <w:r w:rsidR="00605771" w:rsidRPr="00605771">
        <w:t>’</w:t>
      </w:r>
      <w:r w:rsidRPr="00605771">
        <w:t>obligation d</w:t>
      </w:r>
      <w:r w:rsidR="00605771" w:rsidRPr="00605771">
        <w:t>’</w:t>
      </w:r>
      <w:r w:rsidRPr="00605771">
        <w:t>enquête ne dépend pas d</w:t>
      </w:r>
      <w:r w:rsidR="00605771" w:rsidRPr="00605771">
        <w:t>’</w:t>
      </w:r>
      <w:r w:rsidRPr="00605771">
        <w:t>une plainte de la victime ou d</w:t>
      </w:r>
      <w:r w:rsidR="00605771" w:rsidRPr="00605771">
        <w:t>’</w:t>
      </w:r>
      <w:r w:rsidRPr="00605771">
        <w:t xml:space="preserve">un proche : une fois que la question a été portée à leur attention, les autorités doivent agir (voir, </w:t>
      </w:r>
      <w:r w:rsidR="000724DD" w:rsidRPr="00605771">
        <w:rPr>
          <w:i/>
        </w:rPr>
        <w:t>Rantsev</w:t>
      </w:r>
      <w:r w:rsidR="000724DD" w:rsidRPr="00605771">
        <w:t xml:space="preserve">, précité, § 232, </w:t>
      </w:r>
      <w:r w:rsidR="000724DD" w:rsidRPr="00605771">
        <w:rPr>
          <w:i/>
        </w:rPr>
        <w:t>L.E.</w:t>
      </w:r>
      <w:r w:rsidR="000724DD" w:rsidRPr="00605771">
        <w:t xml:space="preserve">, précité, § 68, et </w:t>
      </w:r>
      <w:r w:rsidR="000724DD" w:rsidRPr="00605771">
        <w:rPr>
          <w:i/>
        </w:rPr>
        <w:t>Chowdury et autres</w:t>
      </w:r>
      <w:r w:rsidR="000724DD" w:rsidRPr="00605771">
        <w:t>, précité, § 89</w:t>
      </w:r>
      <w:r w:rsidRPr="00605771">
        <w:t>). Pour être effective, l</w:t>
      </w:r>
      <w:r w:rsidR="00605771" w:rsidRPr="00605771">
        <w:t>’</w:t>
      </w:r>
      <w:r w:rsidRPr="00605771">
        <w:t>enquête doit être indépendante des personnes impliquées dans les faits. Elle doit également permettre d</w:t>
      </w:r>
      <w:r w:rsidR="00605771" w:rsidRPr="00605771">
        <w:t>’</w:t>
      </w:r>
      <w:r w:rsidRPr="00605771">
        <w:t>identifier et de sanctionner les responsables. Il s</w:t>
      </w:r>
      <w:r w:rsidR="00605771" w:rsidRPr="00605771">
        <w:t>’</w:t>
      </w:r>
      <w:r w:rsidRPr="00605771">
        <w:t>agit là d</w:t>
      </w:r>
      <w:r w:rsidR="00605771" w:rsidRPr="00605771">
        <w:t>’</w:t>
      </w:r>
      <w:r w:rsidRPr="00605771">
        <w:t xml:space="preserve">une obligation non de résultat, </w:t>
      </w:r>
      <w:r w:rsidRPr="00605771">
        <w:lastRenderedPageBreak/>
        <w:t>mais de moyens. Une exigence de célérité et de diligence raisonnable est implicite dans tous les cas mais lorsqu</w:t>
      </w:r>
      <w:r w:rsidR="00605771" w:rsidRPr="00605771">
        <w:t>’</w:t>
      </w:r>
      <w:r w:rsidRPr="00605771">
        <w:t>il est possible de soustraire l</w:t>
      </w:r>
      <w:r w:rsidR="00605771" w:rsidRPr="00605771">
        <w:t>’</w:t>
      </w:r>
      <w:r w:rsidRPr="00605771">
        <w:t>individu concerné à une situation dommageable, l</w:t>
      </w:r>
      <w:r w:rsidR="00605771" w:rsidRPr="00605771">
        <w:t>’</w:t>
      </w:r>
      <w:r w:rsidRPr="00605771">
        <w:t>enquête doit être menée d</w:t>
      </w:r>
      <w:r w:rsidR="00605771" w:rsidRPr="00605771">
        <w:t>’</w:t>
      </w:r>
      <w:r w:rsidRPr="00605771">
        <w:t>urgence. La victime ou le proche doivent être associés à la procédure dans toute la mesure nécessaire à la protection de leurs intérêts légitimes (voir,</w:t>
      </w:r>
      <w:r w:rsidR="00E231B1" w:rsidRPr="00605771">
        <w:rPr>
          <w:i/>
        </w:rPr>
        <w:t xml:space="preserve"> L.E.</w:t>
      </w:r>
      <w:r w:rsidR="00E231B1" w:rsidRPr="00605771">
        <w:t>, précité, § 68</w:t>
      </w:r>
      <w:r w:rsidRPr="00605771">
        <w:t>).</w:t>
      </w:r>
    </w:p>
    <w:p w:rsidR="00D45B6C" w:rsidRPr="00605771" w:rsidRDefault="00D45B6C" w:rsidP="00605771">
      <w:pPr>
        <w:pStyle w:val="JuHa0"/>
      </w:pPr>
      <w:r w:rsidRPr="00605771">
        <w:t>Application de ces principes à la présente espèce</w:t>
      </w:r>
    </w:p>
    <w:p w:rsidR="002C7F5B" w:rsidRPr="00605771" w:rsidRDefault="00864D5F" w:rsidP="00605771">
      <w:pPr>
        <w:pStyle w:val="JuHi"/>
      </w:pPr>
      <w:r w:rsidRPr="00605771">
        <w:t>Remarques préliminaires</w:t>
      </w:r>
    </w:p>
    <w:p w:rsidR="00C359C7" w:rsidRPr="00605771" w:rsidRDefault="00CE6227"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139</w:t>
      </w:r>
      <w:r w:rsidRPr="00605771">
        <w:fldChar w:fldCharType="end"/>
      </w:r>
      <w:r w:rsidRPr="00605771">
        <w:t>.  </w:t>
      </w:r>
      <w:r w:rsidR="003161A6" w:rsidRPr="00605771">
        <w:t>La Cour note d</w:t>
      </w:r>
      <w:r w:rsidR="00605771" w:rsidRPr="00605771">
        <w:t>’</w:t>
      </w:r>
      <w:r w:rsidR="003161A6" w:rsidRPr="00605771">
        <w:t xml:space="preserve">emblée que les requérantes </w:t>
      </w:r>
      <w:r w:rsidR="000E71FD" w:rsidRPr="00605771">
        <w:t>l</w:t>
      </w:r>
      <w:r w:rsidR="00605771" w:rsidRPr="00605771">
        <w:t>’</w:t>
      </w:r>
      <w:r w:rsidR="000E71FD" w:rsidRPr="00605771">
        <w:t>invitent à</w:t>
      </w:r>
      <w:r w:rsidR="003161A6" w:rsidRPr="00605771">
        <w:t xml:space="preserve"> ne pas prendre en considération certains éléments de preuve soumis par le Gouvernement, </w:t>
      </w:r>
      <w:r w:rsidR="000E71FD" w:rsidRPr="00605771">
        <w:t>au motif</w:t>
      </w:r>
      <w:r w:rsidR="003161A6" w:rsidRPr="00605771">
        <w:t xml:space="preserve"> que leur utilisation par les autorités étatiques </w:t>
      </w:r>
      <w:r w:rsidR="00B86296" w:rsidRPr="00605771">
        <w:t>est</w:t>
      </w:r>
      <w:r w:rsidR="003161A6" w:rsidRPr="00605771">
        <w:t xml:space="preserve"> contraire à la loi n</w:t>
      </w:r>
      <w:r w:rsidR="003161A6" w:rsidRPr="00605771">
        <w:rPr>
          <w:vertAlign w:val="superscript"/>
        </w:rPr>
        <w:t>o</w:t>
      </w:r>
      <w:r w:rsidR="00B9343A" w:rsidRPr="00605771">
        <w:t xml:space="preserve"> 2472</w:t>
      </w:r>
      <w:r w:rsidR="003161A6" w:rsidRPr="00605771">
        <w:t xml:space="preserve">/1997 sur la protection des données personnelles. La Cour relève que les documents </w:t>
      </w:r>
      <w:r w:rsidR="000E71FD" w:rsidRPr="00605771">
        <w:t>dont l</w:t>
      </w:r>
      <w:r w:rsidR="00605771" w:rsidRPr="00605771">
        <w:t>’</w:t>
      </w:r>
      <w:r w:rsidR="000E71FD" w:rsidRPr="00605771">
        <w:t>examen est contesté</w:t>
      </w:r>
      <w:r w:rsidR="003161A6" w:rsidRPr="00605771">
        <w:t xml:space="preserve"> par les requérantes sont tous en rapport avec la présente affaire</w:t>
      </w:r>
      <w:r w:rsidR="00B9343A" w:rsidRPr="00605771">
        <w:t xml:space="preserve"> et qu</w:t>
      </w:r>
      <w:r w:rsidR="00605771" w:rsidRPr="00605771">
        <w:t>’</w:t>
      </w:r>
      <w:r w:rsidR="00B9343A" w:rsidRPr="00605771">
        <w:t>e</w:t>
      </w:r>
      <w:r w:rsidR="003161A6" w:rsidRPr="00605771">
        <w:t>n tout état de cause la présidente de la section avait déjà accédé à la demande de non</w:t>
      </w:r>
      <w:r w:rsidR="000E71FD" w:rsidRPr="00605771">
        <w:noBreakHyphen/>
      </w:r>
      <w:r w:rsidR="003161A6" w:rsidRPr="00605771">
        <w:t xml:space="preserve">divulgation de </w:t>
      </w:r>
      <w:r w:rsidR="00B9343A" w:rsidRPr="00605771">
        <w:t>leur</w:t>
      </w:r>
      <w:r w:rsidR="003161A6" w:rsidRPr="00605771">
        <w:t xml:space="preserve"> identité formulée par les </w:t>
      </w:r>
      <w:r w:rsidR="000E71FD" w:rsidRPr="00605771">
        <w:t>intéressées</w:t>
      </w:r>
      <w:r w:rsidR="003161A6" w:rsidRPr="00605771">
        <w:t xml:space="preserve"> en vertu de l</w:t>
      </w:r>
      <w:r w:rsidR="00605771" w:rsidRPr="00605771">
        <w:t>’</w:t>
      </w:r>
      <w:r w:rsidR="003161A6" w:rsidRPr="00605771">
        <w:t xml:space="preserve">article 47 § 4 </w:t>
      </w:r>
      <w:r w:rsidR="009807CE" w:rsidRPr="00605771">
        <w:t>de son</w:t>
      </w:r>
      <w:r w:rsidR="003161A6" w:rsidRPr="00605771">
        <w:t xml:space="preserve"> règlement. Par conséquent, l</w:t>
      </w:r>
      <w:r w:rsidR="00605771" w:rsidRPr="00605771">
        <w:t>’</w:t>
      </w:r>
      <w:r w:rsidR="003161A6" w:rsidRPr="00605771">
        <w:t>identité des requérantes n</w:t>
      </w:r>
      <w:r w:rsidR="00605771" w:rsidRPr="00605771">
        <w:t>’</w:t>
      </w:r>
      <w:r w:rsidR="003161A6" w:rsidRPr="00605771">
        <w:t>étant pas rendue publique, les documents mis en cause par celles-ci ne s</w:t>
      </w:r>
      <w:r w:rsidR="000E71FD" w:rsidRPr="00605771">
        <w:t>au</w:t>
      </w:r>
      <w:r w:rsidR="003161A6" w:rsidRPr="00605771">
        <w:t xml:space="preserve">raient </w:t>
      </w:r>
      <w:r w:rsidR="000E71FD" w:rsidRPr="00605771">
        <w:t>être</w:t>
      </w:r>
      <w:r w:rsidR="003161A6" w:rsidRPr="00605771">
        <w:t xml:space="preserve"> associés à leur personne</w:t>
      </w:r>
      <w:r w:rsidR="0071762A" w:rsidRPr="00605771">
        <w:t xml:space="preserve"> (</w:t>
      </w:r>
      <w:r w:rsidR="0071762A" w:rsidRPr="00605771">
        <w:rPr>
          <w:i/>
        </w:rPr>
        <w:t>L.E.</w:t>
      </w:r>
      <w:r w:rsidR="0071762A" w:rsidRPr="00605771">
        <w:t>, précité, § 69)</w:t>
      </w:r>
      <w:r w:rsidR="003161A6" w:rsidRPr="00605771">
        <w:t>.</w:t>
      </w:r>
    </w:p>
    <w:p w:rsidR="002C7F5B" w:rsidRPr="00605771" w:rsidRDefault="005E28CC"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140</w:t>
      </w:r>
      <w:r w:rsidRPr="00605771">
        <w:fldChar w:fldCharType="end"/>
      </w:r>
      <w:r w:rsidRPr="00605771">
        <w:t>.  </w:t>
      </w:r>
      <w:r w:rsidR="00A627AD" w:rsidRPr="00605771">
        <w:t xml:space="preserve">La Cour note en outre que les requérantes </w:t>
      </w:r>
      <w:r w:rsidR="005035B3" w:rsidRPr="00605771">
        <w:t>l</w:t>
      </w:r>
      <w:r w:rsidR="00CA5AAB" w:rsidRPr="00605771">
        <w:t>ui</w:t>
      </w:r>
      <w:r w:rsidR="005035B3" w:rsidRPr="00605771">
        <w:t xml:space="preserve"> </w:t>
      </w:r>
      <w:r w:rsidR="00A627AD" w:rsidRPr="00605771">
        <w:t>demandent d</w:t>
      </w:r>
      <w:r w:rsidR="00605771" w:rsidRPr="00605771">
        <w:t>’</w:t>
      </w:r>
      <w:r w:rsidR="00A627AD" w:rsidRPr="00605771">
        <w:t>inviter les parties à soumettre des observations complémentaires sur le point de savoir si une violation du « volet matériel » de l</w:t>
      </w:r>
      <w:r w:rsidR="00605771" w:rsidRPr="00605771">
        <w:t>’</w:t>
      </w:r>
      <w:r w:rsidR="00A627AD" w:rsidRPr="00605771">
        <w:t xml:space="preserve">article 4 de la Convention a eu lieu (paragraphe </w:t>
      </w:r>
      <w:r w:rsidR="00A627AD" w:rsidRPr="00605771">
        <w:fldChar w:fldCharType="begin"/>
      </w:r>
      <w:r w:rsidR="00A627AD" w:rsidRPr="00605771">
        <w:instrText xml:space="preserve"> REF griefvolmat \h </w:instrText>
      </w:r>
      <w:r w:rsidR="005C07E0" w:rsidRPr="00605771">
        <w:instrText xml:space="preserve"> \* MERGEFORMAT </w:instrText>
      </w:r>
      <w:r w:rsidR="00A627AD" w:rsidRPr="00605771">
        <w:fldChar w:fldCharType="separate"/>
      </w:r>
      <w:r w:rsidR="00605771" w:rsidRPr="00605771">
        <w:rPr>
          <w:noProof/>
        </w:rPr>
        <w:t>120</w:t>
      </w:r>
      <w:r w:rsidR="00A627AD" w:rsidRPr="00605771">
        <w:fldChar w:fldCharType="end"/>
      </w:r>
      <w:r w:rsidR="00A627AD" w:rsidRPr="00605771">
        <w:t xml:space="preserve"> ci-dessus). Or, </w:t>
      </w:r>
      <w:r w:rsidR="00895610" w:rsidRPr="00605771">
        <w:t>elle note qu</w:t>
      </w:r>
      <w:r w:rsidR="00605771" w:rsidRPr="00605771">
        <w:t>’</w:t>
      </w:r>
      <w:r w:rsidR="006B1313" w:rsidRPr="00605771">
        <w:t>il n</w:t>
      </w:r>
      <w:r w:rsidR="00605771" w:rsidRPr="00605771">
        <w:t>’</w:t>
      </w:r>
      <w:r w:rsidR="006B1313" w:rsidRPr="00605771">
        <w:t xml:space="preserve">est pas nécessaire </w:t>
      </w:r>
      <w:r w:rsidR="005035B3" w:rsidRPr="00605771">
        <w:t>d</w:t>
      </w:r>
      <w:r w:rsidR="00605771" w:rsidRPr="00605771">
        <w:t>’</w:t>
      </w:r>
      <w:r w:rsidR="005035B3" w:rsidRPr="00605771">
        <w:t xml:space="preserve">examiner séparément cette demande, </w:t>
      </w:r>
      <w:r w:rsidR="006B1313" w:rsidRPr="00605771">
        <w:t xml:space="preserve">dans la mesure où </w:t>
      </w:r>
      <w:r w:rsidR="005035B3" w:rsidRPr="00605771">
        <w:t>elle ne soulève pas de question différente de celles examinées par la Cour dans le présent</w:t>
      </w:r>
      <w:r w:rsidR="004A09FC" w:rsidRPr="00605771">
        <w:t xml:space="preserve"> arrêt</w:t>
      </w:r>
      <w:r w:rsidR="005035B3" w:rsidRPr="00605771">
        <w:t xml:space="preserve"> (</w:t>
      </w:r>
      <w:r w:rsidR="004A09FC" w:rsidRPr="00605771">
        <w:t xml:space="preserve">voir, en particulier, </w:t>
      </w:r>
      <w:r w:rsidR="005035B3" w:rsidRPr="00605771">
        <w:t>paragraphe</w:t>
      </w:r>
      <w:r w:rsidR="004A09FC" w:rsidRPr="00605771">
        <w:t>s</w:t>
      </w:r>
      <w:r w:rsidR="005035B3" w:rsidRPr="00605771">
        <w:t xml:space="preserve"> </w:t>
      </w:r>
      <w:r w:rsidR="00CE3BC3" w:rsidRPr="00605771">
        <w:fldChar w:fldCharType="begin"/>
      </w:r>
      <w:r w:rsidR="00CE3BC3" w:rsidRPr="00605771">
        <w:instrText xml:space="preserve"> REF procvisasf \h  \* MERGEFORMAT </w:instrText>
      </w:r>
      <w:r w:rsidR="00CE3BC3" w:rsidRPr="00605771">
        <w:fldChar w:fldCharType="separate"/>
      </w:r>
      <w:r w:rsidR="00605771" w:rsidRPr="00605771">
        <w:rPr>
          <w:noProof/>
          <w:lang w:bidi="en-US"/>
        </w:rPr>
        <w:t>163</w:t>
      </w:r>
      <w:r w:rsidR="00CE3BC3" w:rsidRPr="00605771">
        <w:fldChar w:fldCharType="end"/>
      </w:r>
      <w:r w:rsidR="00CE3BC3" w:rsidRPr="00605771">
        <w:t>-</w:t>
      </w:r>
      <w:r w:rsidR="00CE3BC3" w:rsidRPr="00605771">
        <w:fldChar w:fldCharType="begin"/>
      </w:r>
      <w:r w:rsidR="00CE3BC3" w:rsidRPr="00605771">
        <w:instrText xml:space="preserve"> REF procvisasl \h  \* MERGEFORMAT </w:instrText>
      </w:r>
      <w:r w:rsidR="00CE3BC3" w:rsidRPr="00605771">
        <w:fldChar w:fldCharType="separate"/>
      </w:r>
      <w:r w:rsidR="00605771" w:rsidRPr="00605771">
        <w:rPr>
          <w:noProof/>
          <w:lang w:bidi="en-US"/>
        </w:rPr>
        <w:t>168</w:t>
      </w:r>
      <w:r w:rsidR="00CE3BC3" w:rsidRPr="00605771">
        <w:fldChar w:fldCharType="end"/>
      </w:r>
      <w:r w:rsidR="00CE3BC3" w:rsidRPr="00605771">
        <w:t xml:space="preserve"> </w:t>
      </w:r>
      <w:r w:rsidR="005035B3" w:rsidRPr="00605771">
        <w:t>ci-dessus).</w:t>
      </w:r>
    </w:p>
    <w:p w:rsidR="003A218C" w:rsidRPr="00605771" w:rsidRDefault="003A218C" w:rsidP="00605771">
      <w:pPr>
        <w:pStyle w:val="JuHi"/>
      </w:pPr>
      <w:r w:rsidRPr="00605771">
        <w:t>Quant à l</w:t>
      </w:r>
      <w:r w:rsidR="00605771" w:rsidRPr="00605771">
        <w:t>’</w:t>
      </w:r>
      <w:r w:rsidRPr="00605771">
        <w:t>existence d</w:t>
      </w:r>
      <w:r w:rsidR="00605771" w:rsidRPr="00605771">
        <w:t>’</w:t>
      </w:r>
      <w:r w:rsidRPr="00605771">
        <w:t>un cadre juridique et réglementaire approprié</w:t>
      </w:r>
    </w:p>
    <w:p w:rsidR="00D1124F" w:rsidRPr="00605771" w:rsidRDefault="00D1124F"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141</w:t>
      </w:r>
      <w:r w:rsidRPr="00605771">
        <w:fldChar w:fldCharType="end"/>
      </w:r>
      <w:r w:rsidRPr="00605771">
        <w:t>.  La Cour note d</w:t>
      </w:r>
      <w:r w:rsidR="00605771" w:rsidRPr="00605771">
        <w:t>’</w:t>
      </w:r>
      <w:r w:rsidRPr="00605771">
        <w:t>emblée que, en ce qui concerne les procédures pénales relatives aux faits d</w:t>
      </w:r>
      <w:r w:rsidR="00605771" w:rsidRPr="00605771">
        <w:t>’</w:t>
      </w:r>
      <w:r w:rsidRPr="00605771">
        <w:t>exploitation des requérantes, les intéressées ne contestent ni la pertinence ni l</w:t>
      </w:r>
      <w:r w:rsidR="00605771" w:rsidRPr="00605771">
        <w:t>’</w:t>
      </w:r>
      <w:r w:rsidRPr="00605771">
        <w:t>efficacité du cadre législatif grec relati</w:t>
      </w:r>
      <w:r w:rsidR="0093743F" w:rsidRPr="00605771">
        <w:t>f</w:t>
      </w:r>
      <w:r w:rsidRPr="00605771">
        <w:t xml:space="preserve"> à la prévention et la répression de la traite des êtres humains sur le territoire </w:t>
      </w:r>
      <w:r w:rsidR="0093743F" w:rsidRPr="00605771">
        <w:t xml:space="preserve">du pays </w:t>
      </w:r>
      <w:r w:rsidRPr="00605771">
        <w:t xml:space="preserve">(voir, </w:t>
      </w:r>
      <w:r w:rsidR="00946808" w:rsidRPr="00605771">
        <w:rPr>
          <w:i/>
        </w:rPr>
        <w:t>L.E.</w:t>
      </w:r>
      <w:r w:rsidRPr="00605771">
        <w:rPr>
          <w:i/>
        </w:rPr>
        <w:t xml:space="preserve">, </w:t>
      </w:r>
      <w:r w:rsidRPr="00605771">
        <w:t xml:space="preserve">précité, § </w:t>
      </w:r>
      <w:r w:rsidR="00946808" w:rsidRPr="00605771">
        <w:t>70</w:t>
      </w:r>
      <w:r w:rsidRPr="00605771">
        <w:t>). Par ailleurs, concernant l</w:t>
      </w:r>
      <w:r w:rsidR="00605771" w:rsidRPr="00605771">
        <w:t>’</w:t>
      </w:r>
      <w:r w:rsidRPr="00605771">
        <w:t>obligation faite aux États d</w:t>
      </w:r>
      <w:r w:rsidR="00605771" w:rsidRPr="00605771">
        <w:t>’</w:t>
      </w:r>
      <w:r w:rsidRPr="00605771">
        <w:t>élaborer une législation permettant d</w:t>
      </w:r>
      <w:r w:rsidR="00605771" w:rsidRPr="00605771">
        <w:t>’</w:t>
      </w:r>
      <w:r w:rsidRPr="00605771">
        <w:t>incriminer les infractions relatives à ce phénomène, la Cour constate que,</w:t>
      </w:r>
      <w:r w:rsidR="0073483E" w:rsidRPr="00605771">
        <w:t xml:space="preserve"> après le 15 octobre 2002, le code pénal grec interdi</w:t>
      </w:r>
      <w:r w:rsidRPr="00605771">
        <w:t>t expressément le trafic à des fins sexuelles. En particulier, l</w:t>
      </w:r>
      <w:r w:rsidR="00605771" w:rsidRPr="00605771">
        <w:t>’</w:t>
      </w:r>
      <w:r w:rsidRPr="00605771">
        <w:t>arti</w:t>
      </w:r>
      <w:r w:rsidR="0073483E" w:rsidRPr="00605771">
        <w:t>cle 351 du code pénal défini</w:t>
      </w:r>
      <w:r w:rsidRPr="00605771">
        <w:t>t la traite des êtres humains conformément à sa définition par le Protocole de Palerme et la Convention du Conseil de l</w:t>
      </w:r>
      <w:r w:rsidR="00605771" w:rsidRPr="00605771">
        <w:t>’</w:t>
      </w:r>
      <w:r w:rsidRPr="00605771">
        <w:t xml:space="preserve">Europe sur la lutte contre la traite des êtres humains (paragraphe </w:t>
      </w:r>
      <w:r w:rsidRPr="00605771">
        <w:fldChar w:fldCharType="begin"/>
      </w:r>
      <w:r w:rsidRPr="00605771">
        <w:instrText xml:space="preserve"> REF droitint1 \h </w:instrText>
      </w:r>
      <w:r w:rsidRPr="00605771">
        <w:fldChar w:fldCharType="separate"/>
      </w:r>
      <w:r w:rsidR="00605771" w:rsidRPr="00605771">
        <w:rPr>
          <w:noProof/>
        </w:rPr>
        <w:t>90</w:t>
      </w:r>
      <w:r w:rsidRPr="00605771">
        <w:fldChar w:fldCharType="end"/>
      </w:r>
      <w:r w:rsidRPr="00605771">
        <w:t xml:space="preserve"> ci-dessus). </w:t>
      </w:r>
      <w:r w:rsidR="00A442E6" w:rsidRPr="00605771">
        <w:t>La Cour note à cet égard qu</w:t>
      </w:r>
      <w:r w:rsidR="00605771" w:rsidRPr="00605771">
        <w:t>’</w:t>
      </w:r>
      <w:r w:rsidR="00A442E6" w:rsidRPr="00605771">
        <w:t>en vertu de la loi n</w:t>
      </w:r>
      <w:r w:rsidR="00A442E6" w:rsidRPr="00605771">
        <w:rPr>
          <w:vertAlign w:val="superscript"/>
        </w:rPr>
        <w:t>o</w:t>
      </w:r>
      <w:r w:rsidR="00A442E6" w:rsidRPr="00605771">
        <w:t xml:space="preserve"> 3064/2002, plusieurs modifications ont été apportées au code pénal afin de renforcer la répression de la traite des êtres humains. En vertu de </w:t>
      </w:r>
      <w:r w:rsidR="00A442E6" w:rsidRPr="00605771">
        <w:lastRenderedPageBreak/>
        <w:t>l</w:t>
      </w:r>
      <w:r w:rsidR="00605771" w:rsidRPr="00605771">
        <w:t>’</w:t>
      </w:r>
      <w:r w:rsidR="00A442E6" w:rsidRPr="00605771">
        <w:t>article</w:t>
      </w:r>
      <w:r w:rsidR="003C2867" w:rsidRPr="00605771">
        <w:t> </w:t>
      </w:r>
      <w:r w:rsidR="00A442E6" w:rsidRPr="00605771">
        <w:t>8 de cette loi, la traite a été qualifiée de crime. Des peines plus importantes ont été prévues pour les auteurs de la traite des êtres humains (à savoir une peine de réclusion jusqu</w:t>
      </w:r>
      <w:r w:rsidR="00605771" w:rsidRPr="00605771">
        <w:t>’</w:t>
      </w:r>
      <w:r w:rsidR="00A442E6" w:rsidRPr="00605771">
        <w:t>à dix ans et d</w:t>
      </w:r>
      <w:r w:rsidR="00605771" w:rsidRPr="00605771">
        <w:t>’</w:t>
      </w:r>
      <w:r w:rsidR="00A442E6" w:rsidRPr="00605771">
        <w:t>une amende de dix à cinquante mille euros) ainsi qu</w:t>
      </w:r>
      <w:r w:rsidR="00605771" w:rsidRPr="00605771">
        <w:t>’</w:t>
      </w:r>
      <w:r w:rsidR="00A442E6" w:rsidRPr="00605771">
        <w:t>en cas d</w:t>
      </w:r>
      <w:r w:rsidR="00605771" w:rsidRPr="00605771">
        <w:t>’</w:t>
      </w:r>
      <w:r w:rsidR="00A442E6" w:rsidRPr="00605771">
        <w:t>existence de circonstances aggravantes, notamment lorsque ledit crime est lié à l</w:t>
      </w:r>
      <w:r w:rsidR="00605771" w:rsidRPr="00605771">
        <w:t>’</w:t>
      </w:r>
      <w:r w:rsidR="00A442E6" w:rsidRPr="00605771">
        <w:t xml:space="preserve">entrée, le séjour ou à la sortie de la victime du territoire grec (soit une peine de réclusion de dix ans au moins et une amende de cinquante mille euros) (voir aussi, </w:t>
      </w:r>
      <w:r w:rsidR="00A442E6" w:rsidRPr="00605771">
        <w:rPr>
          <w:i/>
        </w:rPr>
        <w:t>L.E.</w:t>
      </w:r>
      <w:r w:rsidR="00A442E6" w:rsidRPr="00605771">
        <w:t>, précité, § 31 et 32).</w:t>
      </w:r>
      <w:r w:rsidR="00F93FDF" w:rsidRPr="00605771">
        <w:t xml:space="preserve"> </w:t>
      </w:r>
      <w:r w:rsidRPr="00605771">
        <w:t>De plus, l</w:t>
      </w:r>
      <w:r w:rsidR="00605771" w:rsidRPr="00605771">
        <w:t>’</w:t>
      </w:r>
      <w:r w:rsidRPr="00605771">
        <w:t>article 12 de la loi n</w:t>
      </w:r>
      <w:r w:rsidRPr="00605771">
        <w:rPr>
          <w:vertAlign w:val="superscript"/>
        </w:rPr>
        <w:t>o</w:t>
      </w:r>
      <w:r w:rsidRPr="00605771">
        <w:t> 3064/2002 prévoit des mesures de protection spécifiques pour les victimes du trafic des êtres humains en ce qui concerne leur intégrité physique et liberté individuelle. La même disposition met aussi à la charge des autorités l</w:t>
      </w:r>
      <w:r w:rsidR="00605771" w:rsidRPr="00605771">
        <w:t>’</w:t>
      </w:r>
      <w:r w:rsidRPr="00605771">
        <w:t>octroi, entre autres, de l</w:t>
      </w:r>
      <w:r w:rsidR="00605771" w:rsidRPr="00605771">
        <w:t>’</w:t>
      </w:r>
      <w:r w:rsidRPr="00605771">
        <w:t>aide au logement, à l</w:t>
      </w:r>
      <w:r w:rsidR="00605771" w:rsidRPr="00605771">
        <w:t>’</w:t>
      </w:r>
      <w:r w:rsidRPr="00605771">
        <w:t xml:space="preserve">alimentation, aux soins de santé et du support psychologique et judiciaire. Par ailleurs, lorsque la victime du trafic à des fins sexuelles est un étranger se trouvant illégalement sur le territoire grec, la législation </w:t>
      </w:r>
      <w:r w:rsidR="001F7946" w:rsidRPr="00605771">
        <w:t>prévo</w:t>
      </w:r>
      <w:r w:rsidRPr="00605771">
        <w:t>it la possibilité de suspendre la procédure d</w:t>
      </w:r>
      <w:r w:rsidR="00605771" w:rsidRPr="00605771">
        <w:t>’</w:t>
      </w:r>
      <w:r w:rsidRPr="00605771">
        <w:t>expulsion contre elle.</w:t>
      </w:r>
    </w:p>
    <w:p w:rsidR="002C7F5B" w:rsidRPr="00605771" w:rsidRDefault="00B8145E"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142</w:t>
      </w:r>
      <w:r w:rsidRPr="00605771">
        <w:fldChar w:fldCharType="end"/>
      </w:r>
      <w:r w:rsidRPr="00605771">
        <w:t>.  </w:t>
      </w:r>
      <w:r w:rsidR="00A8101D" w:rsidRPr="00605771">
        <w:t>La Cour rappelle par ailleurs qu</w:t>
      </w:r>
      <w:r w:rsidR="00DA1490" w:rsidRPr="00605771">
        <w:t>e</w:t>
      </w:r>
      <w:r w:rsidR="00A8101D" w:rsidRPr="00605771">
        <w:t xml:space="preserve"> dans l</w:t>
      </w:r>
      <w:r w:rsidR="00605771" w:rsidRPr="00605771">
        <w:t>’</w:t>
      </w:r>
      <w:r w:rsidR="00A8101D" w:rsidRPr="00605771">
        <w:t xml:space="preserve">affaire </w:t>
      </w:r>
      <w:r w:rsidR="00A8101D" w:rsidRPr="00605771">
        <w:rPr>
          <w:i/>
        </w:rPr>
        <w:t>L.E.</w:t>
      </w:r>
      <w:r w:rsidR="00A8101D" w:rsidRPr="00605771">
        <w:t>, précité, elle a déjà constaté que la loi n</w:t>
      </w:r>
      <w:r w:rsidR="00A8101D" w:rsidRPr="00605771">
        <w:rPr>
          <w:vertAlign w:val="superscript"/>
        </w:rPr>
        <w:t>o</w:t>
      </w:r>
      <w:r w:rsidR="00A8101D" w:rsidRPr="00605771">
        <w:t xml:space="preserve"> 3064/2002</w:t>
      </w:r>
      <w:r w:rsidR="00745EF3" w:rsidRPr="00605771">
        <w:t xml:space="preserve"> n</w:t>
      </w:r>
      <w:r w:rsidR="00605771" w:rsidRPr="00605771">
        <w:t>’</w:t>
      </w:r>
      <w:r w:rsidR="00745EF3" w:rsidRPr="00605771">
        <w:t>avait pas manqué à offrir à l</w:t>
      </w:r>
      <w:r w:rsidR="00605771" w:rsidRPr="00605771">
        <w:t>’</w:t>
      </w:r>
      <w:r w:rsidR="00745EF3" w:rsidRPr="00605771">
        <w:t xml:space="preserve">intéressée une protection pratique et effective. </w:t>
      </w:r>
      <w:r w:rsidR="0095653F" w:rsidRPr="00605771">
        <w:t>Qui plus est, dans l</w:t>
      </w:r>
      <w:r w:rsidR="00605771" w:rsidRPr="00605771">
        <w:t>’</w:t>
      </w:r>
      <w:r w:rsidR="0095653F" w:rsidRPr="00605771">
        <w:t xml:space="preserve">affaire </w:t>
      </w:r>
      <w:r w:rsidR="0095653F" w:rsidRPr="00605771">
        <w:rPr>
          <w:i/>
        </w:rPr>
        <w:t>Chowdury et autres</w:t>
      </w:r>
      <w:r w:rsidR="0095653F" w:rsidRPr="00605771">
        <w:t>, précité, elle a constaté que la Grèce s</w:t>
      </w:r>
      <w:r w:rsidR="00605771" w:rsidRPr="00605771">
        <w:t>’</w:t>
      </w:r>
      <w:r w:rsidR="0095653F" w:rsidRPr="00605771">
        <w:t>était conformée pour l</w:t>
      </w:r>
      <w:r w:rsidR="00605771" w:rsidRPr="00605771">
        <w:t>’</w:t>
      </w:r>
      <w:r w:rsidR="0095653F" w:rsidRPr="00605771">
        <w:t>essentiel à l</w:t>
      </w:r>
      <w:r w:rsidR="00605771" w:rsidRPr="00605771">
        <w:t>’</w:t>
      </w:r>
      <w:r w:rsidR="0095653F" w:rsidRPr="00605771">
        <w:t>obligation positive de mettre en place un cadre législatif permettant de lutter contre la traite des êtres humains.</w:t>
      </w:r>
    </w:p>
    <w:p w:rsidR="002C7F5B" w:rsidRPr="00605771" w:rsidRDefault="00701764"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143</w:t>
      </w:r>
      <w:r w:rsidRPr="00605771">
        <w:fldChar w:fldCharType="end"/>
      </w:r>
      <w:r w:rsidRPr="00605771">
        <w:t>. </w:t>
      </w:r>
      <w:r w:rsidR="00B25A92" w:rsidRPr="00605771">
        <w:t> </w:t>
      </w:r>
      <w:r w:rsidR="00CE7400" w:rsidRPr="00605771">
        <w:t>La Cour</w:t>
      </w:r>
      <w:r w:rsidRPr="00605771">
        <w:t xml:space="preserve"> </w:t>
      </w:r>
      <w:r w:rsidR="00E8678C" w:rsidRPr="00605771">
        <w:t>observe</w:t>
      </w:r>
      <w:r w:rsidRPr="00605771">
        <w:t xml:space="preserve"> </w:t>
      </w:r>
      <w:r w:rsidR="00A442E6" w:rsidRPr="00605771">
        <w:t xml:space="preserve">en outre </w:t>
      </w:r>
      <w:r w:rsidRPr="00605771">
        <w:t>que</w:t>
      </w:r>
      <w:r w:rsidR="00A442E6" w:rsidRPr="00605771">
        <w:t xml:space="preserve"> la nouveauté de la présente affaire </w:t>
      </w:r>
      <w:r w:rsidR="00DA1490" w:rsidRPr="00605771">
        <w:t>réside</w:t>
      </w:r>
      <w:r w:rsidR="00A442E6" w:rsidRPr="00605771">
        <w:t xml:space="preserve"> au fait que, pour une partie des procédures en cause, </w:t>
      </w:r>
      <w:r w:rsidR="003D1620" w:rsidRPr="00605771">
        <w:t xml:space="preserve">à savoir la procédure concernant la délivrance des visas aux requérantes, </w:t>
      </w:r>
      <w:r w:rsidR="00A442E6" w:rsidRPr="00605771">
        <w:t>les juridictions internes ont été obligées d</w:t>
      </w:r>
      <w:r w:rsidR="00605771" w:rsidRPr="00605771">
        <w:t>’</w:t>
      </w:r>
      <w:r w:rsidR="00A442E6" w:rsidRPr="00605771">
        <w:t>appliquer l</w:t>
      </w:r>
      <w:r w:rsidR="00605771" w:rsidRPr="00605771">
        <w:t>’</w:t>
      </w:r>
      <w:r w:rsidR="00A442E6" w:rsidRPr="00605771">
        <w:t xml:space="preserve">article 351 du code pénal avant les modifications apportées en 2002. À cet égard, elle note que, </w:t>
      </w:r>
      <w:r w:rsidRPr="00605771">
        <w:t>jusqu</w:t>
      </w:r>
      <w:r w:rsidR="00605771" w:rsidRPr="00605771">
        <w:t>’</w:t>
      </w:r>
      <w:r w:rsidRPr="00605771">
        <w:t>à la mise en vigueur de la loi n</w:t>
      </w:r>
      <w:r w:rsidRPr="00605771">
        <w:rPr>
          <w:vertAlign w:val="superscript"/>
        </w:rPr>
        <w:t>o</w:t>
      </w:r>
      <w:r w:rsidR="00D1124F" w:rsidRPr="00605771">
        <w:t> </w:t>
      </w:r>
      <w:r w:rsidRPr="00605771">
        <w:t>3064/2002</w:t>
      </w:r>
      <w:r w:rsidR="001A2CC4" w:rsidRPr="00605771">
        <w:t>,</w:t>
      </w:r>
      <w:r w:rsidRPr="00605771">
        <w:t xml:space="preserve"> le 15</w:t>
      </w:r>
      <w:r w:rsidR="002C5DB3" w:rsidRPr="00605771">
        <w:t> </w:t>
      </w:r>
      <w:r w:rsidRPr="00605771">
        <w:t xml:space="preserve">octobre 2002, </w:t>
      </w:r>
      <w:r w:rsidR="002E67CA" w:rsidRPr="00605771">
        <w:t xml:space="preserve">la législation applicable présentait certaines insuffisances. En particulier, </w:t>
      </w:r>
      <w:r w:rsidRPr="00605771">
        <w:t>le code pénal grec interdisait notamment la coercition dans la prostitution et la qualifiait de délit, punissable d</w:t>
      </w:r>
      <w:r w:rsidR="00605771" w:rsidRPr="00605771">
        <w:t>’</w:t>
      </w:r>
      <w:r w:rsidRPr="00605771">
        <w:t>une peine d</w:t>
      </w:r>
      <w:r w:rsidR="00605771" w:rsidRPr="00605771">
        <w:t>’</w:t>
      </w:r>
      <w:r w:rsidRPr="00605771">
        <w:t>emprisonnement d</w:t>
      </w:r>
      <w:r w:rsidR="00605771" w:rsidRPr="00605771">
        <w:t>’</w:t>
      </w:r>
      <w:r w:rsidRPr="00605771">
        <w:t xml:space="preserve">un an à trois ans (paragraphe </w:t>
      </w:r>
      <w:r w:rsidRPr="00605771">
        <w:fldChar w:fldCharType="begin"/>
      </w:r>
      <w:r w:rsidRPr="00605771">
        <w:instrText xml:space="preserve"> REF CP351avantmodif \h </w:instrText>
      </w:r>
      <w:r w:rsidRPr="00605771">
        <w:fldChar w:fldCharType="separate"/>
      </w:r>
      <w:r w:rsidR="00605771" w:rsidRPr="00605771">
        <w:rPr>
          <w:noProof/>
        </w:rPr>
        <w:t>92</w:t>
      </w:r>
      <w:r w:rsidRPr="00605771">
        <w:fldChar w:fldCharType="end"/>
      </w:r>
      <w:r w:rsidRPr="00605771">
        <w:t xml:space="preserve"> ci-dessus). </w:t>
      </w:r>
      <w:r w:rsidR="00C50D96" w:rsidRPr="00605771">
        <w:t xml:space="preserve">En effet, la traite des êtres humains </w:t>
      </w:r>
      <w:r w:rsidR="0016006B" w:rsidRPr="00605771">
        <w:t>sous forme</w:t>
      </w:r>
      <w:r w:rsidR="00C50D96" w:rsidRPr="00605771">
        <w:t xml:space="preserve"> d</w:t>
      </w:r>
      <w:r w:rsidR="00605771" w:rsidRPr="00605771">
        <w:t>’</w:t>
      </w:r>
      <w:r w:rsidR="00C50D96" w:rsidRPr="00605771">
        <w:t xml:space="preserve">exploitation sexuelle ne constituait pas une infraction </w:t>
      </w:r>
      <w:r w:rsidR="002B31DA" w:rsidRPr="00605771">
        <w:t xml:space="preserve">pénale </w:t>
      </w:r>
      <w:r w:rsidR="00C50D96" w:rsidRPr="00605771">
        <w:t xml:space="preserve">distincte. </w:t>
      </w:r>
      <w:r w:rsidR="00BA69D1" w:rsidRPr="00605771">
        <w:t>Ainsi, le fait que les actes de la traite des êtres humains prétendument commis constituaient des délits</w:t>
      </w:r>
      <w:r w:rsidR="00E91169" w:rsidRPr="00605771">
        <w:t xml:space="preserve"> à l</w:t>
      </w:r>
      <w:r w:rsidR="00605771" w:rsidRPr="00605771">
        <w:t>’</w:t>
      </w:r>
      <w:r w:rsidR="00E91169" w:rsidRPr="00605771">
        <w:t>époque des faits</w:t>
      </w:r>
      <w:r w:rsidR="00BA69D1" w:rsidRPr="00605771">
        <w:t>, a conduit la chambre d</w:t>
      </w:r>
      <w:r w:rsidR="00605771" w:rsidRPr="00605771">
        <w:t>’</w:t>
      </w:r>
      <w:r w:rsidR="00BA69D1" w:rsidRPr="00605771">
        <w:t>accusation du tribunal correctionnel d</w:t>
      </w:r>
      <w:r w:rsidR="00605771" w:rsidRPr="00605771">
        <w:t>’</w:t>
      </w:r>
      <w:r w:rsidR="00BA69D1" w:rsidRPr="00605771">
        <w:t xml:space="preserve">Athènes de mettre fin aux poursuites contre deux des accusés pour cause de prescription (paragraphe </w:t>
      </w:r>
      <w:r w:rsidR="00BA69D1" w:rsidRPr="00605771">
        <w:fldChar w:fldCharType="begin"/>
      </w:r>
      <w:r w:rsidR="00BA69D1" w:rsidRPr="00605771">
        <w:instrText xml:space="preserve"> REF chambredacc3 \h </w:instrText>
      </w:r>
      <w:r w:rsidR="00BA69D1" w:rsidRPr="00605771">
        <w:fldChar w:fldCharType="separate"/>
      </w:r>
      <w:r w:rsidR="00605771" w:rsidRPr="00605771">
        <w:rPr>
          <w:noProof/>
        </w:rPr>
        <w:t>88</w:t>
      </w:r>
      <w:r w:rsidR="00BA69D1" w:rsidRPr="00605771">
        <w:fldChar w:fldCharType="end"/>
      </w:r>
      <w:r w:rsidR="00BA69D1" w:rsidRPr="00605771">
        <w:t xml:space="preserve"> ci-dessus).</w:t>
      </w:r>
    </w:p>
    <w:p w:rsidR="00E8678C" w:rsidRPr="00605771" w:rsidRDefault="00F4678B"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144</w:t>
      </w:r>
      <w:r w:rsidRPr="00605771">
        <w:fldChar w:fldCharType="end"/>
      </w:r>
      <w:r w:rsidRPr="00605771">
        <w:t>.  </w:t>
      </w:r>
      <w:r w:rsidR="002E67CA" w:rsidRPr="00605771">
        <w:t xml:space="preserve">Dès lors, </w:t>
      </w:r>
      <w:r w:rsidR="00A442E6" w:rsidRPr="00605771">
        <w:t xml:space="preserve">la Cour ne saurait conclure que le cadre juridique </w:t>
      </w:r>
      <w:r w:rsidR="00483792" w:rsidRPr="00605771">
        <w:t>sous lequel s</w:t>
      </w:r>
      <w:r w:rsidR="00605771" w:rsidRPr="00605771">
        <w:t>’</w:t>
      </w:r>
      <w:r w:rsidR="00483792" w:rsidRPr="00605771">
        <w:t xml:space="preserve">est déroulé cette procédure </w:t>
      </w:r>
      <w:r w:rsidR="00A442E6" w:rsidRPr="00605771">
        <w:t>s</w:t>
      </w:r>
      <w:r w:rsidR="00605771" w:rsidRPr="00605771">
        <w:t>’</w:t>
      </w:r>
      <w:r w:rsidR="00A442E6" w:rsidRPr="00605771">
        <w:t xml:space="preserve">est </w:t>
      </w:r>
      <w:r w:rsidR="003D1620" w:rsidRPr="00605771">
        <w:t>avéré</w:t>
      </w:r>
      <w:r w:rsidR="00A442E6" w:rsidRPr="00605771">
        <w:t xml:space="preserve"> efficace</w:t>
      </w:r>
      <w:r w:rsidR="00E91169" w:rsidRPr="00605771">
        <w:t xml:space="preserve"> </w:t>
      </w:r>
      <w:r w:rsidR="00483792" w:rsidRPr="00605771">
        <w:t xml:space="preserve">et </w:t>
      </w:r>
      <w:r w:rsidR="004338D2" w:rsidRPr="00605771">
        <w:t>suffisant</w:t>
      </w:r>
      <w:r w:rsidR="00E91169" w:rsidRPr="00605771">
        <w:t>,</w:t>
      </w:r>
      <w:r w:rsidR="004338D2" w:rsidRPr="00605771">
        <w:t xml:space="preserve"> </w:t>
      </w:r>
      <w:r w:rsidR="002B31DA" w:rsidRPr="00605771">
        <w:t xml:space="preserve">ni </w:t>
      </w:r>
      <w:r w:rsidR="004338D2" w:rsidRPr="00605771">
        <w:t>pour sanctionner les trafiquants</w:t>
      </w:r>
      <w:r w:rsidR="002B31DA" w:rsidRPr="00605771">
        <w:t xml:space="preserve"> ni pour assurer la prévention efficace de la traite des êtres humains</w:t>
      </w:r>
      <w:r w:rsidR="004338D2" w:rsidRPr="00605771">
        <w:t>. Partant, il y a eu violation de l</w:t>
      </w:r>
      <w:r w:rsidR="00605771" w:rsidRPr="00605771">
        <w:t>’</w:t>
      </w:r>
      <w:r w:rsidR="004338D2" w:rsidRPr="00605771">
        <w:t>article 4 de ce chef.</w:t>
      </w:r>
    </w:p>
    <w:p w:rsidR="002C7F5B" w:rsidRPr="00605771" w:rsidRDefault="00E8678C"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145</w:t>
      </w:r>
      <w:r w:rsidRPr="00605771">
        <w:fldChar w:fldCharType="end"/>
      </w:r>
      <w:r w:rsidRPr="00605771">
        <w:t xml:space="preserve">.  La Cour note que les requérantes se plaignent </w:t>
      </w:r>
      <w:r w:rsidR="002154B5" w:rsidRPr="00605771">
        <w:t>également</w:t>
      </w:r>
      <w:r w:rsidR="00226312" w:rsidRPr="00605771">
        <w:t xml:space="preserve"> </w:t>
      </w:r>
      <w:r w:rsidRPr="00605771">
        <w:t xml:space="preserve">que le cadre législatif interne ne régissait pas suffisamment « la falsification des </w:t>
      </w:r>
      <w:r w:rsidRPr="00605771">
        <w:lastRenderedPageBreak/>
        <w:t>documents officiels en vue de faciliter la traite des êtres humains » à l</w:t>
      </w:r>
      <w:r w:rsidR="00605771" w:rsidRPr="00605771">
        <w:t>’</w:t>
      </w:r>
      <w:r w:rsidRPr="00605771">
        <w:t>époque des faits et qu</w:t>
      </w:r>
      <w:r w:rsidR="00605771" w:rsidRPr="00605771">
        <w:t>’</w:t>
      </w:r>
      <w:r w:rsidRPr="00605771">
        <w:t>il était donc insuffisant, ce qui aurait résulté à la</w:t>
      </w:r>
      <w:r w:rsidRPr="00605771">
        <w:rPr>
          <w:b/>
        </w:rPr>
        <w:t xml:space="preserve"> </w:t>
      </w:r>
      <w:r w:rsidRPr="00605771">
        <w:t>prescription d</w:t>
      </w:r>
      <w:r w:rsidR="00605771" w:rsidRPr="00605771">
        <w:t>’</w:t>
      </w:r>
      <w:r w:rsidRPr="00605771">
        <w:t xml:space="preserve">une partie des actes prétendument commis par les employés du consulat (paragraphe </w:t>
      </w:r>
      <w:r w:rsidRPr="00605771">
        <w:fldChar w:fldCharType="begin"/>
      </w:r>
      <w:r w:rsidRPr="00605771">
        <w:instrText xml:space="preserve"> REF obsreqcadrejur \h </w:instrText>
      </w:r>
      <w:r w:rsidRPr="00605771">
        <w:fldChar w:fldCharType="separate"/>
      </w:r>
      <w:r w:rsidR="00605771" w:rsidRPr="00605771">
        <w:rPr>
          <w:noProof/>
        </w:rPr>
        <w:t>117</w:t>
      </w:r>
      <w:r w:rsidRPr="00605771">
        <w:fldChar w:fldCharType="end"/>
      </w:r>
      <w:r w:rsidRPr="00605771">
        <w:t xml:space="preserve"> ci-dessus).</w:t>
      </w:r>
    </w:p>
    <w:p w:rsidR="005066CD" w:rsidRPr="00605771" w:rsidRDefault="00226312"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146</w:t>
      </w:r>
      <w:r w:rsidRPr="00605771">
        <w:fldChar w:fldCharType="end"/>
      </w:r>
      <w:r w:rsidRPr="00605771">
        <w:t xml:space="preserve">.  La Cour </w:t>
      </w:r>
      <w:r w:rsidR="00376C30" w:rsidRPr="00605771">
        <w:t>considère</w:t>
      </w:r>
      <w:r w:rsidR="00246C50" w:rsidRPr="00605771">
        <w:t xml:space="preserve"> </w:t>
      </w:r>
      <w:r w:rsidR="002154B5" w:rsidRPr="00605771">
        <w:t xml:space="preserve">que ce grief </w:t>
      </w:r>
      <w:r w:rsidR="00294574" w:rsidRPr="00605771">
        <w:t>concerne</w:t>
      </w:r>
      <w:r w:rsidR="002154B5" w:rsidRPr="00605771">
        <w:t xml:space="preserve"> en réalité</w:t>
      </w:r>
      <w:r w:rsidR="00294574" w:rsidRPr="00605771">
        <w:t xml:space="preserve"> le fait que l</w:t>
      </w:r>
      <w:r w:rsidR="00605771" w:rsidRPr="00605771">
        <w:t>’</w:t>
      </w:r>
      <w:r w:rsidR="00294574" w:rsidRPr="00605771">
        <w:t xml:space="preserve">infraction concernant la falsification des documents dont les employés du consulat étaient accusés a été </w:t>
      </w:r>
      <w:r w:rsidR="00C72A25" w:rsidRPr="00605771">
        <w:t>prescrite</w:t>
      </w:r>
      <w:r w:rsidR="00294574" w:rsidRPr="00605771">
        <w:t xml:space="preserve">. Dès lors, elle </w:t>
      </w:r>
      <w:r w:rsidRPr="00605771">
        <w:t xml:space="preserve">estime </w:t>
      </w:r>
      <w:r w:rsidR="00294574" w:rsidRPr="00605771">
        <w:t>préférable d</w:t>
      </w:r>
      <w:r w:rsidR="00605771" w:rsidRPr="00605771">
        <w:t>’</w:t>
      </w:r>
      <w:r w:rsidR="00294574" w:rsidRPr="00605771">
        <w:t xml:space="preserve">examiner </w:t>
      </w:r>
      <w:r w:rsidRPr="00605771">
        <w:t xml:space="preserve">ce grief </w:t>
      </w:r>
      <w:r w:rsidR="00294574" w:rsidRPr="00605771">
        <w:t>sous l</w:t>
      </w:r>
      <w:r w:rsidR="00605771" w:rsidRPr="00605771">
        <w:t>’</w:t>
      </w:r>
      <w:r w:rsidR="00294574" w:rsidRPr="00605771">
        <w:t xml:space="preserve">angle des </w:t>
      </w:r>
      <w:r w:rsidRPr="00605771">
        <w:t xml:space="preserve">défauts </w:t>
      </w:r>
      <w:r w:rsidR="00376C30" w:rsidRPr="00605771">
        <w:t xml:space="preserve">allégués </w:t>
      </w:r>
      <w:r w:rsidRPr="00605771">
        <w:t>de la procédure concernant la délivrance des visas, et notamment l</w:t>
      </w:r>
      <w:r w:rsidR="00605771" w:rsidRPr="00605771">
        <w:t>’</w:t>
      </w:r>
      <w:r w:rsidRPr="00605771">
        <w:t>absence de célérité de celle-ci</w:t>
      </w:r>
      <w:r w:rsidR="00376C30" w:rsidRPr="00605771">
        <w:t>, invoquée par les intéressées</w:t>
      </w:r>
      <w:r w:rsidRPr="00605771">
        <w:t xml:space="preserve"> (paragraphe</w:t>
      </w:r>
      <w:r w:rsidR="00F40A8B" w:rsidRPr="00605771">
        <w:t xml:space="preserve">s </w:t>
      </w:r>
      <w:r w:rsidR="00F40A8B" w:rsidRPr="00605771">
        <w:fldChar w:fldCharType="begin"/>
      </w:r>
      <w:r w:rsidR="00F40A8B" w:rsidRPr="00605771">
        <w:instrText xml:space="preserve"> REF procvisasf \h  \* MERGEFORMAT </w:instrText>
      </w:r>
      <w:r w:rsidR="00F40A8B" w:rsidRPr="00605771">
        <w:fldChar w:fldCharType="separate"/>
      </w:r>
      <w:r w:rsidR="00605771" w:rsidRPr="00605771">
        <w:rPr>
          <w:noProof/>
          <w:lang w:bidi="en-US"/>
        </w:rPr>
        <w:t>163</w:t>
      </w:r>
      <w:r w:rsidR="00F40A8B" w:rsidRPr="00605771">
        <w:fldChar w:fldCharType="end"/>
      </w:r>
      <w:r w:rsidR="00F40A8B" w:rsidRPr="00605771">
        <w:t xml:space="preserve"> et </w:t>
      </w:r>
      <w:r w:rsidR="00F40A8B" w:rsidRPr="00605771">
        <w:fldChar w:fldCharType="begin"/>
      </w:r>
      <w:r w:rsidR="00F40A8B" w:rsidRPr="00605771">
        <w:instrText xml:space="preserve"> REF procvisasdurée \h  \* MERGEFORMAT </w:instrText>
      </w:r>
      <w:r w:rsidR="00F40A8B" w:rsidRPr="00605771">
        <w:fldChar w:fldCharType="separate"/>
      </w:r>
      <w:r w:rsidR="00605771" w:rsidRPr="00605771">
        <w:rPr>
          <w:noProof/>
          <w:lang w:bidi="en-US"/>
        </w:rPr>
        <w:t>164</w:t>
      </w:r>
      <w:r w:rsidR="00F40A8B" w:rsidRPr="00605771">
        <w:fldChar w:fldCharType="end"/>
      </w:r>
      <w:r w:rsidR="002C7F5B" w:rsidRPr="00605771">
        <w:t xml:space="preserve"> </w:t>
      </w:r>
      <w:r w:rsidRPr="00605771">
        <w:t>ci-dessous).</w:t>
      </w:r>
    </w:p>
    <w:p w:rsidR="003A218C" w:rsidRPr="00605771" w:rsidRDefault="002059CD" w:rsidP="00605771">
      <w:pPr>
        <w:pStyle w:val="JuHi"/>
      </w:pPr>
      <w:r w:rsidRPr="00605771">
        <w:t>Quant à la suffisance des mesures opérationnelles prises pour protéger les requérantes</w:t>
      </w:r>
    </w:p>
    <w:p w:rsidR="002C7F5B" w:rsidRPr="00605771" w:rsidRDefault="00CC7681" w:rsidP="00605771">
      <w:pPr>
        <w:pStyle w:val="JuHalpha"/>
      </w:pPr>
      <w:r w:rsidRPr="00605771">
        <w:t>Troisième requérante</w:t>
      </w:r>
    </w:p>
    <w:p w:rsidR="00DA0D29" w:rsidRPr="00605771" w:rsidRDefault="00CC7681"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147</w:t>
      </w:r>
      <w:r w:rsidRPr="00605771">
        <w:fldChar w:fldCharType="end"/>
      </w:r>
      <w:r w:rsidRPr="00605771">
        <w:t>. </w:t>
      </w:r>
      <w:r w:rsidR="00B25A92" w:rsidRPr="00605771">
        <w:t> </w:t>
      </w:r>
      <w:r w:rsidR="00DA0D29" w:rsidRPr="00605771">
        <w:t>La Cour note que la date cruciale à retenir quant à l</w:t>
      </w:r>
      <w:r w:rsidR="00605771" w:rsidRPr="00605771">
        <w:t>’</w:t>
      </w:r>
      <w:r w:rsidR="00DA0D29" w:rsidRPr="00605771">
        <w:t>obligation pesant sur les autorités de prendre des mesures concrètes pour la protection de la troisième requérante en tant que victime de la traite à des fins d</w:t>
      </w:r>
      <w:r w:rsidR="00605771" w:rsidRPr="00605771">
        <w:t>’</w:t>
      </w:r>
      <w:r w:rsidR="00DA0D29" w:rsidRPr="00605771">
        <w:t>exploitation sexuelle est la date à laquelle l</w:t>
      </w:r>
      <w:r w:rsidR="00605771" w:rsidRPr="00605771">
        <w:t>’</w:t>
      </w:r>
      <w:r w:rsidR="00DA0D29" w:rsidRPr="00605771">
        <w:t>intéressée a explicitement affirmé aux autorités qu</w:t>
      </w:r>
      <w:r w:rsidR="00605771" w:rsidRPr="00605771">
        <w:t>’</w:t>
      </w:r>
      <w:r w:rsidR="00DA0D29" w:rsidRPr="00605771">
        <w:t>elle était victime de la traite des êtres humains</w:t>
      </w:r>
      <w:r w:rsidR="00A30741" w:rsidRPr="00605771">
        <w:t xml:space="preserve"> (</w:t>
      </w:r>
      <w:r w:rsidR="00A30741" w:rsidRPr="00605771">
        <w:rPr>
          <w:i/>
        </w:rPr>
        <w:t>L.E.</w:t>
      </w:r>
      <w:r w:rsidR="00A30741" w:rsidRPr="00605771">
        <w:t>, précité, § 73)</w:t>
      </w:r>
      <w:r w:rsidR="00DA0D29" w:rsidRPr="00605771">
        <w:t>.</w:t>
      </w:r>
      <w:r w:rsidR="005822B5" w:rsidRPr="00605771">
        <w:t xml:space="preserve"> Il revient </w:t>
      </w:r>
      <w:r w:rsidR="006211A3" w:rsidRPr="00605771">
        <w:t>également</w:t>
      </w:r>
      <w:r w:rsidR="005822B5" w:rsidRPr="00605771">
        <w:t xml:space="preserve"> à la Cour d</w:t>
      </w:r>
      <w:r w:rsidR="00605771" w:rsidRPr="00605771">
        <w:t>’</w:t>
      </w:r>
      <w:r w:rsidR="005822B5" w:rsidRPr="00605771">
        <w:t xml:space="preserve">examiner si, avant </w:t>
      </w:r>
      <w:r w:rsidR="006211A3" w:rsidRPr="00605771">
        <w:t>une affirmation explicite faite par l</w:t>
      </w:r>
      <w:r w:rsidR="00605771" w:rsidRPr="00605771">
        <w:t>’</w:t>
      </w:r>
      <w:r w:rsidR="00257F61" w:rsidRPr="00605771">
        <w:t>intéressée</w:t>
      </w:r>
      <w:r w:rsidR="005822B5" w:rsidRPr="00605771">
        <w:t xml:space="preserve">, les autorités compétentes pouvaient raisonnablement connaître ou soupçonner </w:t>
      </w:r>
      <w:r w:rsidR="006211A3" w:rsidRPr="00605771">
        <w:t>qu</w:t>
      </w:r>
      <w:r w:rsidR="00605771" w:rsidRPr="00605771">
        <w:t>’</w:t>
      </w:r>
      <w:r w:rsidR="006211A3" w:rsidRPr="00605771">
        <w:t>elle</w:t>
      </w:r>
      <w:r w:rsidR="005822B5" w:rsidRPr="00605771">
        <w:t xml:space="preserve"> était victime de la traite des êtres humains. En outre, la Cour examinera si les autorités policières et judiciaires ont pris </w:t>
      </w:r>
      <w:r w:rsidR="006211A3" w:rsidRPr="00605771">
        <w:t xml:space="preserve">par la suite </w:t>
      </w:r>
      <w:r w:rsidR="005822B5" w:rsidRPr="00605771">
        <w:t>les mesures nécessaires relevant de leurs pouvoirs pour offrir une protection adéquate à la requérante.</w:t>
      </w:r>
    </w:p>
    <w:p w:rsidR="002C7F5B" w:rsidRPr="00605771" w:rsidRDefault="005822B5"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148</w:t>
      </w:r>
      <w:r w:rsidRPr="00605771">
        <w:fldChar w:fldCharType="end"/>
      </w:r>
      <w:r w:rsidRPr="00605771">
        <w:t>.  À</w:t>
      </w:r>
      <w:r w:rsidR="00DA0D29" w:rsidRPr="00605771">
        <w:t xml:space="preserve"> cet égard, la Cour observe</w:t>
      </w:r>
      <w:r w:rsidR="00257F61" w:rsidRPr="00605771">
        <w:t>, en premier lieu</w:t>
      </w:r>
      <w:r w:rsidR="00DA0D29" w:rsidRPr="00605771">
        <w:t xml:space="preserve"> que, selon le Gouvernement, la troisième requérante a explicitement affirmé aux autorités qu</w:t>
      </w:r>
      <w:r w:rsidR="00605771" w:rsidRPr="00605771">
        <w:t>’</w:t>
      </w:r>
      <w:r w:rsidR="00DA0D29" w:rsidRPr="00605771">
        <w:t>elle était victime de la traite des êtres humains dans ses dépositions</w:t>
      </w:r>
      <w:r w:rsidR="00E25C5E" w:rsidRPr="00605771">
        <w:t>, l</w:t>
      </w:r>
      <w:r w:rsidR="003C2867" w:rsidRPr="00605771">
        <w:t>es </w:t>
      </w:r>
      <w:r w:rsidR="00DA0D29" w:rsidRPr="00605771">
        <w:t xml:space="preserve">19, 22 et 24 septembre 2003 (paragraphe </w:t>
      </w:r>
      <w:r w:rsidR="00DA0D29" w:rsidRPr="00605771">
        <w:fldChar w:fldCharType="begin"/>
      </w:r>
      <w:r w:rsidR="00DA0D29" w:rsidRPr="00605771">
        <w:instrText xml:space="preserve"> REF troisreqdeclvictime \h </w:instrText>
      </w:r>
      <w:r w:rsidR="00257F61" w:rsidRPr="00605771">
        <w:instrText xml:space="preserve"> \* MERGEFORMAT </w:instrText>
      </w:r>
      <w:r w:rsidR="00DA0D29" w:rsidRPr="00605771">
        <w:fldChar w:fldCharType="separate"/>
      </w:r>
      <w:r w:rsidR="00605771" w:rsidRPr="00605771">
        <w:rPr>
          <w:noProof/>
        </w:rPr>
        <w:t>13</w:t>
      </w:r>
      <w:r w:rsidR="00DA0D29" w:rsidRPr="00605771">
        <w:fldChar w:fldCharType="end"/>
      </w:r>
      <w:r w:rsidR="00DA0D29" w:rsidRPr="00605771">
        <w:t xml:space="preserve"> ci-dessus). Or, d</w:t>
      </w:r>
      <w:r w:rsidR="00605771" w:rsidRPr="00605771">
        <w:t>’</w:t>
      </w:r>
      <w:r w:rsidR="00DA0D29" w:rsidRPr="00605771">
        <w:t>après le Gouvernement, cette affirmation a eu lieu après la condamnation de la requérante par le tribunal correctionnel de Thessalonique pour prostitution, le 19 septembre 2003. L</w:t>
      </w:r>
      <w:r w:rsidR="00605771" w:rsidRPr="00605771">
        <w:t>’</w:t>
      </w:r>
      <w:r w:rsidR="00DA0D29" w:rsidRPr="00605771">
        <w:t>intéressée quant à elle affirme que les autorités ne l</w:t>
      </w:r>
      <w:r w:rsidR="00605771" w:rsidRPr="00605771">
        <w:t>’</w:t>
      </w:r>
      <w:r w:rsidR="00DA0D29" w:rsidRPr="00605771">
        <w:t>avaient pas informé, avant le procès dirigé contre elle, sur la législation protégeant les victimes de la traite des êtres humains (paragraphe</w:t>
      </w:r>
      <w:r w:rsidR="003C2867" w:rsidRPr="00605771">
        <w:t> </w:t>
      </w:r>
      <w:r w:rsidR="00DA0D29" w:rsidRPr="00605771">
        <w:fldChar w:fldCharType="begin"/>
      </w:r>
      <w:r w:rsidR="00DA0D29" w:rsidRPr="00605771">
        <w:instrText xml:space="preserve"> REF troisreqavantprocès \h </w:instrText>
      </w:r>
      <w:r w:rsidR="00257F61" w:rsidRPr="00605771">
        <w:instrText xml:space="preserve"> \* MERGEFORMAT </w:instrText>
      </w:r>
      <w:r w:rsidR="00DA0D29" w:rsidRPr="00605771">
        <w:fldChar w:fldCharType="separate"/>
      </w:r>
      <w:r w:rsidR="00605771" w:rsidRPr="00605771">
        <w:rPr>
          <w:noProof/>
        </w:rPr>
        <w:t>11</w:t>
      </w:r>
      <w:r w:rsidR="00DA0D29" w:rsidRPr="00605771">
        <w:fldChar w:fldCharType="end"/>
      </w:r>
      <w:r w:rsidR="00945308" w:rsidRPr="00605771">
        <w:t xml:space="preserve"> ci</w:t>
      </w:r>
      <w:r w:rsidR="00945308" w:rsidRPr="00605771">
        <w:noBreakHyphen/>
      </w:r>
      <w:r w:rsidR="00DA0D29" w:rsidRPr="00605771">
        <w:t>dessus).</w:t>
      </w:r>
      <w:r w:rsidRPr="00605771">
        <w:t xml:space="preserve"> </w:t>
      </w:r>
      <w:r w:rsidR="00257F61" w:rsidRPr="00605771">
        <w:t>La Cour prend note du fait que</w:t>
      </w:r>
      <w:r w:rsidR="00CC7681" w:rsidRPr="00605771">
        <w:t xml:space="preserve"> la requérante n</w:t>
      </w:r>
      <w:r w:rsidR="00605771" w:rsidRPr="00605771">
        <w:t>’</w:t>
      </w:r>
      <w:r w:rsidR="00CC7681" w:rsidRPr="00605771">
        <w:t xml:space="preserve">affirme </w:t>
      </w:r>
      <w:r w:rsidR="00257F61" w:rsidRPr="00605771">
        <w:t>ni</w:t>
      </w:r>
      <w:r w:rsidR="00CC7681" w:rsidRPr="00605771">
        <w:t xml:space="preserve"> avoir </w:t>
      </w:r>
      <w:r w:rsidR="000D5C73" w:rsidRPr="00605771">
        <w:t>alerté</w:t>
      </w:r>
      <w:r w:rsidR="00CC7681" w:rsidRPr="00605771">
        <w:t xml:space="preserve"> des autorités sur sa situation de victime de </w:t>
      </w:r>
      <w:r w:rsidR="00A85B81" w:rsidRPr="00605771">
        <w:t xml:space="preserve">la </w:t>
      </w:r>
      <w:r w:rsidR="00CC7681" w:rsidRPr="00605771">
        <w:t>traite</w:t>
      </w:r>
      <w:r w:rsidR="00257F61" w:rsidRPr="00605771">
        <w:t xml:space="preserve"> avant le 19</w:t>
      </w:r>
      <w:r w:rsidR="001656A9" w:rsidRPr="00605771">
        <w:t> </w:t>
      </w:r>
      <w:r w:rsidR="00257F61" w:rsidRPr="00605771">
        <w:t xml:space="preserve">septembre 2003, ni que les autorités auraient dû </w:t>
      </w:r>
      <w:r w:rsidR="0064715C" w:rsidRPr="00605771">
        <w:t>soupçonner</w:t>
      </w:r>
      <w:r w:rsidR="00257F61" w:rsidRPr="00605771">
        <w:t xml:space="preserve"> qu</w:t>
      </w:r>
      <w:r w:rsidR="00605771" w:rsidRPr="00605771">
        <w:t>’</w:t>
      </w:r>
      <w:r w:rsidR="00257F61" w:rsidRPr="00605771">
        <w:t xml:space="preserve">elle était victime de </w:t>
      </w:r>
      <w:r w:rsidR="00E25C5E" w:rsidRPr="00605771">
        <w:t xml:space="preserve">la </w:t>
      </w:r>
      <w:r w:rsidR="00257F61" w:rsidRPr="00605771">
        <w:t>traite des êtres humains avant sa propre affirmation devant elles</w:t>
      </w:r>
      <w:r w:rsidR="00CC7681" w:rsidRPr="00605771">
        <w:t>.</w:t>
      </w:r>
    </w:p>
    <w:p w:rsidR="002C7F5B" w:rsidRPr="00605771" w:rsidRDefault="00CC7681"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149</w:t>
      </w:r>
      <w:r w:rsidRPr="00605771">
        <w:fldChar w:fldCharType="end"/>
      </w:r>
      <w:r w:rsidRPr="00605771">
        <w:t xml:space="preserve">.  Quant à la période postérieure au </w:t>
      </w:r>
      <w:r w:rsidR="000D5C73" w:rsidRPr="00605771">
        <w:t>19 septembre 2003</w:t>
      </w:r>
      <w:r w:rsidRPr="00605771">
        <w:t xml:space="preserve">, </w:t>
      </w:r>
      <w:r w:rsidR="001656A9" w:rsidRPr="00605771">
        <w:t xml:space="preserve">il ressort du dossier que </w:t>
      </w:r>
      <w:r w:rsidRPr="00605771">
        <w:t>les autorités compétentes ne sont pas restées indifférentes à l</w:t>
      </w:r>
      <w:r w:rsidR="00605771" w:rsidRPr="00605771">
        <w:t>’</w:t>
      </w:r>
      <w:r w:rsidRPr="00605771">
        <w:t>égard de l</w:t>
      </w:r>
      <w:r w:rsidR="00605771" w:rsidRPr="00605771">
        <w:t>’</w:t>
      </w:r>
      <w:r w:rsidRPr="00605771">
        <w:t>affirmation explicite de la requérante d</w:t>
      </w:r>
      <w:r w:rsidR="00605771" w:rsidRPr="00605771">
        <w:t>’</w:t>
      </w:r>
      <w:r w:rsidRPr="00605771">
        <w:t xml:space="preserve">avoir été victime de </w:t>
      </w:r>
      <w:r w:rsidR="00A85B81" w:rsidRPr="00605771">
        <w:t xml:space="preserve">la </w:t>
      </w:r>
      <w:r w:rsidRPr="00605771">
        <w:t>traite</w:t>
      </w:r>
      <w:r w:rsidR="001656A9" w:rsidRPr="00605771">
        <w:t>.</w:t>
      </w:r>
      <w:r w:rsidRPr="00605771">
        <w:t xml:space="preserve"> </w:t>
      </w:r>
      <w:r w:rsidR="001656A9" w:rsidRPr="00605771">
        <w:t>En effet, même si la troisième requérante allègue qu</w:t>
      </w:r>
      <w:r w:rsidR="00605771" w:rsidRPr="00605771">
        <w:t>’</w:t>
      </w:r>
      <w:r w:rsidR="001656A9" w:rsidRPr="00605771">
        <w:t>elle n</w:t>
      </w:r>
      <w:r w:rsidR="00605771" w:rsidRPr="00605771">
        <w:t>’</w:t>
      </w:r>
      <w:r w:rsidR="001656A9" w:rsidRPr="00605771">
        <w:t xml:space="preserve">a pas </w:t>
      </w:r>
      <w:r w:rsidR="001656A9" w:rsidRPr="00605771">
        <w:lastRenderedPageBreak/>
        <w:t>bénéficié d</w:t>
      </w:r>
      <w:r w:rsidR="00605771" w:rsidRPr="00605771">
        <w:t>’</w:t>
      </w:r>
      <w:r w:rsidR="001656A9" w:rsidRPr="00605771">
        <w:t>une assistance matérielle et psychologique suffisante, la Cour observe que, moins de deux mois après</w:t>
      </w:r>
      <w:r w:rsidRPr="00605771">
        <w:t xml:space="preserve"> sa dénonciation, </w:t>
      </w:r>
      <w:r w:rsidR="001656A9" w:rsidRPr="00605771">
        <w:t>la décision ordonnant l</w:t>
      </w:r>
      <w:r w:rsidR="00605771" w:rsidRPr="00605771">
        <w:t>’</w:t>
      </w:r>
      <w:r w:rsidR="001656A9" w:rsidRPr="00605771">
        <w:t>expulsion de l</w:t>
      </w:r>
      <w:r w:rsidR="00605771" w:rsidRPr="00605771">
        <w:t>’</w:t>
      </w:r>
      <w:r w:rsidR="001656A9" w:rsidRPr="00605771">
        <w:t>intéressée a été suspendue et elle s</w:t>
      </w:r>
      <w:r w:rsidR="00605771" w:rsidRPr="00605771">
        <w:t>’</w:t>
      </w:r>
      <w:r w:rsidR="001656A9" w:rsidRPr="00605771">
        <w:t>est vu attribué un permis de séjour. Qui plus est, quinze jours après la délivrance de ce permis, la requérant a été placée dans un foyer</w:t>
      </w:r>
      <w:r w:rsidR="00B0749C" w:rsidRPr="00605771">
        <w:t xml:space="preserve"> (paragraphe </w:t>
      </w:r>
      <w:r w:rsidR="00B0749C" w:rsidRPr="00605771">
        <w:fldChar w:fldCharType="begin"/>
      </w:r>
      <w:r w:rsidR="00B0749C" w:rsidRPr="00605771">
        <w:instrText xml:space="preserve"> REF troisreqmesures1 \h </w:instrText>
      </w:r>
      <w:r w:rsidR="00B0749C" w:rsidRPr="00605771">
        <w:fldChar w:fldCharType="separate"/>
      </w:r>
      <w:r w:rsidR="00605771" w:rsidRPr="00605771">
        <w:rPr>
          <w:noProof/>
        </w:rPr>
        <w:t>17</w:t>
      </w:r>
      <w:r w:rsidR="00B0749C" w:rsidRPr="00605771">
        <w:fldChar w:fldCharType="end"/>
      </w:r>
      <w:r w:rsidR="00B0749C" w:rsidRPr="00605771">
        <w:t xml:space="preserve"> et</w:t>
      </w:r>
      <w:r w:rsidR="003C2867" w:rsidRPr="00605771">
        <w:t> </w:t>
      </w:r>
      <w:r w:rsidR="00B0749C" w:rsidRPr="00605771">
        <w:fldChar w:fldCharType="begin"/>
      </w:r>
      <w:r w:rsidR="00B0749C" w:rsidRPr="00605771">
        <w:instrText xml:space="preserve"> REF troisreqmesures2 \h </w:instrText>
      </w:r>
      <w:r w:rsidR="00B0749C" w:rsidRPr="00605771">
        <w:fldChar w:fldCharType="separate"/>
      </w:r>
      <w:r w:rsidR="00605771" w:rsidRPr="00605771">
        <w:rPr>
          <w:noProof/>
        </w:rPr>
        <w:t>18</w:t>
      </w:r>
      <w:r w:rsidR="00B0749C" w:rsidRPr="00605771">
        <w:fldChar w:fldCharType="end"/>
      </w:r>
      <w:r w:rsidR="00B25A92" w:rsidRPr="00605771">
        <w:t xml:space="preserve"> ci</w:t>
      </w:r>
      <w:r w:rsidR="00B25A92" w:rsidRPr="00605771">
        <w:noBreakHyphen/>
      </w:r>
      <w:r w:rsidR="00B0749C" w:rsidRPr="00605771">
        <w:t>dessus)</w:t>
      </w:r>
      <w:r w:rsidR="001656A9" w:rsidRPr="00605771">
        <w:t>.</w:t>
      </w:r>
    </w:p>
    <w:p w:rsidR="002C7F5B" w:rsidRPr="00605771" w:rsidRDefault="001656A9"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150</w:t>
      </w:r>
      <w:r w:rsidRPr="00605771">
        <w:fldChar w:fldCharType="end"/>
      </w:r>
      <w:r w:rsidRPr="00605771">
        <w:t xml:space="preserve">.  Dans ces conditions, la Cour ne saurait conclure que </w:t>
      </w:r>
      <w:r w:rsidR="00BC66C4" w:rsidRPr="00605771">
        <w:t>les autorités internes aient été en défaut d</w:t>
      </w:r>
      <w:r w:rsidR="00605771" w:rsidRPr="00605771">
        <w:t>’</w:t>
      </w:r>
      <w:r w:rsidR="00BC66C4" w:rsidRPr="00605771">
        <w:t>entreprendre d</w:t>
      </w:r>
      <w:r w:rsidRPr="00605771">
        <w:t xml:space="preserve">es mesures opérationnelles </w:t>
      </w:r>
      <w:r w:rsidR="00BC66C4" w:rsidRPr="00605771">
        <w:t xml:space="preserve">susceptibles </w:t>
      </w:r>
      <w:r w:rsidRPr="00605771">
        <w:t>d</w:t>
      </w:r>
      <w:r w:rsidR="00605771" w:rsidRPr="00605771">
        <w:t>’</w:t>
      </w:r>
      <w:r w:rsidRPr="00605771">
        <w:t xml:space="preserve">offrir </w:t>
      </w:r>
      <w:r w:rsidR="00BC66C4" w:rsidRPr="00605771">
        <w:t xml:space="preserve">à la troisième requérante </w:t>
      </w:r>
      <w:r w:rsidRPr="00605771">
        <w:t>une protection en tant que victime de</w:t>
      </w:r>
      <w:r w:rsidR="00A85B81" w:rsidRPr="00605771">
        <w:t xml:space="preserve"> la</w:t>
      </w:r>
      <w:r w:rsidRPr="00605771">
        <w:t xml:space="preserve"> traite.</w:t>
      </w:r>
    </w:p>
    <w:p w:rsidR="004A3CE3" w:rsidRPr="00605771" w:rsidRDefault="008A7198" w:rsidP="00605771">
      <w:pPr>
        <w:pStyle w:val="JuHalpha"/>
      </w:pPr>
      <w:r w:rsidRPr="00605771">
        <w:t>Les deux premières requérantes</w:t>
      </w:r>
    </w:p>
    <w:p w:rsidR="00CC7681" w:rsidRPr="00605771" w:rsidRDefault="004A3CE3"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151</w:t>
      </w:r>
      <w:r w:rsidRPr="00605771">
        <w:fldChar w:fldCharType="end"/>
      </w:r>
      <w:r w:rsidRPr="00605771">
        <w:t>.  </w:t>
      </w:r>
      <w:r w:rsidR="008A79F9" w:rsidRPr="00605771">
        <w:t xml:space="preserve">La Cour constate que les deux </w:t>
      </w:r>
      <w:r w:rsidR="00F5078B" w:rsidRPr="00605771">
        <w:t>premières</w:t>
      </w:r>
      <w:r w:rsidR="008A79F9" w:rsidRPr="00605771">
        <w:t xml:space="preserve"> requérantes ont alerté les autorités sur leur situation en tant que victimes de la traite des êtres humains le 12 décembre 2003, date à laquelle elles se sont présentées à la direction de la </w:t>
      </w:r>
      <w:r w:rsidR="00F5078B" w:rsidRPr="00605771">
        <w:t>sécurité</w:t>
      </w:r>
      <w:r w:rsidR="008A79F9" w:rsidRPr="00605771">
        <w:t xml:space="preserve"> de la police d</w:t>
      </w:r>
      <w:r w:rsidR="00605771" w:rsidRPr="00605771">
        <w:t>’</w:t>
      </w:r>
      <w:r w:rsidR="008A79F9" w:rsidRPr="00605771">
        <w:t xml:space="preserve">Ermoúpolis (paragraphe </w:t>
      </w:r>
      <w:r w:rsidR="008A79F9" w:rsidRPr="00605771">
        <w:fldChar w:fldCharType="begin"/>
      </w:r>
      <w:r w:rsidR="008A79F9" w:rsidRPr="00605771">
        <w:instrText xml:space="preserve"> REF premdeuxreqmesures1 \h </w:instrText>
      </w:r>
      <w:r w:rsidR="008A79F9" w:rsidRPr="00605771">
        <w:fldChar w:fldCharType="separate"/>
      </w:r>
      <w:r w:rsidR="00605771" w:rsidRPr="00605771">
        <w:rPr>
          <w:noProof/>
        </w:rPr>
        <w:t>31</w:t>
      </w:r>
      <w:r w:rsidR="008A79F9" w:rsidRPr="00605771">
        <w:fldChar w:fldCharType="end"/>
      </w:r>
      <w:r w:rsidR="008A79F9" w:rsidRPr="00605771">
        <w:t xml:space="preserve"> ci-dessus). Dix jours plus tard, à savoir le 22 décembre 2003, les </w:t>
      </w:r>
      <w:r w:rsidR="00B9529B" w:rsidRPr="00605771">
        <w:t>intéressées</w:t>
      </w:r>
      <w:r w:rsidR="008A79F9" w:rsidRPr="00605771">
        <w:t xml:space="preserve"> ont été reconnues comme « victimes de la traite des êtres humains » et l</w:t>
      </w:r>
      <w:r w:rsidR="00605771" w:rsidRPr="00605771">
        <w:t>’</w:t>
      </w:r>
      <w:r w:rsidR="008A79F9" w:rsidRPr="00605771">
        <w:t>exécution des décisions ordonnant leur expulsion fut suspendue</w:t>
      </w:r>
      <w:r w:rsidR="008D13C4" w:rsidRPr="00605771">
        <w:t xml:space="preserve"> (paragraphe </w:t>
      </w:r>
      <w:r w:rsidR="008D13C4" w:rsidRPr="00605771">
        <w:fldChar w:fldCharType="begin"/>
      </w:r>
      <w:r w:rsidR="008D13C4" w:rsidRPr="00605771">
        <w:instrText xml:space="preserve"> REF premdeuxreqmesures2 \h </w:instrText>
      </w:r>
      <w:r w:rsidR="008D13C4" w:rsidRPr="00605771">
        <w:fldChar w:fldCharType="separate"/>
      </w:r>
      <w:r w:rsidR="00605771" w:rsidRPr="00605771">
        <w:rPr>
          <w:noProof/>
        </w:rPr>
        <w:t>32</w:t>
      </w:r>
      <w:r w:rsidR="008D13C4" w:rsidRPr="00605771">
        <w:fldChar w:fldCharType="end"/>
      </w:r>
      <w:r w:rsidR="008D13C4" w:rsidRPr="00605771">
        <w:t xml:space="preserve"> ci-dessus)</w:t>
      </w:r>
      <w:r w:rsidR="008A79F9" w:rsidRPr="00605771">
        <w:t xml:space="preserve">. </w:t>
      </w:r>
      <w:r w:rsidR="00D22F86" w:rsidRPr="00605771">
        <w:t>La Cour note que les parties présentent des versions différentes quant au</w:t>
      </w:r>
      <w:r w:rsidR="00F5078B" w:rsidRPr="00605771">
        <w:t xml:space="preserve"> point de savoir si les requérantes ont été transférées ou pas dans un foyer. </w:t>
      </w:r>
      <w:r w:rsidR="008D13C4" w:rsidRPr="00605771">
        <w:t xml:space="preserve">Les requérantes </w:t>
      </w:r>
      <w:r w:rsidR="007E48CB" w:rsidRPr="00605771">
        <w:t>affirment en outre, sans préciser, qu</w:t>
      </w:r>
      <w:r w:rsidR="00605771" w:rsidRPr="00605771">
        <w:t>’</w:t>
      </w:r>
      <w:r w:rsidR="007E48CB" w:rsidRPr="00605771">
        <w:t>elles n</w:t>
      </w:r>
      <w:r w:rsidR="00605771" w:rsidRPr="00605771">
        <w:t>’</w:t>
      </w:r>
      <w:r w:rsidR="007E48CB" w:rsidRPr="00605771">
        <w:t xml:space="preserve">ont pas </w:t>
      </w:r>
      <w:r w:rsidR="008D13C4" w:rsidRPr="00605771">
        <w:t xml:space="preserve">reçu une assistance légale et psychologique. </w:t>
      </w:r>
      <w:r w:rsidR="008A7198" w:rsidRPr="00605771">
        <w:t>Toutefois,</w:t>
      </w:r>
      <w:r w:rsidR="009148A8" w:rsidRPr="00605771">
        <w:t xml:space="preserve"> </w:t>
      </w:r>
      <w:r w:rsidR="008A7198" w:rsidRPr="00605771">
        <w:t xml:space="preserve">et malgré les doutes exprimés par les deux premières requérantes, </w:t>
      </w:r>
      <w:r w:rsidR="009148A8" w:rsidRPr="00605771">
        <w:t>les éléments du dossier ne permettent pas contester de manière concrète l</w:t>
      </w:r>
      <w:r w:rsidR="00605771" w:rsidRPr="00605771">
        <w:t>’</w:t>
      </w:r>
      <w:r w:rsidR="009148A8" w:rsidRPr="00605771">
        <w:t xml:space="preserve">affirmation du Gouvernement que les </w:t>
      </w:r>
      <w:r w:rsidR="008A7198" w:rsidRPr="00605771">
        <w:t>intéressées</w:t>
      </w:r>
      <w:r w:rsidR="009148A8" w:rsidRPr="00605771">
        <w:t xml:space="preserve"> ont été logées dans un foyer.</w:t>
      </w:r>
    </w:p>
    <w:p w:rsidR="00D22F86" w:rsidRPr="00605771" w:rsidRDefault="00D22F86"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152</w:t>
      </w:r>
      <w:r w:rsidRPr="00605771">
        <w:fldChar w:fldCharType="end"/>
      </w:r>
      <w:r w:rsidR="00F14509" w:rsidRPr="00605771">
        <w:t>.  </w:t>
      </w:r>
      <w:r w:rsidR="001656A9" w:rsidRPr="00605771">
        <w:t xml:space="preserve">Dans ces conditions, </w:t>
      </w:r>
      <w:r w:rsidR="00F5078B" w:rsidRPr="00605771">
        <w:t xml:space="preserve">eu égard notamment à la célérité avec laquelle les autorités ont reconnu les requérantes comme victimes de la traite, </w:t>
      </w:r>
      <w:r w:rsidR="001656A9" w:rsidRPr="00605771">
        <w:t>la Cour ne saurait conclure que les mesures opérationnelles entreprises par les autorités internes afin d</w:t>
      </w:r>
      <w:r w:rsidR="00605771" w:rsidRPr="00605771">
        <w:t>’</w:t>
      </w:r>
      <w:r w:rsidR="001656A9" w:rsidRPr="00605771">
        <w:t xml:space="preserve">offrir une protection </w:t>
      </w:r>
      <w:r w:rsidR="008A7198" w:rsidRPr="00605771">
        <w:t>aux deux premières requérantes</w:t>
      </w:r>
      <w:r w:rsidR="001656A9" w:rsidRPr="00605771">
        <w:t xml:space="preserve"> en tant que victime</w:t>
      </w:r>
      <w:r w:rsidR="008A7198" w:rsidRPr="00605771">
        <w:t>s</w:t>
      </w:r>
      <w:r w:rsidR="001656A9" w:rsidRPr="00605771">
        <w:t xml:space="preserve"> de </w:t>
      </w:r>
      <w:r w:rsidR="00A76234" w:rsidRPr="00605771">
        <w:t xml:space="preserve">la </w:t>
      </w:r>
      <w:r w:rsidR="001656A9" w:rsidRPr="00605771">
        <w:t xml:space="preserve">traite </w:t>
      </w:r>
      <w:r w:rsidR="00BC66C4" w:rsidRPr="00605771">
        <w:t>n</w:t>
      </w:r>
      <w:r w:rsidR="00605771" w:rsidRPr="00605771">
        <w:t>’</w:t>
      </w:r>
      <w:r w:rsidR="001656A9" w:rsidRPr="00605771">
        <w:t xml:space="preserve">ont </w:t>
      </w:r>
      <w:r w:rsidR="00BC66C4" w:rsidRPr="00605771">
        <w:t>pas été suffisantes</w:t>
      </w:r>
      <w:r w:rsidR="001656A9" w:rsidRPr="00605771">
        <w:t>.</w:t>
      </w:r>
    </w:p>
    <w:p w:rsidR="00084626" w:rsidRPr="00605771" w:rsidRDefault="00084626" w:rsidP="00605771">
      <w:pPr>
        <w:pStyle w:val="JuHi"/>
      </w:pPr>
      <w:r w:rsidRPr="00605771">
        <w:t>Quant à l</w:t>
      </w:r>
      <w:r w:rsidR="00605771" w:rsidRPr="00605771">
        <w:t>’</w:t>
      </w:r>
      <w:r w:rsidRPr="00605771">
        <w:t>effectivité des enquêtes policières et des procédures judiciaires</w:t>
      </w:r>
    </w:p>
    <w:p w:rsidR="00317A30" w:rsidRPr="00605771" w:rsidRDefault="007E38B9" w:rsidP="00605771">
      <w:pPr>
        <w:pStyle w:val="JuHalpha"/>
        <w:numPr>
          <w:ilvl w:val="6"/>
          <w:numId w:val="20"/>
        </w:numPr>
        <w:rPr>
          <w:lang w:val="fr-FR"/>
        </w:rPr>
      </w:pPr>
      <w:r w:rsidRPr="00605771">
        <w:rPr>
          <w:lang w:val="fr-FR"/>
        </w:rPr>
        <w:t>Quant à l</w:t>
      </w:r>
      <w:r w:rsidR="007C13B2" w:rsidRPr="00605771">
        <w:rPr>
          <w:lang w:val="fr-FR"/>
        </w:rPr>
        <w:t>a</w:t>
      </w:r>
      <w:r w:rsidR="00317A30" w:rsidRPr="00605771">
        <w:rPr>
          <w:lang w:val="fr-FR"/>
        </w:rPr>
        <w:t xml:space="preserve"> procédure </w:t>
      </w:r>
      <w:r w:rsidR="00906232" w:rsidRPr="00605771">
        <w:rPr>
          <w:lang w:val="fr-FR"/>
        </w:rPr>
        <w:t>relative aux faits d</w:t>
      </w:r>
      <w:r w:rsidR="00605771" w:rsidRPr="00605771">
        <w:rPr>
          <w:lang w:val="fr-FR"/>
        </w:rPr>
        <w:t>’</w:t>
      </w:r>
      <w:r w:rsidR="00906232" w:rsidRPr="00605771">
        <w:rPr>
          <w:lang w:val="fr-FR"/>
        </w:rPr>
        <w:t>exploitation concernant</w:t>
      </w:r>
      <w:r w:rsidR="00317A30" w:rsidRPr="00605771">
        <w:rPr>
          <w:lang w:val="fr-FR"/>
        </w:rPr>
        <w:t xml:space="preserve"> </w:t>
      </w:r>
      <w:r w:rsidR="007C13B2" w:rsidRPr="00605771">
        <w:rPr>
          <w:lang w:val="fr-FR"/>
        </w:rPr>
        <w:t>la troisième requérante</w:t>
      </w:r>
    </w:p>
    <w:p w:rsidR="00464E3A" w:rsidRPr="00605771" w:rsidRDefault="00317A30" w:rsidP="00605771">
      <w:pPr>
        <w:pStyle w:val="JuPara"/>
        <w:rPr>
          <w:rFonts w:ascii="Times New Roman" w:eastAsia="Times New Roman" w:hAnsi="Times New Roman" w:cs="Times New Roman"/>
          <w:szCs w:val="24"/>
          <w:lang w:eastAsia="fr-FR"/>
        </w:rPr>
      </w:pPr>
      <w:r w:rsidRPr="00605771">
        <w:rPr>
          <w:lang w:bidi="en-US"/>
        </w:rPr>
        <w:fldChar w:fldCharType="begin"/>
      </w:r>
      <w:r w:rsidRPr="00605771">
        <w:rPr>
          <w:lang w:bidi="en-US"/>
        </w:rPr>
        <w:instrText xml:space="preserve"> SEQ level0 \*arabic </w:instrText>
      </w:r>
      <w:r w:rsidRPr="00605771">
        <w:rPr>
          <w:lang w:bidi="en-US"/>
        </w:rPr>
        <w:fldChar w:fldCharType="separate"/>
      </w:r>
      <w:r w:rsidR="00605771" w:rsidRPr="00605771">
        <w:rPr>
          <w:noProof/>
          <w:lang w:bidi="en-US"/>
        </w:rPr>
        <w:t>153</w:t>
      </w:r>
      <w:r w:rsidRPr="00605771">
        <w:rPr>
          <w:lang w:bidi="en-US"/>
        </w:rPr>
        <w:fldChar w:fldCharType="end"/>
      </w:r>
      <w:r w:rsidR="00464E3A" w:rsidRPr="00605771">
        <w:rPr>
          <w:lang w:bidi="en-US"/>
        </w:rPr>
        <w:t>.</w:t>
      </w:r>
      <w:r w:rsidR="00F14509" w:rsidRPr="00605771">
        <w:t>  </w:t>
      </w:r>
      <w:r w:rsidR="00464E3A" w:rsidRPr="00605771">
        <w:t>La Cour constate que</w:t>
      </w:r>
      <w:r w:rsidR="00440424" w:rsidRPr="00605771">
        <w:t>,</w:t>
      </w:r>
      <w:r w:rsidR="00464E3A" w:rsidRPr="00605771">
        <w:t xml:space="preserve"> le 23 octobre 2003</w:t>
      </w:r>
      <w:r w:rsidR="00440424" w:rsidRPr="00605771">
        <w:t>,</w:t>
      </w:r>
      <w:r w:rsidR="00464E3A" w:rsidRPr="00605771">
        <w:t xml:space="preserve"> des poursuites pénales ont été engagées contre N.S., F .P. et E.M. pour organisation criminelle, traite des êtres humains et proxénétisme.</w:t>
      </w:r>
      <w:r w:rsidR="00464E3A" w:rsidRPr="00605771">
        <w:rPr>
          <w:rFonts w:ascii="Times New Roman" w:eastAsia="Times New Roman" w:hAnsi="Times New Roman" w:cs="Times New Roman"/>
          <w:szCs w:val="24"/>
          <w:lang w:eastAsia="fr-FR"/>
        </w:rPr>
        <w:t xml:space="preserve"> Elle note que les circonstances ayant entouré </w:t>
      </w:r>
      <w:r w:rsidR="0009358D" w:rsidRPr="00605771">
        <w:rPr>
          <w:rFonts w:ascii="Times New Roman" w:eastAsia="Times New Roman" w:hAnsi="Times New Roman" w:cs="Times New Roman"/>
          <w:szCs w:val="24"/>
          <w:lang w:eastAsia="fr-FR"/>
        </w:rPr>
        <w:t>les faits d</w:t>
      </w:r>
      <w:r w:rsidR="00605771" w:rsidRPr="00605771">
        <w:rPr>
          <w:rFonts w:ascii="Times New Roman" w:eastAsia="Times New Roman" w:hAnsi="Times New Roman" w:cs="Times New Roman"/>
          <w:szCs w:val="24"/>
          <w:lang w:eastAsia="fr-FR"/>
        </w:rPr>
        <w:t>’</w:t>
      </w:r>
      <w:r w:rsidR="00464E3A" w:rsidRPr="00605771">
        <w:rPr>
          <w:rFonts w:ascii="Times New Roman" w:eastAsia="Times New Roman" w:hAnsi="Times New Roman" w:cs="Times New Roman"/>
          <w:szCs w:val="24"/>
          <w:lang w:eastAsia="fr-FR"/>
        </w:rPr>
        <w:t xml:space="preserve">exploitation </w:t>
      </w:r>
      <w:r w:rsidR="0009358D" w:rsidRPr="00605771">
        <w:rPr>
          <w:rFonts w:ascii="Times New Roman" w:eastAsia="Times New Roman" w:hAnsi="Times New Roman" w:cs="Times New Roman"/>
          <w:szCs w:val="24"/>
          <w:lang w:eastAsia="fr-FR"/>
        </w:rPr>
        <w:t>concernant</w:t>
      </w:r>
      <w:r w:rsidR="00464E3A" w:rsidRPr="00605771">
        <w:rPr>
          <w:rFonts w:ascii="Times New Roman" w:eastAsia="Times New Roman" w:hAnsi="Times New Roman" w:cs="Times New Roman"/>
          <w:szCs w:val="24"/>
          <w:lang w:eastAsia="fr-FR"/>
        </w:rPr>
        <w:t xml:space="preserve"> la troisième requérante ont fait l</w:t>
      </w:r>
      <w:r w:rsidR="00605771" w:rsidRPr="00605771">
        <w:rPr>
          <w:rFonts w:ascii="Times New Roman" w:eastAsia="Times New Roman" w:hAnsi="Times New Roman" w:cs="Times New Roman"/>
          <w:szCs w:val="24"/>
          <w:lang w:eastAsia="fr-FR"/>
        </w:rPr>
        <w:t>’</w:t>
      </w:r>
      <w:r w:rsidR="00464E3A" w:rsidRPr="00605771">
        <w:rPr>
          <w:rFonts w:ascii="Times New Roman" w:eastAsia="Times New Roman" w:hAnsi="Times New Roman" w:cs="Times New Roman"/>
          <w:szCs w:val="24"/>
          <w:lang w:eastAsia="fr-FR"/>
        </w:rPr>
        <w:t>objet d</w:t>
      </w:r>
      <w:r w:rsidR="00605771" w:rsidRPr="00605771">
        <w:rPr>
          <w:rFonts w:ascii="Times New Roman" w:eastAsia="Times New Roman" w:hAnsi="Times New Roman" w:cs="Times New Roman"/>
          <w:szCs w:val="24"/>
          <w:lang w:eastAsia="fr-FR"/>
        </w:rPr>
        <w:t>’</w:t>
      </w:r>
      <w:r w:rsidR="00464E3A" w:rsidRPr="00605771">
        <w:rPr>
          <w:rFonts w:ascii="Times New Roman" w:eastAsia="Times New Roman" w:hAnsi="Times New Roman" w:cs="Times New Roman"/>
          <w:szCs w:val="24"/>
          <w:lang w:eastAsia="fr-FR"/>
        </w:rPr>
        <w:t>une enquête.</w:t>
      </w:r>
    </w:p>
    <w:p w:rsidR="00464E3A" w:rsidRPr="00605771" w:rsidRDefault="00464E3A" w:rsidP="00605771">
      <w:pPr>
        <w:pStyle w:val="JuPara"/>
      </w:pPr>
      <w:r w:rsidRPr="00605771">
        <w:rPr>
          <w:rFonts w:ascii="Times New Roman" w:eastAsia="Times New Roman" w:hAnsi="Times New Roman" w:cs="Times New Roman"/>
          <w:szCs w:val="20"/>
          <w:lang w:eastAsia="fr-FR"/>
        </w:rPr>
        <w:fldChar w:fldCharType="begin"/>
      </w:r>
      <w:r w:rsidRPr="00605771">
        <w:rPr>
          <w:rFonts w:ascii="Times New Roman" w:eastAsia="Times New Roman" w:hAnsi="Times New Roman" w:cs="Times New Roman"/>
          <w:szCs w:val="20"/>
          <w:lang w:eastAsia="fr-FR"/>
        </w:rPr>
        <w:instrText xml:space="preserve"> SEQ level0 \*arabic </w:instrText>
      </w:r>
      <w:r w:rsidRPr="00605771">
        <w:rPr>
          <w:rFonts w:ascii="Times New Roman" w:eastAsia="Times New Roman" w:hAnsi="Times New Roman" w:cs="Times New Roman"/>
          <w:szCs w:val="20"/>
          <w:lang w:eastAsia="fr-FR"/>
        </w:rPr>
        <w:fldChar w:fldCharType="separate"/>
      </w:r>
      <w:r w:rsidR="00605771" w:rsidRPr="00605771">
        <w:rPr>
          <w:rFonts w:ascii="Times New Roman" w:eastAsia="Times New Roman" w:hAnsi="Times New Roman" w:cs="Times New Roman"/>
          <w:noProof/>
          <w:szCs w:val="20"/>
          <w:lang w:eastAsia="fr-FR"/>
        </w:rPr>
        <w:t>154</w:t>
      </w:r>
      <w:r w:rsidRPr="00605771">
        <w:rPr>
          <w:rFonts w:ascii="Times New Roman" w:eastAsia="Times New Roman" w:hAnsi="Times New Roman" w:cs="Times New Roman"/>
          <w:szCs w:val="20"/>
          <w:lang w:eastAsia="fr-FR"/>
        </w:rPr>
        <w:fldChar w:fldCharType="end"/>
      </w:r>
      <w:r w:rsidRPr="00605771">
        <w:rPr>
          <w:rFonts w:ascii="Times New Roman" w:eastAsia="Times New Roman" w:hAnsi="Times New Roman" w:cs="Times New Roman"/>
          <w:szCs w:val="20"/>
          <w:lang w:eastAsia="fr-FR"/>
        </w:rPr>
        <w:t>.  Reste à savoir si l</w:t>
      </w:r>
      <w:r w:rsidR="00605771" w:rsidRPr="00605771">
        <w:rPr>
          <w:rFonts w:ascii="Times New Roman" w:eastAsia="Times New Roman" w:hAnsi="Times New Roman" w:cs="Times New Roman"/>
          <w:szCs w:val="20"/>
          <w:lang w:eastAsia="fr-FR"/>
        </w:rPr>
        <w:t>’</w:t>
      </w:r>
      <w:r w:rsidRPr="00605771">
        <w:rPr>
          <w:rFonts w:ascii="Times New Roman" w:eastAsia="Times New Roman" w:hAnsi="Times New Roman" w:cs="Times New Roman"/>
          <w:szCs w:val="20"/>
          <w:lang w:eastAsia="fr-FR"/>
        </w:rPr>
        <w:t>enquête en cause a satisfait aux exigences de l</w:t>
      </w:r>
      <w:r w:rsidR="00605771" w:rsidRPr="00605771">
        <w:rPr>
          <w:rFonts w:ascii="Times New Roman" w:eastAsia="Times New Roman" w:hAnsi="Times New Roman" w:cs="Times New Roman"/>
          <w:szCs w:val="20"/>
          <w:lang w:eastAsia="fr-FR"/>
        </w:rPr>
        <w:t>’</w:t>
      </w:r>
      <w:r w:rsidRPr="00605771">
        <w:rPr>
          <w:rFonts w:ascii="Times New Roman" w:eastAsia="Times New Roman" w:hAnsi="Times New Roman" w:cs="Times New Roman"/>
          <w:szCs w:val="20"/>
          <w:lang w:eastAsia="fr-FR"/>
        </w:rPr>
        <w:t>article 4 de la Convention.</w:t>
      </w:r>
    </w:p>
    <w:p w:rsidR="00375EFF" w:rsidRPr="00605771" w:rsidRDefault="00766E94" w:rsidP="00605771">
      <w:pPr>
        <w:pStyle w:val="JuPara"/>
        <w:rPr>
          <w:rFonts w:ascii="Times New Roman" w:eastAsia="Times New Roman" w:hAnsi="Times New Roman" w:cs="Times New Roman"/>
          <w:szCs w:val="20"/>
          <w:lang w:eastAsia="fr-FR"/>
        </w:rPr>
      </w:pPr>
      <w:r w:rsidRPr="00605771">
        <w:rPr>
          <w:rFonts w:ascii="Times New Roman" w:eastAsia="Times New Roman" w:hAnsi="Times New Roman" w:cs="Times New Roman"/>
          <w:szCs w:val="20"/>
          <w:lang w:eastAsia="fr-FR"/>
        </w:rPr>
        <w:lastRenderedPageBreak/>
        <w:fldChar w:fldCharType="begin"/>
      </w:r>
      <w:r w:rsidRPr="00605771">
        <w:rPr>
          <w:rFonts w:ascii="Times New Roman" w:eastAsia="Times New Roman" w:hAnsi="Times New Roman" w:cs="Times New Roman"/>
          <w:szCs w:val="20"/>
          <w:lang w:eastAsia="fr-FR"/>
        </w:rPr>
        <w:instrText xml:space="preserve"> SEQ level0 \*arabic </w:instrText>
      </w:r>
      <w:r w:rsidRPr="00605771">
        <w:rPr>
          <w:rFonts w:ascii="Times New Roman" w:eastAsia="Times New Roman" w:hAnsi="Times New Roman" w:cs="Times New Roman"/>
          <w:szCs w:val="20"/>
          <w:lang w:eastAsia="fr-FR"/>
        </w:rPr>
        <w:fldChar w:fldCharType="separate"/>
      </w:r>
      <w:r w:rsidR="00605771" w:rsidRPr="00605771">
        <w:rPr>
          <w:rFonts w:ascii="Times New Roman" w:eastAsia="Times New Roman" w:hAnsi="Times New Roman" w:cs="Times New Roman"/>
          <w:noProof/>
          <w:szCs w:val="20"/>
          <w:lang w:eastAsia="fr-FR"/>
        </w:rPr>
        <w:t>155</w:t>
      </w:r>
      <w:r w:rsidRPr="00605771">
        <w:rPr>
          <w:rFonts w:ascii="Times New Roman" w:eastAsia="Times New Roman" w:hAnsi="Times New Roman" w:cs="Times New Roman"/>
          <w:szCs w:val="20"/>
          <w:lang w:eastAsia="fr-FR"/>
        </w:rPr>
        <w:fldChar w:fldCharType="end"/>
      </w:r>
      <w:r w:rsidRPr="00605771">
        <w:rPr>
          <w:rFonts w:ascii="Times New Roman" w:eastAsia="Times New Roman" w:hAnsi="Times New Roman" w:cs="Times New Roman"/>
          <w:szCs w:val="20"/>
          <w:lang w:eastAsia="fr-FR"/>
        </w:rPr>
        <w:t>.  </w:t>
      </w:r>
      <w:r w:rsidR="00440424" w:rsidRPr="00605771">
        <w:rPr>
          <w:rFonts w:ascii="Times New Roman" w:eastAsia="Times New Roman" w:hAnsi="Times New Roman" w:cs="Times New Roman"/>
          <w:szCs w:val="20"/>
          <w:lang w:eastAsia="fr-FR"/>
        </w:rPr>
        <w:t>Tout d</w:t>
      </w:r>
      <w:r w:rsidR="00605771" w:rsidRPr="00605771">
        <w:rPr>
          <w:rFonts w:ascii="Times New Roman" w:eastAsia="Times New Roman" w:hAnsi="Times New Roman" w:cs="Times New Roman"/>
          <w:szCs w:val="20"/>
          <w:lang w:eastAsia="fr-FR"/>
        </w:rPr>
        <w:t>’</w:t>
      </w:r>
      <w:r w:rsidR="00440424" w:rsidRPr="00605771">
        <w:rPr>
          <w:rFonts w:ascii="Times New Roman" w:eastAsia="Times New Roman" w:hAnsi="Times New Roman" w:cs="Times New Roman"/>
          <w:szCs w:val="20"/>
          <w:lang w:eastAsia="fr-FR"/>
        </w:rPr>
        <w:t>abord</w:t>
      </w:r>
      <w:r w:rsidR="004D70E1" w:rsidRPr="00605771">
        <w:rPr>
          <w:rFonts w:ascii="Times New Roman" w:eastAsia="Times New Roman" w:hAnsi="Times New Roman" w:cs="Times New Roman"/>
          <w:szCs w:val="20"/>
          <w:lang w:eastAsia="fr-FR"/>
        </w:rPr>
        <w:t>, l</w:t>
      </w:r>
      <w:r w:rsidR="00464E3A" w:rsidRPr="00605771">
        <w:rPr>
          <w:rFonts w:ascii="Times New Roman" w:eastAsia="Times New Roman" w:hAnsi="Times New Roman" w:cs="Times New Roman"/>
          <w:szCs w:val="20"/>
          <w:lang w:eastAsia="fr-FR"/>
        </w:rPr>
        <w:t xml:space="preserve">a Cour relève que les </w:t>
      </w:r>
      <w:r w:rsidR="00440424" w:rsidRPr="00605771">
        <w:rPr>
          <w:rFonts w:ascii="Times New Roman" w:eastAsia="Times New Roman" w:hAnsi="Times New Roman" w:cs="Times New Roman"/>
          <w:szCs w:val="20"/>
          <w:lang w:eastAsia="fr-FR"/>
        </w:rPr>
        <w:t>autorités de</w:t>
      </w:r>
      <w:r w:rsidR="00464E3A" w:rsidRPr="00605771">
        <w:rPr>
          <w:rFonts w:ascii="Times New Roman" w:eastAsia="Times New Roman" w:hAnsi="Times New Roman" w:cs="Times New Roman"/>
          <w:szCs w:val="20"/>
          <w:lang w:eastAsia="fr-FR"/>
        </w:rPr>
        <w:t xml:space="preserve"> polic</w:t>
      </w:r>
      <w:r w:rsidR="00440424" w:rsidRPr="00605771">
        <w:rPr>
          <w:rFonts w:ascii="Times New Roman" w:eastAsia="Times New Roman" w:hAnsi="Times New Roman" w:cs="Times New Roman"/>
          <w:szCs w:val="20"/>
          <w:lang w:eastAsia="fr-FR"/>
        </w:rPr>
        <w:t>e</w:t>
      </w:r>
      <w:r w:rsidR="00464E3A" w:rsidRPr="00605771">
        <w:rPr>
          <w:rFonts w:ascii="Times New Roman" w:eastAsia="Times New Roman" w:hAnsi="Times New Roman" w:cs="Times New Roman"/>
          <w:szCs w:val="20"/>
          <w:lang w:eastAsia="fr-FR"/>
        </w:rPr>
        <w:t xml:space="preserve"> ont réagi avec promptitude à la dénonciation de la</w:t>
      </w:r>
      <w:r w:rsidR="00440424" w:rsidRPr="00605771">
        <w:rPr>
          <w:rFonts w:ascii="Times New Roman" w:eastAsia="Times New Roman" w:hAnsi="Times New Roman" w:cs="Times New Roman"/>
          <w:szCs w:val="20"/>
          <w:lang w:eastAsia="fr-FR"/>
        </w:rPr>
        <w:t>dite</w:t>
      </w:r>
      <w:r w:rsidR="00464E3A" w:rsidRPr="00605771">
        <w:rPr>
          <w:rFonts w:ascii="Times New Roman" w:eastAsia="Times New Roman" w:hAnsi="Times New Roman" w:cs="Times New Roman"/>
          <w:szCs w:val="20"/>
          <w:lang w:eastAsia="fr-FR"/>
        </w:rPr>
        <w:t xml:space="preserve"> requérante, faite le 19</w:t>
      </w:r>
      <w:r w:rsidR="00440424" w:rsidRPr="00605771">
        <w:rPr>
          <w:rFonts w:ascii="Times New Roman" w:eastAsia="Times New Roman" w:hAnsi="Times New Roman" w:cs="Times New Roman"/>
          <w:szCs w:val="20"/>
          <w:lang w:eastAsia="fr-FR"/>
        </w:rPr>
        <w:t> </w:t>
      </w:r>
      <w:r w:rsidR="00464E3A" w:rsidRPr="00605771">
        <w:rPr>
          <w:rFonts w:ascii="Times New Roman" w:eastAsia="Times New Roman" w:hAnsi="Times New Roman" w:cs="Times New Roman"/>
          <w:szCs w:val="20"/>
          <w:lang w:eastAsia="fr-FR"/>
        </w:rPr>
        <w:t xml:space="preserve">septembre 2003, </w:t>
      </w:r>
      <w:r w:rsidR="00440424" w:rsidRPr="00605771">
        <w:rPr>
          <w:rFonts w:ascii="Times New Roman" w:eastAsia="Times New Roman" w:hAnsi="Times New Roman" w:cs="Times New Roman"/>
          <w:szCs w:val="20"/>
          <w:lang w:eastAsia="fr-FR"/>
        </w:rPr>
        <w:t xml:space="preserve">par laquelle celle-ci avait </w:t>
      </w:r>
      <w:r w:rsidR="00E422B5" w:rsidRPr="00605771">
        <w:rPr>
          <w:rFonts w:ascii="Times New Roman" w:eastAsia="Times New Roman" w:hAnsi="Times New Roman" w:cs="Times New Roman"/>
          <w:szCs w:val="20"/>
          <w:lang w:eastAsia="fr-FR"/>
        </w:rPr>
        <w:t>informé lesdites</w:t>
      </w:r>
      <w:r w:rsidR="00464E3A" w:rsidRPr="00605771">
        <w:rPr>
          <w:rFonts w:ascii="Times New Roman" w:eastAsia="Times New Roman" w:hAnsi="Times New Roman" w:cs="Times New Roman"/>
          <w:szCs w:val="20"/>
          <w:lang w:eastAsia="fr-FR"/>
        </w:rPr>
        <w:t xml:space="preserve"> autorités qu</w:t>
      </w:r>
      <w:r w:rsidR="00605771" w:rsidRPr="00605771">
        <w:rPr>
          <w:rFonts w:ascii="Times New Roman" w:eastAsia="Times New Roman" w:hAnsi="Times New Roman" w:cs="Times New Roman"/>
          <w:szCs w:val="20"/>
          <w:lang w:eastAsia="fr-FR"/>
        </w:rPr>
        <w:t>’</w:t>
      </w:r>
      <w:r w:rsidR="00464E3A" w:rsidRPr="00605771">
        <w:rPr>
          <w:rFonts w:ascii="Times New Roman" w:eastAsia="Times New Roman" w:hAnsi="Times New Roman" w:cs="Times New Roman"/>
          <w:szCs w:val="20"/>
          <w:lang w:eastAsia="fr-FR"/>
        </w:rPr>
        <w:t xml:space="preserve">elle était victime de </w:t>
      </w:r>
      <w:r w:rsidR="00B0167F" w:rsidRPr="00605771">
        <w:rPr>
          <w:rFonts w:ascii="Times New Roman" w:eastAsia="Times New Roman" w:hAnsi="Times New Roman" w:cs="Times New Roman"/>
          <w:szCs w:val="20"/>
          <w:lang w:eastAsia="fr-FR"/>
        </w:rPr>
        <w:t xml:space="preserve">la </w:t>
      </w:r>
      <w:r w:rsidR="00464E3A" w:rsidRPr="00605771">
        <w:rPr>
          <w:rFonts w:ascii="Times New Roman" w:eastAsia="Times New Roman" w:hAnsi="Times New Roman" w:cs="Times New Roman"/>
          <w:szCs w:val="20"/>
          <w:lang w:eastAsia="fr-FR"/>
        </w:rPr>
        <w:t xml:space="preserve">traite </w:t>
      </w:r>
      <w:r w:rsidR="00B0167F" w:rsidRPr="00605771">
        <w:rPr>
          <w:rFonts w:ascii="Times New Roman" w:eastAsia="Times New Roman" w:hAnsi="Times New Roman" w:cs="Times New Roman"/>
          <w:szCs w:val="20"/>
          <w:lang w:eastAsia="fr-FR"/>
        </w:rPr>
        <w:t>à des</w:t>
      </w:r>
      <w:r w:rsidR="00464E3A" w:rsidRPr="00605771">
        <w:rPr>
          <w:rFonts w:ascii="Times New Roman" w:eastAsia="Times New Roman" w:hAnsi="Times New Roman" w:cs="Times New Roman"/>
          <w:szCs w:val="20"/>
          <w:lang w:eastAsia="fr-FR"/>
        </w:rPr>
        <w:t xml:space="preserve"> fins d</w:t>
      </w:r>
      <w:r w:rsidR="00605771" w:rsidRPr="00605771">
        <w:rPr>
          <w:rFonts w:ascii="Times New Roman" w:eastAsia="Times New Roman" w:hAnsi="Times New Roman" w:cs="Times New Roman"/>
          <w:szCs w:val="20"/>
          <w:lang w:eastAsia="fr-FR"/>
        </w:rPr>
        <w:t>’</w:t>
      </w:r>
      <w:r w:rsidR="00464E3A" w:rsidRPr="00605771">
        <w:rPr>
          <w:rFonts w:ascii="Times New Roman" w:eastAsia="Times New Roman" w:hAnsi="Times New Roman" w:cs="Times New Roman"/>
          <w:szCs w:val="20"/>
          <w:lang w:eastAsia="fr-FR"/>
        </w:rPr>
        <w:t xml:space="preserve">exploitation sexuelle. La requérante </w:t>
      </w:r>
      <w:r w:rsidR="00440424" w:rsidRPr="00605771">
        <w:rPr>
          <w:rFonts w:ascii="Times New Roman" w:eastAsia="Times New Roman" w:hAnsi="Times New Roman" w:cs="Times New Roman"/>
          <w:szCs w:val="20"/>
          <w:lang w:eastAsia="fr-FR"/>
        </w:rPr>
        <w:t xml:space="preserve">susmentionnée </w:t>
      </w:r>
      <w:r w:rsidR="00464E3A" w:rsidRPr="00605771">
        <w:rPr>
          <w:rFonts w:ascii="Times New Roman" w:eastAsia="Times New Roman" w:hAnsi="Times New Roman" w:cs="Times New Roman"/>
          <w:szCs w:val="20"/>
          <w:lang w:eastAsia="fr-FR"/>
        </w:rPr>
        <w:t>a été</w:t>
      </w:r>
      <w:r w:rsidR="00375EFF" w:rsidRPr="00605771">
        <w:rPr>
          <w:rFonts w:ascii="Times New Roman" w:eastAsia="Times New Roman" w:hAnsi="Times New Roman" w:cs="Times New Roman"/>
          <w:szCs w:val="20"/>
          <w:lang w:eastAsia="fr-FR"/>
        </w:rPr>
        <w:t xml:space="preserve"> entendue le</w:t>
      </w:r>
      <w:r w:rsidR="00FD5ADE" w:rsidRPr="00605771">
        <w:rPr>
          <w:rFonts w:ascii="Times New Roman" w:eastAsia="Times New Roman" w:hAnsi="Times New Roman" w:cs="Times New Roman"/>
          <w:szCs w:val="20"/>
          <w:lang w:eastAsia="fr-FR"/>
        </w:rPr>
        <w:t>s 19,</w:t>
      </w:r>
      <w:r w:rsidR="00375EFF" w:rsidRPr="00605771">
        <w:rPr>
          <w:rFonts w:ascii="Times New Roman" w:eastAsia="Times New Roman" w:hAnsi="Times New Roman" w:cs="Times New Roman"/>
          <w:szCs w:val="20"/>
          <w:lang w:eastAsia="fr-FR"/>
        </w:rPr>
        <w:t xml:space="preserve"> 22 et 24 </w:t>
      </w:r>
      <w:r w:rsidR="00464E3A" w:rsidRPr="00605771">
        <w:rPr>
          <w:rFonts w:ascii="Times New Roman" w:eastAsia="Times New Roman" w:hAnsi="Times New Roman" w:cs="Times New Roman"/>
          <w:szCs w:val="20"/>
          <w:lang w:eastAsia="fr-FR"/>
        </w:rPr>
        <w:t xml:space="preserve">septembre 2003. </w:t>
      </w:r>
      <w:r w:rsidR="00375EFF" w:rsidRPr="00605771">
        <w:rPr>
          <w:rFonts w:ascii="Times New Roman" w:eastAsia="Times New Roman" w:hAnsi="Times New Roman" w:cs="Times New Roman"/>
          <w:szCs w:val="20"/>
          <w:lang w:eastAsia="fr-FR"/>
        </w:rPr>
        <w:t>Le</w:t>
      </w:r>
      <w:r w:rsidR="00464E3A" w:rsidRPr="00605771">
        <w:rPr>
          <w:rFonts w:ascii="Times New Roman" w:eastAsia="Times New Roman" w:hAnsi="Times New Roman" w:cs="Times New Roman"/>
          <w:szCs w:val="20"/>
          <w:lang w:eastAsia="fr-FR"/>
        </w:rPr>
        <w:t xml:space="preserve"> 23 septembre 2003, </w:t>
      </w:r>
      <w:r w:rsidR="00375EFF" w:rsidRPr="00605771">
        <w:rPr>
          <w:rFonts w:ascii="Times New Roman" w:eastAsia="Times New Roman" w:hAnsi="Times New Roman" w:cs="Times New Roman"/>
          <w:szCs w:val="20"/>
          <w:lang w:eastAsia="fr-FR"/>
        </w:rPr>
        <w:t>à savoir immédiatement après le</w:t>
      </w:r>
      <w:r w:rsidR="00440424" w:rsidRPr="00605771">
        <w:rPr>
          <w:rFonts w:ascii="Times New Roman" w:eastAsia="Times New Roman" w:hAnsi="Times New Roman" w:cs="Times New Roman"/>
          <w:szCs w:val="20"/>
          <w:lang w:eastAsia="fr-FR"/>
        </w:rPr>
        <w:t xml:space="preserve"> recueil de ses</w:t>
      </w:r>
      <w:r w:rsidR="00375EFF" w:rsidRPr="00605771">
        <w:rPr>
          <w:rFonts w:ascii="Times New Roman" w:eastAsia="Times New Roman" w:hAnsi="Times New Roman" w:cs="Times New Roman"/>
          <w:szCs w:val="20"/>
          <w:lang w:eastAsia="fr-FR"/>
        </w:rPr>
        <w:t xml:space="preserve"> </w:t>
      </w:r>
      <w:r w:rsidR="00D164C2" w:rsidRPr="00605771">
        <w:rPr>
          <w:rFonts w:ascii="Times New Roman" w:eastAsia="Times New Roman" w:hAnsi="Times New Roman" w:cs="Times New Roman"/>
          <w:szCs w:val="20"/>
          <w:lang w:eastAsia="fr-FR"/>
        </w:rPr>
        <w:t xml:space="preserve">premières </w:t>
      </w:r>
      <w:r w:rsidR="00375EFF" w:rsidRPr="00605771">
        <w:rPr>
          <w:rFonts w:ascii="Times New Roman" w:eastAsia="Times New Roman" w:hAnsi="Times New Roman" w:cs="Times New Roman"/>
          <w:szCs w:val="20"/>
          <w:lang w:eastAsia="fr-FR"/>
        </w:rPr>
        <w:t xml:space="preserve">dépositions, </w:t>
      </w:r>
      <w:r w:rsidR="00464E3A" w:rsidRPr="00605771">
        <w:rPr>
          <w:rFonts w:ascii="Times New Roman" w:eastAsia="Times New Roman" w:hAnsi="Times New Roman" w:cs="Times New Roman"/>
          <w:szCs w:val="20"/>
          <w:lang w:eastAsia="fr-FR"/>
        </w:rPr>
        <w:t>N.S., F.P. et E.M., auteurs présumés de</w:t>
      </w:r>
      <w:r w:rsidR="00440424" w:rsidRPr="00605771">
        <w:rPr>
          <w:rFonts w:ascii="Times New Roman" w:eastAsia="Times New Roman" w:hAnsi="Times New Roman" w:cs="Times New Roman"/>
          <w:szCs w:val="20"/>
          <w:lang w:eastAsia="fr-FR"/>
        </w:rPr>
        <w:t xml:space="preserve">s faits </w:t>
      </w:r>
      <w:r w:rsidR="00551F86" w:rsidRPr="00605771">
        <w:rPr>
          <w:rFonts w:ascii="Times New Roman" w:eastAsia="Times New Roman" w:hAnsi="Times New Roman" w:cs="Times New Roman"/>
          <w:szCs w:val="20"/>
          <w:lang w:eastAsia="fr-FR"/>
        </w:rPr>
        <w:t>de</w:t>
      </w:r>
      <w:r w:rsidR="00464E3A" w:rsidRPr="00605771">
        <w:rPr>
          <w:rFonts w:ascii="Times New Roman" w:eastAsia="Times New Roman" w:hAnsi="Times New Roman" w:cs="Times New Roman"/>
          <w:szCs w:val="20"/>
          <w:lang w:eastAsia="fr-FR"/>
        </w:rPr>
        <w:t xml:space="preserve"> traite</w:t>
      </w:r>
      <w:r w:rsidR="00551F86" w:rsidRPr="00605771">
        <w:rPr>
          <w:rFonts w:ascii="Times New Roman" w:eastAsia="Times New Roman" w:hAnsi="Times New Roman" w:cs="Times New Roman"/>
          <w:szCs w:val="20"/>
          <w:lang w:eastAsia="fr-FR"/>
        </w:rPr>
        <w:t xml:space="preserve"> des êtres humains</w:t>
      </w:r>
      <w:r w:rsidR="00464E3A" w:rsidRPr="00605771">
        <w:rPr>
          <w:rFonts w:ascii="Times New Roman" w:eastAsia="Times New Roman" w:hAnsi="Times New Roman" w:cs="Times New Roman"/>
          <w:szCs w:val="20"/>
          <w:lang w:eastAsia="fr-FR"/>
        </w:rPr>
        <w:t>, ont été arr</w:t>
      </w:r>
      <w:r w:rsidR="00375EFF" w:rsidRPr="00605771">
        <w:rPr>
          <w:rFonts w:ascii="Times New Roman" w:eastAsia="Times New Roman" w:hAnsi="Times New Roman" w:cs="Times New Roman"/>
          <w:szCs w:val="20"/>
          <w:lang w:eastAsia="fr-FR"/>
        </w:rPr>
        <w:t>êtés.</w:t>
      </w:r>
    </w:p>
    <w:p w:rsidR="002C7F5B" w:rsidRPr="00605771" w:rsidRDefault="00375EFF" w:rsidP="00605771">
      <w:pPr>
        <w:pStyle w:val="JuPara"/>
        <w:rPr>
          <w:rFonts w:ascii="Times New (W1)" w:eastAsia="Times New Roman" w:hAnsi="Times New (W1)" w:cs="Times New Roman"/>
          <w:szCs w:val="24"/>
        </w:rPr>
      </w:pPr>
      <w:r w:rsidRPr="00605771">
        <w:rPr>
          <w:rFonts w:ascii="Times New Roman" w:eastAsia="Times New Roman" w:hAnsi="Times New Roman" w:cs="Times New Roman"/>
          <w:szCs w:val="20"/>
          <w:lang w:eastAsia="fr-FR"/>
        </w:rPr>
        <w:fldChar w:fldCharType="begin"/>
      </w:r>
      <w:r w:rsidRPr="00605771">
        <w:rPr>
          <w:rFonts w:ascii="Times New Roman" w:eastAsia="Times New Roman" w:hAnsi="Times New Roman" w:cs="Times New Roman"/>
          <w:szCs w:val="20"/>
          <w:lang w:eastAsia="fr-FR"/>
        </w:rPr>
        <w:instrText xml:space="preserve"> SEQ level0 \*arabic </w:instrText>
      </w:r>
      <w:r w:rsidRPr="00605771">
        <w:rPr>
          <w:rFonts w:ascii="Times New Roman" w:eastAsia="Times New Roman" w:hAnsi="Times New Roman" w:cs="Times New Roman"/>
          <w:szCs w:val="20"/>
          <w:lang w:eastAsia="fr-FR"/>
        </w:rPr>
        <w:fldChar w:fldCharType="separate"/>
      </w:r>
      <w:r w:rsidR="00605771" w:rsidRPr="00605771">
        <w:rPr>
          <w:rFonts w:ascii="Times New Roman" w:eastAsia="Times New Roman" w:hAnsi="Times New Roman" w:cs="Times New Roman"/>
          <w:noProof/>
          <w:szCs w:val="20"/>
          <w:lang w:eastAsia="fr-FR"/>
        </w:rPr>
        <w:t>156</w:t>
      </w:r>
      <w:r w:rsidRPr="00605771">
        <w:rPr>
          <w:rFonts w:ascii="Times New Roman" w:eastAsia="Times New Roman" w:hAnsi="Times New Roman" w:cs="Times New Roman"/>
          <w:szCs w:val="20"/>
          <w:lang w:eastAsia="fr-FR"/>
        </w:rPr>
        <w:fldChar w:fldCharType="end"/>
      </w:r>
      <w:r w:rsidR="00FE7051" w:rsidRPr="00605771">
        <w:rPr>
          <w:rFonts w:ascii="Times New Roman" w:eastAsia="Times New Roman" w:hAnsi="Times New Roman" w:cs="Times New Roman"/>
          <w:szCs w:val="20"/>
          <w:lang w:eastAsia="fr-FR"/>
        </w:rPr>
        <w:t>.</w:t>
      </w:r>
      <w:r w:rsidRPr="00605771">
        <w:rPr>
          <w:rFonts w:ascii="Times New Roman" w:eastAsia="Times New Roman" w:hAnsi="Times New Roman" w:cs="Times New Roman"/>
          <w:szCs w:val="20"/>
          <w:lang w:eastAsia="fr-FR"/>
        </w:rPr>
        <w:t> </w:t>
      </w:r>
      <w:r w:rsidR="00F14509" w:rsidRPr="00605771">
        <w:rPr>
          <w:rFonts w:ascii="Times New Roman" w:eastAsia="Times New Roman" w:hAnsi="Times New Roman" w:cs="Times New Roman"/>
          <w:szCs w:val="20"/>
          <w:lang w:eastAsia="fr-FR"/>
        </w:rPr>
        <w:t> </w:t>
      </w:r>
      <w:r w:rsidR="00551F86" w:rsidRPr="00605771">
        <w:rPr>
          <w:rFonts w:ascii="Times New Roman" w:eastAsia="Times New Roman" w:hAnsi="Times New Roman" w:cs="Times New Roman"/>
          <w:szCs w:val="20"/>
          <w:lang w:eastAsia="fr-FR"/>
        </w:rPr>
        <w:t>La</w:t>
      </w:r>
      <w:r w:rsidRPr="00605771">
        <w:rPr>
          <w:rFonts w:ascii="Times New Roman" w:eastAsia="Times New Roman" w:hAnsi="Times New Roman" w:cs="Times New Roman"/>
          <w:szCs w:val="20"/>
          <w:lang w:eastAsia="fr-FR"/>
        </w:rPr>
        <w:t xml:space="preserve"> Cour note </w:t>
      </w:r>
      <w:r w:rsidR="00551F86" w:rsidRPr="00605771">
        <w:rPr>
          <w:rFonts w:ascii="Times New Roman" w:eastAsia="Times New Roman" w:hAnsi="Times New Roman" w:cs="Times New Roman"/>
          <w:szCs w:val="20"/>
          <w:lang w:eastAsia="fr-FR"/>
        </w:rPr>
        <w:t xml:space="preserve">cependant </w:t>
      </w:r>
      <w:r w:rsidRPr="00605771">
        <w:rPr>
          <w:rFonts w:ascii="Times New Roman" w:eastAsia="Times New Roman" w:hAnsi="Times New Roman" w:cs="Times New Roman"/>
          <w:szCs w:val="20"/>
          <w:lang w:eastAsia="fr-FR"/>
        </w:rPr>
        <w:t xml:space="preserve">que la procédure en cause a </w:t>
      </w:r>
      <w:r w:rsidR="00551F86" w:rsidRPr="00605771">
        <w:rPr>
          <w:rFonts w:ascii="Times New Roman" w:eastAsia="Times New Roman" w:hAnsi="Times New Roman" w:cs="Times New Roman"/>
          <w:szCs w:val="20"/>
          <w:lang w:eastAsia="fr-FR"/>
        </w:rPr>
        <w:t>pris fin</w:t>
      </w:r>
      <w:r w:rsidR="00FE7051" w:rsidRPr="00605771">
        <w:rPr>
          <w:rFonts w:ascii="Times New Roman" w:eastAsia="Times New Roman" w:hAnsi="Times New Roman" w:cs="Times New Roman"/>
          <w:szCs w:val="20"/>
          <w:lang w:eastAsia="fr-FR"/>
        </w:rPr>
        <w:t xml:space="preserve"> le 6 juin 2011 par les arrêts n</w:t>
      </w:r>
      <w:r w:rsidR="00FE7051" w:rsidRPr="00605771">
        <w:rPr>
          <w:rFonts w:ascii="Times New Roman" w:eastAsia="Times New Roman" w:hAnsi="Times New Roman" w:cs="Times New Roman"/>
          <w:szCs w:val="20"/>
          <w:vertAlign w:val="superscript"/>
          <w:lang w:eastAsia="fr-FR"/>
        </w:rPr>
        <w:t>os</w:t>
      </w:r>
      <w:r w:rsidR="00FE7051" w:rsidRPr="00605771">
        <w:rPr>
          <w:rFonts w:ascii="Times New Roman" w:eastAsia="Times New Roman" w:hAnsi="Times New Roman" w:cs="Times New Roman"/>
          <w:szCs w:val="20"/>
          <w:lang w:eastAsia="fr-FR"/>
        </w:rPr>
        <w:t xml:space="preserve"> 209-212/2011</w:t>
      </w:r>
      <w:r w:rsidR="00213062" w:rsidRPr="00605771">
        <w:rPr>
          <w:rFonts w:ascii="Times New Roman" w:eastAsia="Times New Roman" w:hAnsi="Times New Roman" w:cs="Times New Roman"/>
          <w:szCs w:val="20"/>
          <w:lang w:eastAsia="fr-FR"/>
        </w:rPr>
        <w:t xml:space="preserve"> de la cour d</w:t>
      </w:r>
      <w:r w:rsidR="00605771" w:rsidRPr="00605771">
        <w:rPr>
          <w:rFonts w:ascii="Times New Roman" w:eastAsia="Times New Roman" w:hAnsi="Times New Roman" w:cs="Times New Roman"/>
          <w:szCs w:val="20"/>
          <w:lang w:eastAsia="fr-FR"/>
        </w:rPr>
        <w:t>’</w:t>
      </w:r>
      <w:r w:rsidR="00213062" w:rsidRPr="00605771">
        <w:rPr>
          <w:rFonts w:ascii="Times New Roman" w:eastAsia="Times New Roman" w:hAnsi="Times New Roman" w:cs="Times New Roman"/>
          <w:szCs w:val="20"/>
          <w:lang w:eastAsia="fr-FR"/>
        </w:rPr>
        <w:t>appel</w:t>
      </w:r>
      <w:r w:rsidR="00FE7051" w:rsidRPr="00605771">
        <w:rPr>
          <w:rFonts w:ascii="Times New Roman" w:eastAsia="Times New Roman" w:hAnsi="Times New Roman" w:cs="Times New Roman"/>
          <w:szCs w:val="20"/>
          <w:lang w:eastAsia="fr-FR"/>
        </w:rPr>
        <w:t>, soit</w:t>
      </w:r>
      <w:r w:rsidRPr="00605771">
        <w:rPr>
          <w:rFonts w:ascii="Times New Roman" w:eastAsia="Times New Roman" w:hAnsi="Times New Roman" w:cs="Times New Roman"/>
          <w:szCs w:val="20"/>
          <w:lang w:eastAsia="fr-FR"/>
        </w:rPr>
        <w:t xml:space="preserve"> sept ans et neuf mois environ après la dénonciation de </w:t>
      </w:r>
      <w:r w:rsidR="00FD5ADE" w:rsidRPr="00605771">
        <w:rPr>
          <w:rFonts w:ascii="Times New Roman" w:eastAsia="Times New Roman" w:hAnsi="Times New Roman" w:cs="Times New Roman"/>
          <w:szCs w:val="20"/>
          <w:lang w:eastAsia="fr-FR"/>
        </w:rPr>
        <w:t>l</w:t>
      </w:r>
      <w:r w:rsidR="00605771" w:rsidRPr="00605771">
        <w:rPr>
          <w:rFonts w:ascii="Times New Roman" w:eastAsia="Times New Roman" w:hAnsi="Times New Roman" w:cs="Times New Roman"/>
          <w:szCs w:val="20"/>
          <w:lang w:eastAsia="fr-FR"/>
        </w:rPr>
        <w:t>’</w:t>
      </w:r>
      <w:r w:rsidR="00FD5ADE" w:rsidRPr="00605771">
        <w:rPr>
          <w:rFonts w:ascii="Times New Roman" w:eastAsia="Times New Roman" w:hAnsi="Times New Roman" w:cs="Times New Roman"/>
          <w:szCs w:val="20"/>
          <w:lang w:eastAsia="fr-FR"/>
        </w:rPr>
        <w:t xml:space="preserve">intéressée. </w:t>
      </w:r>
      <w:r w:rsidR="00FE7051" w:rsidRPr="00605771">
        <w:rPr>
          <w:rFonts w:ascii="Times New (W1)" w:eastAsia="Times New Roman" w:hAnsi="Times New (W1)" w:cs="Times New Roman"/>
          <w:szCs w:val="24"/>
        </w:rPr>
        <w:t xml:space="preserve">En particulier, </w:t>
      </w:r>
      <w:r w:rsidR="004D70E1" w:rsidRPr="00605771">
        <w:rPr>
          <w:rFonts w:ascii="Times New (W1)" w:eastAsia="Times New Roman" w:hAnsi="Times New (W1)" w:cs="Times New Roman"/>
          <w:szCs w:val="24"/>
        </w:rPr>
        <w:t>l</w:t>
      </w:r>
      <w:r w:rsidR="00605771" w:rsidRPr="00605771">
        <w:rPr>
          <w:rFonts w:ascii="Times New (W1)" w:eastAsia="Times New Roman" w:hAnsi="Times New (W1)" w:cs="Times New Roman"/>
          <w:szCs w:val="24"/>
        </w:rPr>
        <w:t>’</w:t>
      </w:r>
      <w:r w:rsidR="004D70E1" w:rsidRPr="00605771">
        <w:rPr>
          <w:rFonts w:ascii="Times New (W1)" w:eastAsia="Times New Roman" w:hAnsi="Times New (W1)" w:cs="Times New Roman"/>
          <w:szCs w:val="24"/>
        </w:rPr>
        <w:t>audience de l</w:t>
      </w:r>
      <w:r w:rsidR="00605771" w:rsidRPr="00605771">
        <w:rPr>
          <w:rFonts w:ascii="Times New (W1)" w:eastAsia="Times New Roman" w:hAnsi="Times New (W1)" w:cs="Times New Roman"/>
          <w:szCs w:val="24"/>
        </w:rPr>
        <w:t>’</w:t>
      </w:r>
      <w:r w:rsidR="004D70E1" w:rsidRPr="00605771">
        <w:rPr>
          <w:rFonts w:ascii="Times New (W1)" w:eastAsia="Times New Roman" w:hAnsi="Times New (W1)" w:cs="Times New Roman"/>
          <w:szCs w:val="24"/>
        </w:rPr>
        <w:t>affaire devant la cour d</w:t>
      </w:r>
      <w:r w:rsidR="00605771" w:rsidRPr="00605771">
        <w:rPr>
          <w:rFonts w:ascii="Times New (W1)" w:eastAsia="Times New Roman" w:hAnsi="Times New (W1)" w:cs="Times New Roman"/>
          <w:szCs w:val="24"/>
        </w:rPr>
        <w:t>’</w:t>
      </w:r>
      <w:r w:rsidR="004D70E1" w:rsidRPr="00605771">
        <w:rPr>
          <w:rFonts w:ascii="Times New (W1)" w:eastAsia="Times New Roman" w:hAnsi="Times New (W1)" w:cs="Times New Roman"/>
          <w:szCs w:val="24"/>
        </w:rPr>
        <w:t xml:space="preserve">assises a été initialement fixée </w:t>
      </w:r>
      <w:r w:rsidR="001D160A" w:rsidRPr="00605771">
        <w:rPr>
          <w:rFonts w:ascii="Times New (W1)" w:eastAsia="Times New Roman" w:hAnsi="Times New (W1)" w:cs="Times New Roman"/>
          <w:szCs w:val="24"/>
        </w:rPr>
        <w:t>au</w:t>
      </w:r>
      <w:r w:rsidR="004D70E1" w:rsidRPr="00605771">
        <w:rPr>
          <w:rFonts w:ascii="Times New (W1)" w:eastAsia="Times New Roman" w:hAnsi="Times New (W1)" w:cs="Times New Roman"/>
          <w:szCs w:val="24"/>
        </w:rPr>
        <w:t xml:space="preserve"> 19</w:t>
      </w:r>
      <w:r w:rsidR="001D160A" w:rsidRPr="00605771">
        <w:rPr>
          <w:rFonts w:ascii="Times New (W1)" w:eastAsia="Times New Roman" w:hAnsi="Times New (W1)" w:cs="Times New Roman"/>
          <w:szCs w:val="24"/>
        </w:rPr>
        <w:t> </w:t>
      </w:r>
      <w:r w:rsidR="004D70E1" w:rsidRPr="00605771">
        <w:rPr>
          <w:rFonts w:ascii="Times New (W1)" w:eastAsia="Times New Roman" w:hAnsi="Times New (W1)" w:cs="Times New Roman"/>
          <w:szCs w:val="24"/>
        </w:rPr>
        <w:t xml:space="preserve">janvier 2005, soit deux ans et quatre mois après les faits en cause. Qui plus est, </w:t>
      </w:r>
      <w:r w:rsidR="0070235F" w:rsidRPr="00605771">
        <w:rPr>
          <w:rFonts w:ascii="Times New (W1)" w:eastAsia="Times New Roman" w:hAnsi="Times New (W1)" w:cs="Times New Roman"/>
          <w:szCs w:val="24"/>
        </w:rPr>
        <w:t>la procédure devant la cour d</w:t>
      </w:r>
      <w:r w:rsidR="00605771" w:rsidRPr="00605771">
        <w:rPr>
          <w:rFonts w:ascii="Times New (W1)" w:eastAsia="Times New Roman" w:hAnsi="Times New (W1)" w:cs="Times New Roman"/>
          <w:szCs w:val="24"/>
        </w:rPr>
        <w:t>’</w:t>
      </w:r>
      <w:r w:rsidR="0070235F" w:rsidRPr="00605771">
        <w:rPr>
          <w:rFonts w:ascii="Times New (W1)" w:eastAsia="Times New Roman" w:hAnsi="Times New (W1)" w:cs="Times New Roman"/>
          <w:szCs w:val="24"/>
        </w:rPr>
        <w:t xml:space="preserve">appel </w:t>
      </w:r>
      <w:r w:rsidR="00551F86" w:rsidRPr="00605771">
        <w:rPr>
          <w:rFonts w:ascii="Times New (W1)" w:eastAsia="Times New Roman" w:hAnsi="Times New (W1)" w:cs="Times New Roman"/>
          <w:szCs w:val="24"/>
        </w:rPr>
        <w:t>s</w:t>
      </w:r>
      <w:r w:rsidR="00605771" w:rsidRPr="00605771">
        <w:rPr>
          <w:rFonts w:ascii="Times New (W1)" w:eastAsia="Times New Roman" w:hAnsi="Times New (W1)" w:cs="Times New Roman"/>
          <w:szCs w:val="24"/>
        </w:rPr>
        <w:t>’</w:t>
      </w:r>
      <w:r w:rsidR="00551F86" w:rsidRPr="00605771">
        <w:rPr>
          <w:rFonts w:ascii="Times New (W1)" w:eastAsia="Times New Roman" w:hAnsi="Times New (W1)" w:cs="Times New Roman"/>
          <w:szCs w:val="24"/>
        </w:rPr>
        <w:t>est</w:t>
      </w:r>
      <w:r w:rsidR="0070235F" w:rsidRPr="00605771">
        <w:rPr>
          <w:rFonts w:ascii="Times New (W1)" w:eastAsia="Times New Roman" w:hAnsi="Times New (W1)" w:cs="Times New Roman"/>
          <w:szCs w:val="24"/>
        </w:rPr>
        <w:t xml:space="preserve"> conclue cinq ans et huit mois après l</w:t>
      </w:r>
      <w:r w:rsidR="00605771" w:rsidRPr="00605771">
        <w:rPr>
          <w:rFonts w:ascii="Times New (W1)" w:eastAsia="Times New Roman" w:hAnsi="Times New (W1)" w:cs="Times New Roman"/>
          <w:szCs w:val="24"/>
        </w:rPr>
        <w:t>’</w:t>
      </w:r>
      <w:r w:rsidR="0070235F" w:rsidRPr="00605771">
        <w:rPr>
          <w:rFonts w:ascii="Times New (W1)" w:eastAsia="Times New Roman" w:hAnsi="Times New (W1)" w:cs="Times New Roman"/>
          <w:szCs w:val="24"/>
        </w:rPr>
        <w:t>introduction de l</w:t>
      </w:r>
      <w:r w:rsidR="00605771" w:rsidRPr="00605771">
        <w:rPr>
          <w:rFonts w:ascii="Times New (W1)" w:eastAsia="Times New Roman" w:hAnsi="Times New (W1)" w:cs="Times New Roman"/>
          <w:szCs w:val="24"/>
        </w:rPr>
        <w:t>’</w:t>
      </w:r>
      <w:r w:rsidR="0070235F" w:rsidRPr="00605771">
        <w:rPr>
          <w:rFonts w:ascii="Times New (W1)" w:eastAsia="Times New Roman" w:hAnsi="Times New (W1)" w:cs="Times New Roman"/>
          <w:szCs w:val="24"/>
        </w:rPr>
        <w:t>appel par les accusés.</w:t>
      </w:r>
    </w:p>
    <w:p w:rsidR="002C7F5B" w:rsidRPr="00605771" w:rsidRDefault="00FE7051" w:rsidP="00605771">
      <w:pPr>
        <w:pStyle w:val="JuPara"/>
        <w:rPr>
          <w:rFonts w:ascii="Times New (W1)" w:eastAsia="Times New Roman" w:hAnsi="Times New (W1)" w:cs="Times New Roman"/>
          <w:szCs w:val="24"/>
        </w:rPr>
      </w:pPr>
      <w:r w:rsidRPr="00605771">
        <w:rPr>
          <w:rFonts w:ascii="Times New (W1)" w:eastAsia="Times New Roman" w:hAnsi="Times New (W1)" w:cs="Times New Roman"/>
          <w:szCs w:val="24"/>
        </w:rPr>
        <w:fldChar w:fldCharType="begin"/>
      </w:r>
      <w:r w:rsidRPr="00605771">
        <w:rPr>
          <w:rFonts w:ascii="Times New (W1)" w:eastAsia="Times New Roman" w:hAnsi="Times New (W1)" w:cs="Times New Roman"/>
          <w:szCs w:val="24"/>
        </w:rPr>
        <w:instrText xml:space="preserve"> SEQ level0 \*arabic </w:instrText>
      </w:r>
      <w:r w:rsidRPr="00605771">
        <w:rPr>
          <w:rFonts w:ascii="Times New (W1)" w:eastAsia="Times New Roman" w:hAnsi="Times New (W1)" w:cs="Times New Roman"/>
          <w:szCs w:val="24"/>
        </w:rPr>
        <w:fldChar w:fldCharType="separate"/>
      </w:r>
      <w:r w:rsidR="00605771" w:rsidRPr="00605771">
        <w:rPr>
          <w:rFonts w:ascii="Times New (W1)" w:eastAsia="Times New Roman" w:hAnsi="Times New (W1)" w:cs="Times New Roman"/>
          <w:noProof/>
          <w:szCs w:val="24"/>
        </w:rPr>
        <w:t>157</w:t>
      </w:r>
      <w:r w:rsidRPr="00605771">
        <w:rPr>
          <w:rFonts w:ascii="Times New (W1)" w:eastAsia="Times New Roman" w:hAnsi="Times New (W1)" w:cs="Times New Roman"/>
          <w:szCs w:val="24"/>
        </w:rPr>
        <w:fldChar w:fldCharType="end"/>
      </w:r>
      <w:r w:rsidRPr="00605771">
        <w:rPr>
          <w:rFonts w:ascii="Times New (W1)" w:eastAsia="Times New Roman" w:hAnsi="Times New (W1)" w:cs="Times New Roman"/>
          <w:szCs w:val="24"/>
        </w:rPr>
        <w:t xml:space="preserve">.  La Cour </w:t>
      </w:r>
      <w:r w:rsidR="00551F86" w:rsidRPr="00605771">
        <w:rPr>
          <w:rFonts w:ascii="Times New (W1)" w:eastAsia="Times New Roman" w:hAnsi="Times New (W1)" w:cs="Times New Roman"/>
          <w:szCs w:val="24"/>
        </w:rPr>
        <w:t>rappelle</w:t>
      </w:r>
      <w:r w:rsidRPr="00605771">
        <w:rPr>
          <w:rFonts w:ascii="Times New (W1)" w:eastAsia="Times New Roman" w:hAnsi="Times New (W1)" w:cs="Times New Roman"/>
          <w:szCs w:val="24"/>
        </w:rPr>
        <w:t xml:space="preserve"> que l</w:t>
      </w:r>
      <w:r w:rsidR="00605771" w:rsidRPr="00605771">
        <w:rPr>
          <w:rFonts w:ascii="Times New (W1)" w:eastAsia="Times New Roman" w:hAnsi="Times New (W1)" w:cs="Times New Roman"/>
          <w:szCs w:val="24"/>
        </w:rPr>
        <w:t>’</w:t>
      </w:r>
      <w:r w:rsidRPr="00605771">
        <w:rPr>
          <w:rFonts w:ascii="Times New (W1)" w:eastAsia="Times New Roman" w:hAnsi="Times New (W1)" w:cs="Times New Roman"/>
          <w:szCs w:val="24"/>
        </w:rPr>
        <w:t>écoulement du temps érode inévitablement la quantité et la qualité des preuves disponibles et que l</w:t>
      </w:r>
      <w:r w:rsidR="00605771" w:rsidRPr="00605771">
        <w:rPr>
          <w:rFonts w:ascii="Times New (W1)" w:eastAsia="Times New Roman" w:hAnsi="Times New (W1)" w:cs="Times New Roman"/>
          <w:szCs w:val="24"/>
        </w:rPr>
        <w:t>’</w:t>
      </w:r>
      <w:r w:rsidRPr="00605771">
        <w:rPr>
          <w:rFonts w:ascii="Times New (W1)" w:eastAsia="Times New Roman" w:hAnsi="Times New (W1)" w:cs="Times New Roman"/>
          <w:szCs w:val="24"/>
        </w:rPr>
        <w:t>apparence d</w:t>
      </w:r>
      <w:r w:rsidR="00605771" w:rsidRPr="00605771">
        <w:rPr>
          <w:rFonts w:ascii="Times New (W1)" w:eastAsia="Times New Roman" w:hAnsi="Times New (W1)" w:cs="Times New Roman"/>
          <w:szCs w:val="24"/>
        </w:rPr>
        <w:t>’</w:t>
      </w:r>
      <w:r w:rsidRPr="00605771">
        <w:rPr>
          <w:rFonts w:ascii="Times New (W1)" w:eastAsia="Times New Roman" w:hAnsi="Times New (W1)" w:cs="Times New Roman"/>
          <w:szCs w:val="24"/>
        </w:rPr>
        <w:t xml:space="preserve">un manque de diligence jette un doute sur la bonne foi </w:t>
      </w:r>
      <w:r w:rsidR="00695B5C" w:rsidRPr="00605771">
        <w:rPr>
          <w:rFonts w:ascii="Times New (W1)" w:eastAsia="Times New Roman" w:hAnsi="Times New (W1)" w:cs="Times New Roman"/>
          <w:szCs w:val="24"/>
        </w:rPr>
        <w:t>avec laquelle les</w:t>
      </w:r>
      <w:r w:rsidRPr="00605771">
        <w:rPr>
          <w:rFonts w:ascii="Times New (W1)" w:eastAsia="Times New Roman" w:hAnsi="Times New (W1)" w:cs="Times New Roman"/>
          <w:szCs w:val="24"/>
        </w:rPr>
        <w:t xml:space="preserve"> investigations</w:t>
      </w:r>
      <w:r w:rsidR="00695B5C" w:rsidRPr="00605771">
        <w:rPr>
          <w:rFonts w:ascii="Times New (W1)" w:eastAsia="Times New Roman" w:hAnsi="Times New (W1)" w:cs="Times New Roman"/>
          <w:szCs w:val="24"/>
        </w:rPr>
        <w:t xml:space="preserve"> ont été</w:t>
      </w:r>
      <w:r w:rsidRPr="00605771">
        <w:rPr>
          <w:rFonts w:ascii="Times New (W1)" w:eastAsia="Times New Roman" w:hAnsi="Times New (W1)" w:cs="Times New Roman"/>
          <w:szCs w:val="24"/>
        </w:rPr>
        <w:t xml:space="preserve"> menées (voir, </w:t>
      </w:r>
      <w:r w:rsidRPr="00605771">
        <w:rPr>
          <w:rFonts w:ascii="Times New (W1)" w:eastAsia="Times New Roman" w:hAnsi="Times New (W1)" w:cs="Times New Roman"/>
          <w:i/>
          <w:szCs w:val="24"/>
        </w:rPr>
        <w:t>mutatis mutandis</w:t>
      </w:r>
      <w:r w:rsidRPr="00605771">
        <w:rPr>
          <w:rFonts w:ascii="Times New (W1)" w:eastAsia="Times New Roman" w:hAnsi="Times New (W1)" w:cs="Times New Roman"/>
          <w:szCs w:val="24"/>
        </w:rPr>
        <w:t xml:space="preserve">, </w:t>
      </w:r>
      <w:r w:rsidRPr="00605771">
        <w:rPr>
          <w:rFonts w:ascii="Times New (W1)" w:eastAsia="Times New Roman" w:hAnsi="Times New (W1)" w:cs="Times New Roman"/>
          <w:i/>
          <w:szCs w:val="24"/>
        </w:rPr>
        <w:t>Paul et Audrey Edwards</w:t>
      </w:r>
      <w:r w:rsidRPr="00605771">
        <w:rPr>
          <w:rFonts w:ascii="Times New (W1)" w:eastAsia="Times New Roman" w:hAnsi="Times New (W1)" w:cs="Times New Roman"/>
          <w:szCs w:val="24"/>
        </w:rPr>
        <w:t>, précité, § 86). Il est vrai que, en l</w:t>
      </w:r>
      <w:r w:rsidR="00605771" w:rsidRPr="00605771">
        <w:rPr>
          <w:rFonts w:ascii="Times New (W1)" w:eastAsia="Times New Roman" w:hAnsi="Times New (W1)" w:cs="Times New Roman"/>
          <w:szCs w:val="24"/>
        </w:rPr>
        <w:t>’</w:t>
      </w:r>
      <w:r w:rsidRPr="00605771">
        <w:rPr>
          <w:rFonts w:ascii="Times New (W1)" w:eastAsia="Times New Roman" w:hAnsi="Times New (W1)" w:cs="Times New Roman"/>
          <w:szCs w:val="24"/>
        </w:rPr>
        <w:t>espèce, l</w:t>
      </w:r>
      <w:r w:rsidR="00605771" w:rsidRPr="00605771">
        <w:rPr>
          <w:rFonts w:ascii="Times New (W1)" w:eastAsia="Times New Roman" w:hAnsi="Times New (W1)" w:cs="Times New Roman"/>
          <w:szCs w:val="24"/>
        </w:rPr>
        <w:t>’</w:t>
      </w:r>
      <w:r w:rsidR="00213062" w:rsidRPr="00605771">
        <w:rPr>
          <w:rFonts w:ascii="Times New (W1)" w:eastAsia="Times New Roman" w:hAnsi="Times New (W1)" w:cs="Times New Roman"/>
          <w:szCs w:val="24"/>
        </w:rPr>
        <w:t xml:space="preserve">affaire </w:t>
      </w:r>
      <w:r w:rsidRPr="00605771">
        <w:rPr>
          <w:rFonts w:ascii="Times New (W1)" w:eastAsia="Times New Roman" w:hAnsi="Times New (W1)" w:cs="Times New Roman"/>
          <w:szCs w:val="24"/>
        </w:rPr>
        <w:t>présentait une certaine complexité. Cela étant, la durée de la phase</w:t>
      </w:r>
      <w:r w:rsidR="004D70E1" w:rsidRPr="00605771">
        <w:rPr>
          <w:rFonts w:ascii="Times New (W1)" w:eastAsia="Times New Roman" w:hAnsi="Times New (W1)" w:cs="Times New Roman"/>
          <w:szCs w:val="24"/>
        </w:rPr>
        <w:t xml:space="preserve"> préliminaire ainsi que celle de l</w:t>
      </w:r>
      <w:r w:rsidR="00605771" w:rsidRPr="00605771">
        <w:rPr>
          <w:rFonts w:ascii="Times New (W1)" w:eastAsia="Times New Roman" w:hAnsi="Times New (W1)" w:cs="Times New Roman"/>
          <w:szCs w:val="24"/>
        </w:rPr>
        <w:t>’</w:t>
      </w:r>
      <w:r w:rsidR="003F6B2D" w:rsidRPr="00605771">
        <w:rPr>
          <w:rFonts w:ascii="Times New (W1)" w:eastAsia="Times New Roman" w:hAnsi="Times New (W1)" w:cs="Times New Roman"/>
          <w:szCs w:val="24"/>
        </w:rPr>
        <w:t xml:space="preserve">instance </w:t>
      </w:r>
      <w:r w:rsidR="004D70E1" w:rsidRPr="00605771">
        <w:rPr>
          <w:rFonts w:ascii="Times New (W1)" w:eastAsia="Times New Roman" w:hAnsi="Times New (W1)" w:cs="Times New Roman"/>
          <w:szCs w:val="24"/>
        </w:rPr>
        <w:t>devant la cour d</w:t>
      </w:r>
      <w:r w:rsidR="00605771" w:rsidRPr="00605771">
        <w:rPr>
          <w:rFonts w:ascii="Times New (W1)" w:eastAsia="Times New Roman" w:hAnsi="Times New (W1)" w:cs="Times New Roman"/>
          <w:szCs w:val="24"/>
        </w:rPr>
        <w:t>’</w:t>
      </w:r>
      <w:r w:rsidR="004D70E1" w:rsidRPr="00605771">
        <w:rPr>
          <w:rFonts w:ascii="Times New (W1)" w:eastAsia="Times New Roman" w:hAnsi="Times New (W1)" w:cs="Times New Roman"/>
          <w:szCs w:val="24"/>
        </w:rPr>
        <w:t>appel</w:t>
      </w:r>
      <w:r w:rsidR="00551F86" w:rsidRPr="00605771">
        <w:rPr>
          <w:rFonts w:ascii="Times New (W1)" w:eastAsia="Times New Roman" w:hAnsi="Times New (W1)" w:cs="Times New Roman"/>
          <w:szCs w:val="24"/>
        </w:rPr>
        <w:t xml:space="preserve"> </w:t>
      </w:r>
      <w:r w:rsidR="00DC0D86" w:rsidRPr="00605771">
        <w:rPr>
          <w:rFonts w:ascii="Times New (W1)" w:eastAsia="Times New Roman" w:hAnsi="Times New (W1)" w:cs="Times New Roman"/>
          <w:szCs w:val="24"/>
        </w:rPr>
        <w:t xml:space="preserve">a </w:t>
      </w:r>
      <w:r w:rsidRPr="00605771">
        <w:rPr>
          <w:rFonts w:ascii="Times New (W1)" w:eastAsia="Times New Roman" w:hAnsi="Times New (W1)" w:cs="Times New Roman"/>
          <w:szCs w:val="24"/>
        </w:rPr>
        <w:t>pu être de nature à compromettre l</w:t>
      </w:r>
      <w:r w:rsidR="00605771" w:rsidRPr="00605771">
        <w:rPr>
          <w:rFonts w:ascii="Times New (W1)" w:eastAsia="Times New Roman" w:hAnsi="Times New (W1)" w:cs="Times New Roman"/>
          <w:szCs w:val="24"/>
        </w:rPr>
        <w:t>’</w:t>
      </w:r>
      <w:r w:rsidRPr="00605771">
        <w:rPr>
          <w:rFonts w:ascii="Times New (W1)" w:eastAsia="Times New Roman" w:hAnsi="Times New (W1)" w:cs="Times New Roman"/>
          <w:szCs w:val="24"/>
        </w:rPr>
        <w:t>eff</w:t>
      </w:r>
      <w:r w:rsidR="004B683E" w:rsidRPr="00605771">
        <w:rPr>
          <w:rFonts w:ascii="Times New (W1)" w:eastAsia="Times New Roman" w:hAnsi="Times New (W1)" w:cs="Times New Roman"/>
          <w:szCs w:val="24"/>
        </w:rPr>
        <w:t>ectivité</w:t>
      </w:r>
      <w:r w:rsidRPr="00605771">
        <w:rPr>
          <w:rFonts w:ascii="Times New (W1)" w:eastAsia="Times New Roman" w:hAnsi="Times New (W1)" w:cs="Times New Roman"/>
          <w:szCs w:val="24"/>
        </w:rPr>
        <w:t xml:space="preserve"> de</w:t>
      </w:r>
      <w:r w:rsidR="004D70E1" w:rsidRPr="00605771">
        <w:rPr>
          <w:rFonts w:ascii="Times New (W1)" w:eastAsia="Times New Roman" w:hAnsi="Times New (W1)" w:cs="Times New Roman"/>
          <w:szCs w:val="24"/>
        </w:rPr>
        <w:t xml:space="preserve"> la procédure</w:t>
      </w:r>
      <w:r w:rsidRPr="00605771">
        <w:rPr>
          <w:rFonts w:ascii="Times New (W1)" w:eastAsia="Times New Roman" w:hAnsi="Times New (W1)" w:cs="Times New Roman"/>
          <w:szCs w:val="24"/>
        </w:rPr>
        <w:t xml:space="preserve"> malgré la diligence apparente déployée par la cour d</w:t>
      </w:r>
      <w:r w:rsidR="00605771" w:rsidRPr="00605771">
        <w:rPr>
          <w:rFonts w:ascii="Times New (W1)" w:eastAsia="Times New Roman" w:hAnsi="Times New (W1)" w:cs="Times New Roman"/>
          <w:szCs w:val="24"/>
        </w:rPr>
        <w:t>’</w:t>
      </w:r>
      <w:r w:rsidRPr="00605771">
        <w:rPr>
          <w:rFonts w:ascii="Times New (W1)" w:eastAsia="Times New Roman" w:hAnsi="Times New (W1)" w:cs="Times New Roman"/>
          <w:szCs w:val="24"/>
        </w:rPr>
        <w:t>assises.</w:t>
      </w:r>
    </w:p>
    <w:p w:rsidR="00C359C7" w:rsidRPr="00605771" w:rsidRDefault="00CA3485" w:rsidP="00605771">
      <w:pPr>
        <w:pStyle w:val="JuPara"/>
        <w:rPr>
          <w:lang w:eastAsia="fr-FR"/>
        </w:rPr>
      </w:pPr>
      <w:r w:rsidRPr="00605771">
        <w:rPr>
          <w:rFonts w:ascii="Times New (W1)" w:eastAsia="Times New Roman" w:hAnsi="Times New (W1)" w:cs="Times New Roman"/>
          <w:szCs w:val="24"/>
        </w:rPr>
        <w:fldChar w:fldCharType="begin"/>
      </w:r>
      <w:r w:rsidRPr="00605771">
        <w:rPr>
          <w:rFonts w:ascii="Times New (W1)" w:eastAsia="Times New Roman" w:hAnsi="Times New (W1)" w:cs="Times New Roman"/>
          <w:szCs w:val="24"/>
        </w:rPr>
        <w:instrText xml:space="preserve"> SEQ level0 \*arabic </w:instrText>
      </w:r>
      <w:r w:rsidRPr="00605771">
        <w:rPr>
          <w:rFonts w:ascii="Times New (W1)" w:eastAsia="Times New Roman" w:hAnsi="Times New (W1)" w:cs="Times New Roman"/>
          <w:szCs w:val="24"/>
        </w:rPr>
        <w:fldChar w:fldCharType="separate"/>
      </w:r>
      <w:r w:rsidR="00605771" w:rsidRPr="00605771">
        <w:rPr>
          <w:rFonts w:ascii="Times New (W1)" w:eastAsia="Times New Roman" w:hAnsi="Times New (W1)" w:cs="Times New Roman"/>
          <w:noProof/>
          <w:szCs w:val="24"/>
        </w:rPr>
        <w:t>158</w:t>
      </w:r>
      <w:r w:rsidRPr="00605771">
        <w:rPr>
          <w:rFonts w:ascii="Times New (W1)" w:eastAsia="Times New Roman" w:hAnsi="Times New (W1)" w:cs="Times New Roman"/>
          <w:szCs w:val="24"/>
        </w:rPr>
        <w:fldChar w:fldCharType="end"/>
      </w:r>
      <w:r w:rsidRPr="00605771">
        <w:rPr>
          <w:rFonts w:ascii="Times New (W1)" w:eastAsia="Times New Roman" w:hAnsi="Times New (W1)" w:cs="Times New Roman"/>
          <w:szCs w:val="24"/>
        </w:rPr>
        <w:t>.  </w:t>
      </w:r>
      <w:r w:rsidR="00062C5B" w:rsidRPr="00605771">
        <w:t xml:space="preserve">La Cour juge </w:t>
      </w:r>
      <w:r w:rsidR="00511244" w:rsidRPr="00605771">
        <w:t>qu</w:t>
      </w:r>
      <w:r w:rsidR="00605771" w:rsidRPr="00605771">
        <w:t>’</w:t>
      </w:r>
      <w:r w:rsidR="00511244" w:rsidRPr="00605771">
        <w:t>il n</w:t>
      </w:r>
      <w:r w:rsidR="00605771" w:rsidRPr="00605771">
        <w:t>’</w:t>
      </w:r>
      <w:r w:rsidR="00511244" w:rsidRPr="00605771">
        <w:t xml:space="preserve">est </w:t>
      </w:r>
      <w:r w:rsidR="00062C5B" w:rsidRPr="00605771">
        <w:t xml:space="preserve">pas nécessaire de se prononcer sur les autres </w:t>
      </w:r>
      <w:r w:rsidR="004D691F" w:rsidRPr="00605771">
        <w:t>carences</w:t>
      </w:r>
      <w:r w:rsidR="00062C5B" w:rsidRPr="00605771">
        <w:t xml:space="preserve"> alléguées de la procédure </w:t>
      </w:r>
      <w:r w:rsidR="00511244" w:rsidRPr="00605771">
        <w:t>litigieuse</w:t>
      </w:r>
      <w:r w:rsidR="00062C5B" w:rsidRPr="00605771">
        <w:t xml:space="preserve">. Elle </w:t>
      </w:r>
      <w:r w:rsidR="009251CF" w:rsidRPr="00605771">
        <w:t>estime que</w:t>
      </w:r>
      <w:r w:rsidR="00FD5ADE" w:rsidRPr="00605771">
        <w:t xml:space="preserve"> les autorités compétentes n</w:t>
      </w:r>
      <w:r w:rsidR="00605771" w:rsidRPr="00605771">
        <w:t>’</w:t>
      </w:r>
      <w:r w:rsidR="00FD5ADE" w:rsidRPr="00605771">
        <w:t>ont pas traité l</w:t>
      </w:r>
      <w:r w:rsidR="00605771" w:rsidRPr="00605771">
        <w:t>’</w:t>
      </w:r>
      <w:r w:rsidR="00FD5ADE" w:rsidRPr="00605771">
        <w:t>affaire avec le niveau de diligence requis par l</w:t>
      </w:r>
      <w:r w:rsidR="00605771" w:rsidRPr="00605771">
        <w:t>’</w:t>
      </w:r>
      <w:r w:rsidR="00FD5ADE" w:rsidRPr="00605771">
        <w:t xml:space="preserve">article 4 de la Convention </w:t>
      </w:r>
      <w:r w:rsidR="00AD1BE0" w:rsidRPr="00605771">
        <w:t>(voir</w:t>
      </w:r>
      <w:r w:rsidR="009251CF" w:rsidRPr="00605771">
        <w:t xml:space="preserve">, </w:t>
      </w:r>
      <w:r w:rsidR="009251CF" w:rsidRPr="00605771">
        <w:rPr>
          <w:i/>
        </w:rPr>
        <w:t>mutatis mutandis</w:t>
      </w:r>
      <w:r w:rsidR="009251CF" w:rsidRPr="00605771">
        <w:t>,</w:t>
      </w:r>
      <w:r w:rsidR="00AD1BE0" w:rsidRPr="00605771">
        <w:t xml:space="preserve"> </w:t>
      </w:r>
      <w:r w:rsidR="003F7A24" w:rsidRPr="00605771">
        <w:rPr>
          <w:i/>
        </w:rPr>
        <w:t>L.E.</w:t>
      </w:r>
      <w:r w:rsidR="009251CF" w:rsidRPr="00605771">
        <w:t>, précité, §</w:t>
      </w:r>
      <w:r w:rsidR="003F7A24" w:rsidRPr="00605771">
        <w:t>§</w:t>
      </w:r>
      <w:r w:rsidR="006F4E29" w:rsidRPr="00605771">
        <w:t> </w:t>
      </w:r>
      <w:r w:rsidR="003F7A24" w:rsidRPr="00605771">
        <w:t>84 et 86</w:t>
      </w:r>
      <w:r w:rsidR="00AD1BE0" w:rsidRPr="00605771">
        <w:t>).</w:t>
      </w:r>
      <w:r w:rsidR="00E76824" w:rsidRPr="00605771">
        <w:t xml:space="preserve"> La Cour conclut donc à la violation de cette disposition</w:t>
      </w:r>
      <w:r w:rsidR="00062C5B" w:rsidRPr="00605771">
        <w:t xml:space="preserve"> sous son volet procédural</w:t>
      </w:r>
      <w:r w:rsidR="0024080F" w:rsidRPr="00605771">
        <w:t xml:space="preserve"> dans le chef de la troisième requérante</w:t>
      </w:r>
      <w:r w:rsidR="00E76824" w:rsidRPr="00605771">
        <w:t>.</w:t>
      </w:r>
    </w:p>
    <w:p w:rsidR="00A81308" w:rsidRPr="00605771" w:rsidRDefault="007E38B9" w:rsidP="00605771">
      <w:pPr>
        <w:pStyle w:val="JuHalpha"/>
        <w:rPr>
          <w:lang w:val="fr-FR"/>
        </w:rPr>
      </w:pPr>
      <w:r w:rsidRPr="00605771">
        <w:rPr>
          <w:lang w:val="fr-FR"/>
        </w:rPr>
        <w:t>Quant à l</w:t>
      </w:r>
      <w:r w:rsidR="007C13B2" w:rsidRPr="00605771">
        <w:rPr>
          <w:lang w:val="fr-FR"/>
        </w:rPr>
        <w:t xml:space="preserve">a procédure </w:t>
      </w:r>
      <w:r w:rsidR="003A71AA" w:rsidRPr="00605771">
        <w:rPr>
          <w:lang w:val="fr-FR"/>
        </w:rPr>
        <w:t>relative aux faits d</w:t>
      </w:r>
      <w:r w:rsidR="00605771" w:rsidRPr="00605771">
        <w:rPr>
          <w:lang w:val="fr-FR"/>
        </w:rPr>
        <w:t>’</w:t>
      </w:r>
      <w:r w:rsidR="003A71AA" w:rsidRPr="00605771">
        <w:rPr>
          <w:lang w:val="fr-FR"/>
        </w:rPr>
        <w:t>exploitation concernant</w:t>
      </w:r>
      <w:r w:rsidR="007C13B2" w:rsidRPr="00605771">
        <w:rPr>
          <w:lang w:val="fr-FR"/>
        </w:rPr>
        <w:t xml:space="preserve"> la première et</w:t>
      </w:r>
      <w:r w:rsidR="006F4E29" w:rsidRPr="00605771">
        <w:rPr>
          <w:lang w:val="fr-FR"/>
        </w:rPr>
        <w:t xml:space="preserve"> </w:t>
      </w:r>
      <w:r w:rsidR="007C13B2" w:rsidRPr="00605771">
        <w:rPr>
          <w:lang w:val="fr-FR"/>
        </w:rPr>
        <w:t>la deuxième requérante</w:t>
      </w:r>
    </w:p>
    <w:p w:rsidR="00F91B16" w:rsidRPr="00605771" w:rsidRDefault="00F91B16" w:rsidP="00605771">
      <w:pPr>
        <w:pStyle w:val="JuPara"/>
        <w:rPr>
          <w:lang w:bidi="en-US"/>
        </w:rPr>
      </w:pPr>
      <w:r w:rsidRPr="00605771">
        <w:rPr>
          <w:lang w:bidi="en-US"/>
        </w:rPr>
        <w:fldChar w:fldCharType="begin"/>
      </w:r>
      <w:r w:rsidRPr="00605771">
        <w:rPr>
          <w:lang w:bidi="en-US"/>
        </w:rPr>
        <w:instrText xml:space="preserve"> SEQ level0 \*arabic </w:instrText>
      </w:r>
      <w:r w:rsidRPr="00605771">
        <w:rPr>
          <w:lang w:bidi="en-US"/>
        </w:rPr>
        <w:fldChar w:fldCharType="separate"/>
      </w:r>
      <w:r w:rsidR="00605771" w:rsidRPr="00605771">
        <w:rPr>
          <w:noProof/>
          <w:lang w:bidi="en-US"/>
        </w:rPr>
        <w:t>159</w:t>
      </w:r>
      <w:r w:rsidRPr="00605771">
        <w:rPr>
          <w:lang w:bidi="en-US"/>
        </w:rPr>
        <w:fldChar w:fldCharType="end"/>
      </w:r>
      <w:r w:rsidRPr="00605771">
        <w:rPr>
          <w:lang w:bidi="en-US"/>
        </w:rPr>
        <w:t>.  La Cour observe que, en ce qui concerne la procédure visant P.F. et A.A., celle-ci s</w:t>
      </w:r>
      <w:r w:rsidR="00605771" w:rsidRPr="00605771">
        <w:rPr>
          <w:lang w:bidi="en-US"/>
        </w:rPr>
        <w:t>’</w:t>
      </w:r>
      <w:r w:rsidRPr="00605771">
        <w:rPr>
          <w:lang w:bidi="en-US"/>
        </w:rPr>
        <w:t xml:space="preserve">est étendue sur une période de neuf ans et trois mois environ, à savoir du 12 décembre 2003, date à laquelle les </w:t>
      </w:r>
      <w:r w:rsidR="00407648" w:rsidRPr="00605771">
        <w:rPr>
          <w:lang w:bidi="en-US"/>
        </w:rPr>
        <w:t xml:space="preserve">deux premières </w:t>
      </w:r>
      <w:r w:rsidRPr="00605771">
        <w:rPr>
          <w:lang w:bidi="en-US"/>
        </w:rPr>
        <w:t xml:space="preserve">requérantes ont dénoncé </w:t>
      </w:r>
      <w:r w:rsidR="0091763D" w:rsidRPr="00605771">
        <w:rPr>
          <w:lang w:bidi="en-US"/>
        </w:rPr>
        <w:t>les faits d</w:t>
      </w:r>
      <w:r w:rsidR="00605771" w:rsidRPr="00605771">
        <w:rPr>
          <w:lang w:bidi="en-US"/>
        </w:rPr>
        <w:t>’</w:t>
      </w:r>
      <w:r w:rsidRPr="00605771">
        <w:rPr>
          <w:lang w:bidi="en-US"/>
        </w:rPr>
        <w:t xml:space="preserve">exploitation </w:t>
      </w:r>
      <w:r w:rsidR="0091763D" w:rsidRPr="00605771">
        <w:rPr>
          <w:lang w:bidi="en-US"/>
        </w:rPr>
        <w:t xml:space="preserve">les concernant </w:t>
      </w:r>
      <w:r w:rsidRPr="00605771">
        <w:rPr>
          <w:lang w:bidi="en-US"/>
        </w:rPr>
        <w:t xml:space="preserve">aux autorités, au 27 mars 2013, </w:t>
      </w:r>
      <w:r w:rsidR="006F4E29" w:rsidRPr="00605771">
        <w:rPr>
          <w:lang w:bidi="en-US"/>
        </w:rPr>
        <w:t>date à laquelle</w:t>
      </w:r>
      <w:r w:rsidRPr="00605771">
        <w:rPr>
          <w:lang w:bidi="en-US"/>
        </w:rPr>
        <w:t xml:space="preserve"> la cour d</w:t>
      </w:r>
      <w:r w:rsidR="00605771" w:rsidRPr="00605771">
        <w:rPr>
          <w:lang w:bidi="en-US"/>
        </w:rPr>
        <w:t>’</w:t>
      </w:r>
      <w:r w:rsidRPr="00605771">
        <w:rPr>
          <w:lang w:bidi="en-US"/>
        </w:rPr>
        <w:t>appel criminelle d</w:t>
      </w:r>
      <w:r w:rsidR="00605771" w:rsidRPr="00605771">
        <w:rPr>
          <w:lang w:bidi="en-US"/>
        </w:rPr>
        <w:t>’</w:t>
      </w:r>
      <w:r w:rsidRPr="00605771">
        <w:rPr>
          <w:lang w:bidi="en-US"/>
        </w:rPr>
        <w:t xml:space="preserve">Athènes a </w:t>
      </w:r>
      <w:r w:rsidR="006F4E29" w:rsidRPr="00605771">
        <w:rPr>
          <w:lang w:bidi="en-US"/>
        </w:rPr>
        <w:t>rendu</w:t>
      </w:r>
      <w:r w:rsidR="0038248C" w:rsidRPr="00605771">
        <w:rPr>
          <w:lang w:bidi="en-US"/>
        </w:rPr>
        <w:t xml:space="preserve"> son arrêt n</w:t>
      </w:r>
      <w:r w:rsidR="0038248C" w:rsidRPr="00605771">
        <w:rPr>
          <w:vertAlign w:val="superscript"/>
          <w:lang w:bidi="en-US"/>
        </w:rPr>
        <w:t>o</w:t>
      </w:r>
      <w:r w:rsidR="0038248C" w:rsidRPr="00605771">
        <w:rPr>
          <w:lang w:bidi="en-US"/>
        </w:rPr>
        <w:t> 1700/2013</w:t>
      </w:r>
      <w:r w:rsidRPr="00605771">
        <w:rPr>
          <w:lang w:bidi="en-US"/>
        </w:rPr>
        <w:t>. En particulier, plus d</w:t>
      </w:r>
      <w:r w:rsidR="00605771" w:rsidRPr="00605771">
        <w:rPr>
          <w:lang w:bidi="en-US"/>
        </w:rPr>
        <w:t>’</w:t>
      </w:r>
      <w:r w:rsidRPr="00605771">
        <w:rPr>
          <w:lang w:bidi="en-US"/>
        </w:rPr>
        <w:t>un an s</w:t>
      </w:r>
      <w:r w:rsidR="00605771" w:rsidRPr="00605771">
        <w:rPr>
          <w:lang w:bidi="en-US"/>
        </w:rPr>
        <w:t>’</w:t>
      </w:r>
      <w:r w:rsidRPr="00605771">
        <w:rPr>
          <w:lang w:bidi="en-US"/>
        </w:rPr>
        <w:t xml:space="preserve">est écoulé entre le 9 mars 2004, date à laquelle le procureur </w:t>
      </w:r>
      <w:r w:rsidR="006C5865" w:rsidRPr="00605771">
        <w:rPr>
          <w:lang w:bidi="en-US"/>
        </w:rPr>
        <w:t xml:space="preserve">près le tribunal </w:t>
      </w:r>
      <w:r w:rsidRPr="00605771">
        <w:rPr>
          <w:lang w:bidi="en-US"/>
        </w:rPr>
        <w:t xml:space="preserve">de première instance de Syros a demandé </w:t>
      </w:r>
      <w:r w:rsidR="006F4E29" w:rsidRPr="00605771">
        <w:rPr>
          <w:lang w:bidi="en-US"/>
        </w:rPr>
        <w:t xml:space="preserve">à </w:t>
      </w:r>
      <w:r w:rsidRPr="00605771">
        <w:rPr>
          <w:lang w:bidi="en-US"/>
        </w:rPr>
        <w:t xml:space="preserve">la direction de </w:t>
      </w:r>
      <w:r w:rsidR="005731CC" w:rsidRPr="00605771">
        <w:rPr>
          <w:lang w:bidi="en-US"/>
        </w:rPr>
        <w:t xml:space="preserve">la </w:t>
      </w:r>
      <w:r w:rsidRPr="00605771">
        <w:rPr>
          <w:lang w:bidi="en-US"/>
        </w:rPr>
        <w:t>sécurité d</w:t>
      </w:r>
      <w:r w:rsidR="00605771" w:rsidRPr="00605771">
        <w:rPr>
          <w:lang w:bidi="en-US"/>
        </w:rPr>
        <w:t>’</w:t>
      </w:r>
      <w:r w:rsidRPr="00605771">
        <w:rPr>
          <w:lang w:bidi="en-US"/>
        </w:rPr>
        <w:t xml:space="preserve">Ermoúpolis de procéder </w:t>
      </w:r>
      <w:r w:rsidR="006F4E29" w:rsidRPr="00605771">
        <w:rPr>
          <w:lang w:bidi="en-US"/>
        </w:rPr>
        <w:t xml:space="preserve">à </w:t>
      </w:r>
      <w:r w:rsidRPr="00605771">
        <w:rPr>
          <w:lang w:bidi="en-US"/>
        </w:rPr>
        <w:t>différents actes d</w:t>
      </w:r>
      <w:r w:rsidR="00605771" w:rsidRPr="00605771">
        <w:rPr>
          <w:lang w:bidi="en-US"/>
        </w:rPr>
        <w:t>’</w:t>
      </w:r>
      <w:r w:rsidRPr="00605771">
        <w:rPr>
          <w:lang w:bidi="en-US"/>
        </w:rPr>
        <w:t>enquête et d</w:t>
      </w:r>
      <w:r w:rsidR="00605771" w:rsidRPr="00605771">
        <w:rPr>
          <w:lang w:bidi="en-US"/>
        </w:rPr>
        <w:t>’</w:t>
      </w:r>
      <w:r w:rsidRPr="00605771">
        <w:rPr>
          <w:lang w:bidi="en-US"/>
        </w:rPr>
        <w:t xml:space="preserve">envoyer par la suite le dossier à la direction de </w:t>
      </w:r>
      <w:r w:rsidR="005731CC" w:rsidRPr="00605771">
        <w:rPr>
          <w:lang w:bidi="en-US"/>
        </w:rPr>
        <w:t xml:space="preserve">la </w:t>
      </w:r>
      <w:r w:rsidRPr="00605771">
        <w:rPr>
          <w:lang w:bidi="en-US"/>
        </w:rPr>
        <w:t>sécurité de la police d</w:t>
      </w:r>
      <w:r w:rsidR="00605771" w:rsidRPr="00605771">
        <w:rPr>
          <w:lang w:bidi="en-US"/>
        </w:rPr>
        <w:t>’</w:t>
      </w:r>
      <w:r w:rsidRPr="00605771">
        <w:rPr>
          <w:lang w:bidi="en-US"/>
        </w:rPr>
        <w:t>Athèn</w:t>
      </w:r>
      <w:r w:rsidR="006F721E" w:rsidRPr="00605771">
        <w:rPr>
          <w:lang w:bidi="en-US"/>
        </w:rPr>
        <w:t>es, et le 11 </w:t>
      </w:r>
      <w:r w:rsidRPr="00605771">
        <w:rPr>
          <w:lang w:bidi="en-US"/>
        </w:rPr>
        <w:t xml:space="preserve">avril 2005, date à laquelle la direction de </w:t>
      </w:r>
      <w:r w:rsidR="005731CC" w:rsidRPr="00605771">
        <w:rPr>
          <w:lang w:bidi="en-US"/>
        </w:rPr>
        <w:t xml:space="preserve">la </w:t>
      </w:r>
      <w:r w:rsidRPr="00605771">
        <w:rPr>
          <w:lang w:bidi="en-US"/>
        </w:rPr>
        <w:t>sécurité de la police de l</w:t>
      </w:r>
      <w:r w:rsidR="00605771" w:rsidRPr="00605771">
        <w:rPr>
          <w:lang w:bidi="en-US"/>
        </w:rPr>
        <w:t>’</w:t>
      </w:r>
      <w:r w:rsidRPr="00605771">
        <w:rPr>
          <w:lang w:bidi="en-US"/>
        </w:rPr>
        <w:t xml:space="preserve">Attique a renvoyé </w:t>
      </w:r>
      <w:r w:rsidRPr="00605771">
        <w:rPr>
          <w:lang w:bidi="en-US"/>
        </w:rPr>
        <w:lastRenderedPageBreak/>
        <w:t>l</w:t>
      </w:r>
      <w:r w:rsidR="00605771" w:rsidRPr="00605771">
        <w:rPr>
          <w:lang w:bidi="en-US"/>
        </w:rPr>
        <w:t>’</w:t>
      </w:r>
      <w:r w:rsidRPr="00605771">
        <w:rPr>
          <w:lang w:bidi="en-US"/>
        </w:rPr>
        <w:t xml:space="preserve">affaire au procureur </w:t>
      </w:r>
      <w:r w:rsidR="006C5865" w:rsidRPr="00605771">
        <w:rPr>
          <w:lang w:bidi="en-US"/>
        </w:rPr>
        <w:t xml:space="preserve">près le tribunal </w:t>
      </w:r>
      <w:r w:rsidRPr="00605771">
        <w:rPr>
          <w:lang w:bidi="en-US"/>
        </w:rPr>
        <w:t>de première instance de Syros. Quant à la procédure visant N.M., celle-ci reste toujours suspendue quinze ans après la dénonciation des</w:t>
      </w:r>
      <w:r w:rsidR="00407648" w:rsidRPr="00605771">
        <w:rPr>
          <w:lang w:bidi="en-US"/>
        </w:rPr>
        <w:t>dites</w:t>
      </w:r>
      <w:r w:rsidRPr="00605771">
        <w:rPr>
          <w:lang w:bidi="en-US"/>
        </w:rPr>
        <w:t xml:space="preserve"> requérantes, l</w:t>
      </w:r>
      <w:r w:rsidR="00605771" w:rsidRPr="00605771">
        <w:rPr>
          <w:lang w:bidi="en-US"/>
        </w:rPr>
        <w:t>’</w:t>
      </w:r>
      <w:r w:rsidRPr="00605771">
        <w:rPr>
          <w:lang w:bidi="en-US"/>
        </w:rPr>
        <w:t>accusée n</w:t>
      </w:r>
      <w:r w:rsidR="00605771" w:rsidRPr="00605771">
        <w:rPr>
          <w:lang w:bidi="en-US"/>
        </w:rPr>
        <w:t>’</w:t>
      </w:r>
      <w:r w:rsidRPr="00605771">
        <w:rPr>
          <w:lang w:bidi="en-US"/>
        </w:rPr>
        <w:t>ayant pas été retrouvée.</w:t>
      </w:r>
    </w:p>
    <w:p w:rsidR="00F91B16" w:rsidRPr="00605771" w:rsidRDefault="00F91B16" w:rsidP="00605771">
      <w:pPr>
        <w:pStyle w:val="JuPara"/>
        <w:rPr>
          <w:lang w:bidi="en-US"/>
        </w:rPr>
      </w:pPr>
      <w:r w:rsidRPr="00605771">
        <w:rPr>
          <w:lang w:bidi="en-US"/>
        </w:rPr>
        <w:fldChar w:fldCharType="begin"/>
      </w:r>
      <w:r w:rsidRPr="00605771">
        <w:rPr>
          <w:lang w:bidi="en-US"/>
        </w:rPr>
        <w:instrText xml:space="preserve"> SEQ level0 \*arabic </w:instrText>
      </w:r>
      <w:r w:rsidRPr="00605771">
        <w:rPr>
          <w:lang w:bidi="en-US"/>
        </w:rPr>
        <w:fldChar w:fldCharType="separate"/>
      </w:r>
      <w:r w:rsidR="00605771" w:rsidRPr="00605771">
        <w:rPr>
          <w:noProof/>
          <w:lang w:bidi="en-US"/>
        </w:rPr>
        <w:t>160</w:t>
      </w:r>
      <w:r w:rsidRPr="00605771">
        <w:rPr>
          <w:lang w:bidi="en-US"/>
        </w:rPr>
        <w:fldChar w:fldCharType="end"/>
      </w:r>
      <w:r w:rsidRPr="00605771">
        <w:rPr>
          <w:lang w:bidi="en-US"/>
        </w:rPr>
        <w:t xml:space="preserve">.  En ce qui concerne </w:t>
      </w:r>
      <w:r w:rsidR="00045DF0" w:rsidRPr="00605771">
        <w:rPr>
          <w:lang w:bidi="en-US"/>
        </w:rPr>
        <w:t>plus précisément</w:t>
      </w:r>
      <w:r w:rsidRPr="00605771">
        <w:rPr>
          <w:lang w:bidi="en-US"/>
        </w:rPr>
        <w:t xml:space="preserve"> la recherche de N.M., la Cour observe que les requérantes </w:t>
      </w:r>
      <w:r w:rsidR="00407648" w:rsidRPr="00605771">
        <w:rPr>
          <w:lang w:bidi="en-US"/>
        </w:rPr>
        <w:t xml:space="preserve">susmentionnées </w:t>
      </w:r>
      <w:r w:rsidR="00BE3C85" w:rsidRPr="00605771">
        <w:rPr>
          <w:lang w:bidi="en-US"/>
        </w:rPr>
        <w:t xml:space="preserve">avaient, dès </w:t>
      </w:r>
      <w:r w:rsidR="00C06619" w:rsidRPr="00605771">
        <w:rPr>
          <w:lang w:bidi="en-US"/>
        </w:rPr>
        <w:t xml:space="preserve">le mois de </w:t>
      </w:r>
      <w:r w:rsidR="00BE3C85" w:rsidRPr="00605771">
        <w:rPr>
          <w:lang w:bidi="en-US"/>
        </w:rPr>
        <w:t>décembre 2003,</w:t>
      </w:r>
      <w:r w:rsidRPr="00605771">
        <w:rPr>
          <w:lang w:bidi="en-US"/>
        </w:rPr>
        <w:t xml:space="preserve"> indiqué l</w:t>
      </w:r>
      <w:r w:rsidR="00605771" w:rsidRPr="00605771">
        <w:rPr>
          <w:lang w:bidi="en-US"/>
        </w:rPr>
        <w:t>’</w:t>
      </w:r>
      <w:r w:rsidRPr="00605771">
        <w:rPr>
          <w:lang w:bidi="en-US"/>
        </w:rPr>
        <w:t xml:space="preserve">adresse </w:t>
      </w:r>
      <w:r w:rsidR="006F4E29" w:rsidRPr="00605771">
        <w:rPr>
          <w:lang w:bidi="en-US"/>
        </w:rPr>
        <w:t>où</w:t>
      </w:r>
      <w:r w:rsidRPr="00605771">
        <w:rPr>
          <w:lang w:bidi="en-US"/>
        </w:rPr>
        <w:t xml:space="preserve"> </w:t>
      </w:r>
      <w:r w:rsidR="006F4E29" w:rsidRPr="00605771">
        <w:rPr>
          <w:lang w:bidi="en-US"/>
        </w:rPr>
        <w:t>les faits d</w:t>
      </w:r>
      <w:r w:rsidR="00605771" w:rsidRPr="00605771">
        <w:rPr>
          <w:lang w:bidi="en-US"/>
        </w:rPr>
        <w:t>’</w:t>
      </w:r>
      <w:r w:rsidRPr="00605771">
        <w:rPr>
          <w:lang w:bidi="en-US"/>
        </w:rPr>
        <w:t>exploitation</w:t>
      </w:r>
      <w:r w:rsidR="006F4E29" w:rsidRPr="00605771">
        <w:rPr>
          <w:lang w:bidi="en-US"/>
        </w:rPr>
        <w:t xml:space="preserve"> en cause </w:t>
      </w:r>
      <w:r w:rsidR="00BE3C85" w:rsidRPr="00605771">
        <w:rPr>
          <w:lang w:bidi="en-US"/>
        </w:rPr>
        <w:t>s</w:t>
      </w:r>
      <w:r w:rsidR="00605771" w:rsidRPr="00605771">
        <w:rPr>
          <w:lang w:bidi="en-US"/>
        </w:rPr>
        <w:t>’</w:t>
      </w:r>
      <w:r w:rsidR="00BE3C85" w:rsidRPr="00605771">
        <w:rPr>
          <w:lang w:bidi="en-US"/>
        </w:rPr>
        <w:t>étaient déroulés</w:t>
      </w:r>
      <w:r w:rsidRPr="00605771">
        <w:rPr>
          <w:lang w:bidi="en-US"/>
        </w:rPr>
        <w:t xml:space="preserve"> et </w:t>
      </w:r>
      <w:r w:rsidR="006F4E29" w:rsidRPr="00605771">
        <w:rPr>
          <w:lang w:bidi="en-US"/>
        </w:rPr>
        <w:t>où</w:t>
      </w:r>
      <w:r w:rsidRPr="00605771">
        <w:rPr>
          <w:lang w:bidi="en-US"/>
        </w:rPr>
        <w:t xml:space="preserve">, selon elles, </w:t>
      </w:r>
      <w:r w:rsidR="001B5CA7" w:rsidRPr="00605771">
        <w:rPr>
          <w:lang w:bidi="en-US"/>
        </w:rPr>
        <w:t>l</w:t>
      </w:r>
      <w:r w:rsidR="00605771" w:rsidRPr="00605771">
        <w:rPr>
          <w:lang w:bidi="en-US"/>
        </w:rPr>
        <w:t>’</w:t>
      </w:r>
      <w:r w:rsidR="001B5CA7" w:rsidRPr="00605771">
        <w:rPr>
          <w:lang w:bidi="en-US"/>
        </w:rPr>
        <w:t xml:space="preserve">accusée </w:t>
      </w:r>
      <w:r w:rsidR="00BE3C85" w:rsidRPr="00605771">
        <w:rPr>
          <w:lang w:bidi="en-US"/>
        </w:rPr>
        <w:t>était domiciliée</w:t>
      </w:r>
      <w:r w:rsidRPr="00605771">
        <w:rPr>
          <w:lang w:bidi="en-US"/>
        </w:rPr>
        <w:t xml:space="preserve">. Qui plus est, </w:t>
      </w:r>
      <w:r w:rsidR="00C06619" w:rsidRPr="00605771">
        <w:rPr>
          <w:lang w:bidi="en-US"/>
        </w:rPr>
        <w:t xml:space="preserve">le 8 novembre 2004, </w:t>
      </w:r>
      <w:r w:rsidRPr="00605771">
        <w:rPr>
          <w:lang w:bidi="en-US"/>
        </w:rPr>
        <w:t>l</w:t>
      </w:r>
      <w:r w:rsidR="00605771" w:rsidRPr="00605771">
        <w:rPr>
          <w:lang w:bidi="en-US"/>
        </w:rPr>
        <w:t>’</w:t>
      </w:r>
      <w:r w:rsidR="006F4E29" w:rsidRPr="00605771">
        <w:rPr>
          <w:lang w:bidi="en-US"/>
        </w:rPr>
        <w:t>opérateur de</w:t>
      </w:r>
      <w:r w:rsidRPr="00605771">
        <w:rPr>
          <w:lang w:bidi="en-US"/>
        </w:rPr>
        <w:t xml:space="preserve"> téléphon</w:t>
      </w:r>
      <w:r w:rsidR="006F4E29" w:rsidRPr="00605771">
        <w:rPr>
          <w:lang w:bidi="en-US"/>
        </w:rPr>
        <w:t>ie mobile de</w:t>
      </w:r>
      <w:r w:rsidRPr="00605771">
        <w:rPr>
          <w:lang w:bidi="en-US"/>
        </w:rPr>
        <w:t xml:space="preserve"> N.M.</w:t>
      </w:r>
      <w:r w:rsidR="006F4E29" w:rsidRPr="00605771">
        <w:rPr>
          <w:lang w:bidi="en-US"/>
        </w:rPr>
        <w:t xml:space="preserve"> </w:t>
      </w:r>
      <w:r w:rsidRPr="00605771">
        <w:rPr>
          <w:lang w:bidi="en-US"/>
        </w:rPr>
        <w:t xml:space="preserve">avait informé la direction de </w:t>
      </w:r>
      <w:r w:rsidR="005731CC" w:rsidRPr="00605771">
        <w:rPr>
          <w:lang w:bidi="en-US"/>
        </w:rPr>
        <w:t xml:space="preserve">la </w:t>
      </w:r>
      <w:r w:rsidRPr="00605771">
        <w:rPr>
          <w:lang w:bidi="en-US"/>
        </w:rPr>
        <w:t>sécurité de la police d</w:t>
      </w:r>
      <w:r w:rsidR="00605771" w:rsidRPr="00605771">
        <w:rPr>
          <w:lang w:bidi="en-US"/>
        </w:rPr>
        <w:t>’</w:t>
      </w:r>
      <w:r w:rsidRPr="00605771">
        <w:rPr>
          <w:lang w:bidi="en-US"/>
        </w:rPr>
        <w:t>Athènes de l</w:t>
      </w:r>
      <w:r w:rsidR="00605771" w:rsidRPr="00605771">
        <w:rPr>
          <w:lang w:bidi="en-US"/>
        </w:rPr>
        <w:t>’</w:t>
      </w:r>
      <w:r w:rsidRPr="00605771">
        <w:rPr>
          <w:lang w:bidi="en-US"/>
        </w:rPr>
        <w:t xml:space="preserve">adresse déclarée par </w:t>
      </w:r>
      <w:r w:rsidR="006F4E29" w:rsidRPr="00605771">
        <w:rPr>
          <w:lang w:bidi="en-US"/>
        </w:rPr>
        <w:t>ce</w:t>
      </w:r>
      <w:r w:rsidRPr="00605771">
        <w:rPr>
          <w:lang w:bidi="en-US"/>
        </w:rPr>
        <w:t>lle</w:t>
      </w:r>
      <w:r w:rsidR="006F4E29" w:rsidRPr="00605771">
        <w:rPr>
          <w:lang w:bidi="en-US"/>
        </w:rPr>
        <w:t>-ci</w:t>
      </w:r>
      <w:r w:rsidRPr="00605771">
        <w:rPr>
          <w:lang w:bidi="en-US"/>
        </w:rPr>
        <w:t xml:space="preserve">. Or il ne ressort pas du dossier que les autorités </w:t>
      </w:r>
      <w:r w:rsidR="00EA174B" w:rsidRPr="00605771">
        <w:rPr>
          <w:lang w:bidi="en-US"/>
        </w:rPr>
        <w:t>aien</w:t>
      </w:r>
      <w:r w:rsidRPr="00605771">
        <w:rPr>
          <w:lang w:bidi="en-US"/>
        </w:rPr>
        <w:t>t recherché la suspecte à ces autres adresses promptement, et</w:t>
      </w:r>
      <w:r w:rsidR="006F4E29" w:rsidRPr="00605771">
        <w:rPr>
          <w:lang w:bidi="en-US"/>
        </w:rPr>
        <w:t>,</w:t>
      </w:r>
      <w:r w:rsidRPr="00605771">
        <w:rPr>
          <w:lang w:bidi="en-US"/>
        </w:rPr>
        <w:t xml:space="preserve"> en tout état de cause</w:t>
      </w:r>
      <w:r w:rsidR="006F4E29" w:rsidRPr="00605771">
        <w:rPr>
          <w:lang w:bidi="en-US"/>
        </w:rPr>
        <w:t>,</w:t>
      </w:r>
      <w:r w:rsidRPr="00605771">
        <w:rPr>
          <w:lang w:bidi="en-US"/>
        </w:rPr>
        <w:t xml:space="preserve"> avant</w:t>
      </w:r>
      <w:r w:rsidR="00C06619" w:rsidRPr="00605771">
        <w:rPr>
          <w:lang w:bidi="en-US"/>
        </w:rPr>
        <w:t xml:space="preserve"> </w:t>
      </w:r>
      <w:r w:rsidRPr="00605771">
        <w:rPr>
          <w:lang w:bidi="en-US"/>
        </w:rPr>
        <w:t>juillet 2006</w:t>
      </w:r>
      <w:r w:rsidR="00092120" w:rsidRPr="00605771">
        <w:rPr>
          <w:lang w:bidi="en-US"/>
        </w:rPr>
        <w:t xml:space="preserve"> (paragraphe </w:t>
      </w:r>
      <w:r w:rsidR="00092120" w:rsidRPr="00605771">
        <w:rPr>
          <w:lang w:bidi="en-US"/>
        </w:rPr>
        <w:fldChar w:fldCharType="begin"/>
      </w:r>
      <w:r w:rsidR="00092120" w:rsidRPr="00605771">
        <w:rPr>
          <w:lang w:bidi="en-US"/>
        </w:rPr>
        <w:instrText xml:space="preserve"> REF rechercheNM \h </w:instrText>
      </w:r>
      <w:r w:rsidR="00045DF0" w:rsidRPr="00605771">
        <w:rPr>
          <w:lang w:bidi="en-US"/>
        </w:rPr>
        <w:instrText xml:space="preserve"> \* MERGEFORMAT </w:instrText>
      </w:r>
      <w:r w:rsidR="00092120" w:rsidRPr="00605771">
        <w:rPr>
          <w:lang w:bidi="en-US"/>
        </w:rPr>
      </w:r>
      <w:r w:rsidR="00092120" w:rsidRPr="00605771">
        <w:rPr>
          <w:lang w:bidi="en-US"/>
        </w:rPr>
        <w:fldChar w:fldCharType="separate"/>
      </w:r>
      <w:r w:rsidR="00605771" w:rsidRPr="00605771">
        <w:rPr>
          <w:noProof/>
        </w:rPr>
        <w:t>42</w:t>
      </w:r>
      <w:r w:rsidR="00092120" w:rsidRPr="00605771">
        <w:rPr>
          <w:lang w:bidi="en-US"/>
        </w:rPr>
        <w:fldChar w:fldCharType="end"/>
      </w:r>
      <w:r w:rsidR="00092120" w:rsidRPr="00605771">
        <w:rPr>
          <w:lang w:bidi="en-US"/>
        </w:rPr>
        <w:t xml:space="preserve"> ci-dessus)</w:t>
      </w:r>
      <w:r w:rsidRPr="00605771">
        <w:rPr>
          <w:lang w:bidi="en-US"/>
        </w:rPr>
        <w:t xml:space="preserve">. </w:t>
      </w:r>
      <w:r w:rsidR="000D4C97" w:rsidRPr="00605771">
        <w:rPr>
          <w:lang w:bidi="en-US"/>
        </w:rPr>
        <w:t>L</w:t>
      </w:r>
      <w:r w:rsidR="00605771" w:rsidRPr="00605771">
        <w:rPr>
          <w:lang w:bidi="en-US"/>
        </w:rPr>
        <w:t>’</w:t>
      </w:r>
      <w:r w:rsidRPr="00605771">
        <w:rPr>
          <w:lang w:bidi="en-US"/>
        </w:rPr>
        <w:t>intensification</w:t>
      </w:r>
      <w:r w:rsidR="006B6C23" w:rsidRPr="00605771">
        <w:rPr>
          <w:lang w:bidi="en-US"/>
        </w:rPr>
        <w:t>, dès le début de l</w:t>
      </w:r>
      <w:r w:rsidR="00605771" w:rsidRPr="00605771">
        <w:rPr>
          <w:lang w:bidi="en-US"/>
        </w:rPr>
        <w:t>’</w:t>
      </w:r>
      <w:r w:rsidR="006B6C23" w:rsidRPr="00605771">
        <w:rPr>
          <w:lang w:bidi="en-US"/>
        </w:rPr>
        <w:t>enquête,</w:t>
      </w:r>
      <w:r w:rsidR="00407648" w:rsidRPr="00605771">
        <w:rPr>
          <w:lang w:bidi="en-US"/>
        </w:rPr>
        <w:t xml:space="preserve"> des opérations de</w:t>
      </w:r>
      <w:r w:rsidRPr="00605771">
        <w:rPr>
          <w:lang w:bidi="en-US"/>
        </w:rPr>
        <w:t xml:space="preserve"> recherche de N.M. paraissait </w:t>
      </w:r>
      <w:r w:rsidR="000D4C97" w:rsidRPr="00605771">
        <w:rPr>
          <w:lang w:bidi="en-US"/>
        </w:rPr>
        <w:t xml:space="preserve">pourtant </w:t>
      </w:r>
      <w:r w:rsidRPr="00605771">
        <w:rPr>
          <w:lang w:bidi="en-US"/>
        </w:rPr>
        <w:t xml:space="preserve">cruciale, les </w:t>
      </w:r>
      <w:r w:rsidR="00407648" w:rsidRPr="00605771">
        <w:rPr>
          <w:lang w:bidi="en-US"/>
        </w:rPr>
        <w:t xml:space="preserve">deux premières </w:t>
      </w:r>
      <w:r w:rsidRPr="00605771">
        <w:rPr>
          <w:lang w:bidi="en-US"/>
        </w:rPr>
        <w:t xml:space="preserve">requérantes ayant </w:t>
      </w:r>
      <w:r w:rsidR="00644F7B" w:rsidRPr="00605771">
        <w:rPr>
          <w:lang w:bidi="en-US"/>
        </w:rPr>
        <w:t>désigné</w:t>
      </w:r>
      <w:r w:rsidRPr="00605771">
        <w:rPr>
          <w:lang w:bidi="en-US"/>
        </w:rPr>
        <w:t xml:space="preserve"> </w:t>
      </w:r>
      <w:r w:rsidR="006F4E29" w:rsidRPr="00605771">
        <w:rPr>
          <w:lang w:bidi="en-US"/>
        </w:rPr>
        <w:t xml:space="preserve">celle-ci </w:t>
      </w:r>
      <w:r w:rsidRPr="00605771">
        <w:rPr>
          <w:lang w:bidi="en-US"/>
        </w:rPr>
        <w:t xml:space="preserve">comme </w:t>
      </w:r>
      <w:r w:rsidR="008C7766" w:rsidRPr="00605771">
        <w:rPr>
          <w:lang w:bidi="en-US"/>
        </w:rPr>
        <w:t xml:space="preserve">étant </w:t>
      </w:r>
      <w:r w:rsidRPr="00605771">
        <w:rPr>
          <w:lang w:bidi="en-US"/>
        </w:rPr>
        <w:t>l</w:t>
      </w:r>
      <w:r w:rsidR="00605771" w:rsidRPr="00605771">
        <w:rPr>
          <w:lang w:bidi="en-US"/>
        </w:rPr>
        <w:t>’</w:t>
      </w:r>
      <w:r w:rsidRPr="00605771">
        <w:rPr>
          <w:lang w:bidi="en-US"/>
        </w:rPr>
        <w:t>un des auteurs principaux des faits. De surcroît, le Gouvernement n</w:t>
      </w:r>
      <w:r w:rsidR="00605771" w:rsidRPr="00605771">
        <w:rPr>
          <w:lang w:bidi="en-US"/>
        </w:rPr>
        <w:t>’</w:t>
      </w:r>
      <w:r w:rsidRPr="00605771">
        <w:rPr>
          <w:lang w:bidi="en-US"/>
        </w:rPr>
        <w:t>offre pas d</w:t>
      </w:r>
      <w:r w:rsidR="00605771" w:rsidRPr="00605771">
        <w:rPr>
          <w:lang w:bidi="en-US"/>
        </w:rPr>
        <w:t>’</w:t>
      </w:r>
      <w:r w:rsidRPr="00605771">
        <w:rPr>
          <w:lang w:bidi="en-US"/>
        </w:rPr>
        <w:t>informations concrètes sur l</w:t>
      </w:r>
      <w:r w:rsidR="00605771" w:rsidRPr="00605771">
        <w:rPr>
          <w:lang w:bidi="en-US"/>
        </w:rPr>
        <w:t>’</w:t>
      </w:r>
      <w:r w:rsidRPr="00605771">
        <w:rPr>
          <w:lang w:bidi="en-US"/>
        </w:rPr>
        <w:t>état d</w:t>
      </w:r>
      <w:r w:rsidR="006F4E29" w:rsidRPr="00605771">
        <w:rPr>
          <w:lang w:bidi="en-US"/>
        </w:rPr>
        <w:t xml:space="preserve">es </w:t>
      </w:r>
      <w:r w:rsidRPr="00605771">
        <w:rPr>
          <w:lang w:bidi="en-US"/>
        </w:rPr>
        <w:t>investigation</w:t>
      </w:r>
      <w:r w:rsidR="006F4E29" w:rsidRPr="00605771">
        <w:rPr>
          <w:lang w:bidi="en-US"/>
        </w:rPr>
        <w:t>s</w:t>
      </w:r>
      <w:r w:rsidRPr="00605771">
        <w:rPr>
          <w:lang w:bidi="en-US"/>
        </w:rPr>
        <w:t xml:space="preserve"> policière</w:t>
      </w:r>
      <w:r w:rsidR="006F4E29" w:rsidRPr="00605771">
        <w:rPr>
          <w:lang w:bidi="en-US"/>
        </w:rPr>
        <w:t>s</w:t>
      </w:r>
      <w:r w:rsidRPr="00605771">
        <w:rPr>
          <w:lang w:bidi="en-US"/>
        </w:rPr>
        <w:t xml:space="preserve"> </w:t>
      </w:r>
      <w:r w:rsidR="004449F2" w:rsidRPr="00605771">
        <w:rPr>
          <w:lang w:bidi="en-US"/>
        </w:rPr>
        <w:t>menées quant au</w:t>
      </w:r>
      <w:r w:rsidRPr="00605771">
        <w:rPr>
          <w:lang w:bidi="en-US"/>
        </w:rPr>
        <w:t xml:space="preserve"> sort de </w:t>
      </w:r>
      <w:r w:rsidR="00EE5132" w:rsidRPr="00605771">
        <w:rPr>
          <w:lang w:bidi="en-US"/>
        </w:rPr>
        <w:t>N.M.</w:t>
      </w:r>
      <w:r w:rsidRPr="00605771">
        <w:rPr>
          <w:lang w:bidi="en-US"/>
        </w:rPr>
        <w:t xml:space="preserve"> après la suspension, en 2009, de la procédure contre </w:t>
      </w:r>
      <w:r w:rsidR="00EE5132" w:rsidRPr="00605771">
        <w:rPr>
          <w:lang w:bidi="en-US"/>
        </w:rPr>
        <w:t>c</w:t>
      </w:r>
      <w:r w:rsidRPr="00605771">
        <w:rPr>
          <w:lang w:bidi="en-US"/>
        </w:rPr>
        <w:t>elle</w:t>
      </w:r>
      <w:r w:rsidR="00EE5132" w:rsidRPr="00605771">
        <w:rPr>
          <w:lang w:bidi="en-US"/>
        </w:rPr>
        <w:t>-ci</w:t>
      </w:r>
      <w:r w:rsidRPr="00605771">
        <w:rPr>
          <w:lang w:bidi="en-US"/>
        </w:rPr>
        <w:t>. En effet, la dernière tentative de localis</w:t>
      </w:r>
      <w:r w:rsidR="009E45CB" w:rsidRPr="00605771">
        <w:rPr>
          <w:lang w:bidi="en-US"/>
        </w:rPr>
        <w:t>ation de</w:t>
      </w:r>
      <w:r w:rsidRPr="00605771">
        <w:rPr>
          <w:lang w:bidi="en-US"/>
        </w:rPr>
        <w:t xml:space="preserve"> </w:t>
      </w:r>
      <w:r w:rsidR="00F40A8B" w:rsidRPr="00605771">
        <w:rPr>
          <w:lang w:bidi="en-US"/>
        </w:rPr>
        <w:t>N.M.</w:t>
      </w:r>
      <w:r w:rsidR="00EE5132" w:rsidRPr="00605771">
        <w:rPr>
          <w:lang w:bidi="en-US"/>
        </w:rPr>
        <w:t xml:space="preserve"> </w:t>
      </w:r>
      <w:r w:rsidRPr="00605771">
        <w:rPr>
          <w:lang w:bidi="en-US"/>
        </w:rPr>
        <w:t xml:space="preserve">semble avoir eu lieu </w:t>
      </w:r>
      <w:r w:rsidR="00EB17A9" w:rsidRPr="00605771">
        <w:rPr>
          <w:lang w:bidi="en-US"/>
        </w:rPr>
        <w:t xml:space="preserve">en </w:t>
      </w:r>
      <w:r w:rsidRPr="00605771">
        <w:rPr>
          <w:lang w:bidi="en-US"/>
        </w:rPr>
        <w:t>février 2008</w:t>
      </w:r>
      <w:r w:rsidR="00474ED7" w:rsidRPr="00605771">
        <w:rPr>
          <w:lang w:bidi="en-US"/>
        </w:rPr>
        <w:t xml:space="preserve"> – époque à laquelle</w:t>
      </w:r>
      <w:r w:rsidRPr="00605771">
        <w:rPr>
          <w:lang w:bidi="en-US"/>
        </w:rPr>
        <w:t xml:space="preserve"> des policiers </w:t>
      </w:r>
      <w:r w:rsidR="00474ED7" w:rsidRPr="00605771">
        <w:rPr>
          <w:lang w:bidi="en-US"/>
        </w:rPr>
        <w:t>ont</w:t>
      </w:r>
      <w:r w:rsidRPr="00605771">
        <w:rPr>
          <w:lang w:bidi="en-US"/>
        </w:rPr>
        <w:t xml:space="preserve"> attesté </w:t>
      </w:r>
      <w:r w:rsidR="006F4E29" w:rsidRPr="00605771">
        <w:rPr>
          <w:lang w:bidi="en-US"/>
        </w:rPr>
        <w:t xml:space="preserve">avoir constaté, après des </w:t>
      </w:r>
      <w:r w:rsidRPr="00605771">
        <w:rPr>
          <w:lang w:bidi="en-US"/>
        </w:rPr>
        <w:t>vérifi</w:t>
      </w:r>
      <w:r w:rsidR="006F4E29" w:rsidRPr="00605771">
        <w:rPr>
          <w:lang w:bidi="en-US"/>
        </w:rPr>
        <w:t>cations faites aux</w:t>
      </w:r>
      <w:r w:rsidRPr="00605771">
        <w:rPr>
          <w:lang w:bidi="en-US"/>
        </w:rPr>
        <w:t xml:space="preserve"> adresses </w:t>
      </w:r>
      <w:r w:rsidR="00B141BF" w:rsidRPr="00605771">
        <w:rPr>
          <w:lang w:bidi="en-US"/>
        </w:rPr>
        <w:t>dont ils disposaient,</w:t>
      </w:r>
      <w:r w:rsidRPr="00605771">
        <w:rPr>
          <w:lang w:bidi="en-US"/>
        </w:rPr>
        <w:t xml:space="preserve"> que la suspecte y était </w:t>
      </w:r>
      <w:r w:rsidR="00EB17A9" w:rsidRPr="00605771">
        <w:rPr>
          <w:lang w:bidi="en-US"/>
        </w:rPr>
        <w:t>in</w:t>
      </w:r>
      <w:r w:rsidRPr="00605771">
        <w:rPr>
          <w:lang w:bidi="en-US"/>
        </w:rPr>
        <w:t xml:space="preserve">connue (paragraphe </w:t>
      </w:r>
      <w:r w:rsidR="00F64340" w:rsidRPr="00605771">
        <w:rPr>
          <w:lang w:bidi="en-US"/>
        </w:rPr>
        <w:fldChar w:fldCharType="begin"/>
      </w:r>
      <w:r w:rsidR="00F64340" w:rsidRPr="00605771">
        <w:rPr>
          <w:lang w:bidi="en-US"/>
        </w:rPr>
        <w:instrText xml:space="preserve"> REF rechercheNM2 \h  \* MERGEFORMAT </w:instrText>
      </w:r>
      <w:r w:rsidR="00F64340" w:rsidRPr="00605771">
        <w:rPr>
          <w:lang w:bidi="en-US"/>
        </w:rPr>
      </w:r>
      <w:r w:rsidR="00F64340" w:rsidRPr="00605771">
        <w:rPr>
          <w:lang w:bidi="en-US"/>
        </w:rPr>
        <w:fldChar w:fldCharType="separate"/>
      </w:r>
      <w:r w:rsidR="00605771" w:rsidRPr="00605771">
        <w:rPr>
          <w:noProof/>
        </w:rPr>
        <w:t>49</w:t>
      </w:r>
      <w:r w:rsidR="00F64340" w:rsidRPr="00605771">
        <w:rPr>
          <w:lang w:bidi="en-US"/>
        </w:rPr>
        <w:fldChar w:fldCharType="end"/>
      </w:r>
      <w:r w:rsidR="00F64340" w:rsidRPr="00605771">
        <w:rPr>
          <w:lang w:bidi="en-US"/>
        </w:rPr>
        <w:t xml:space="preserve"> </w:t>
      </w:r>
      <w:r w:rsidRPr="00605771">
        <w:rPr>
          <w:lang w:bidi="en-US"/>
        </w:rPr>
        <w:t>ci-dessus)</w:t>
      </w:r>
      <w:r w:rsidR="009A0F8C" w:rsidRPr="00605771">
        <w:rPr>
          <w:lang w:bidi="en-US"/>
        </w:rPr>
        <w:t xml:space="preserve"> –</w:t>
      </w:r>
      <w:r w:rsidR="00EB17A9" w:rsidRPr="00605771">
        <w:rPr>
          <w:lang w:bidi="en-US"/>
        </w:rPr>
        <w:t>,</w:t>
      </w:r>
      <w:r w:rsidRPr="00605771">
        <w:rPr>
          <w:lang w:bidi="en-US"/>
        </w:rPr>
        <w:t xml:space="preserve"> et ce malgré </w:t>
      </w:r>
      <w:r w:rsidR="009A0F8C" w:rsidRPr="00605771">
        <w:rPr>
          <w:lang w:bidi="en-US"/>
        </w:rPr>
        <w:t>la délivrance</w:t>
      </w:r>
      <w:r w:rsidR="00210358" w:rsidRPr="00605771">
        <w:rPr>
          <w:lang w:bidi="en-US"/>
        </w:rPr>
        <w:t>, à l</w:t>
      </w:r>
      <w:r w:rsidR="00605771" w:rsidRPr="00605771">
        <w:rPr>
          <w:lang w:bidi="en-US"/>
        </w:rPr>
        <w:t>’</w:t>
      </w:r>
      <w:r w:rsidR="00210358" w:rsidRPr="00605771">
        <w:rPr>
          <w:lang w:bidi="en-US"/>
        </w:rPr>
        <w:t>encontre de l</w:t>
      </w:r>
      <w:r w:rsidR="00605771" w:rsidRPr="00605771">
        <w:rPr>
          <w:lang w:bidi="en-US"/>
        </w:rPr>
        <w:t>’</w:t>
      </w:r>
      <w:r w:rsidR="00210358" w:rsidRPr="00605771">
        <w:rPr>
          <w:lang w:bidi="en-US"/>
        </w:rPr>
        <w:t>intéressée,</w:t>
      </w:r>
      <w:r w:rsidR="009A0F8C" w:rsidRPr="00605771">
        <w:rPr>
          <w:lang w:bidi="en-US"/>
        </w:rPr>
        <w:t xml:space="preserve"> d</w:t>
      </w:r>
      <w:r w:rsidR="00605771" w:rsidRPr="00605771">
        <w:rPr>
          <w:lang w:bidi="en-US"/>
        </w:rPr>
        <w:t>’</w:t>
      </w:r>
      <w:r w:rsidR="009A0F8C" w:rsidRPr="00605771">
        <w:rPr>
          <w:lang w:bidi="en-US"/>
        </w:rPr>
        <w:t>un nouveau mandat d</w:t>
      </w:r>
      <w:r w:rsidR="00605771" w:rsidRPr="00605771">
        <w:rPr>
          <w:lang w:bidi="en-US"/>
        </w:rPr>
        <w:t>’</w:t>
      </w:r>
      <w:r w:rsidR="009A0F8C" w:rsidRPr="00605771">
        <w:rPr>
          <w:lang w:bidi="en-US"/>
        </w:rPr>
        <w:t xml:space="preserve">arrêt, </w:t>
      </w:r>
      <w:r w:rsidR="00F14509" w:rsidRPr="00605771">
        <w:rPr>
          <w:lang w:bidi="en-US"/>
        </w:rPr>
        <w:t>le 28 </w:t>
      </w:r>
      <w:r w:rsidRPr="00605771">
        <w:rPr>
          <w:lang w:bidi="en-US"/>
        </w:rPr>
        <w:t>juin 2012</w:t>
      </w:r>
      <w:r w:rsidR="00B141BF" w:rsidRPr="00605771">
        <w:rPr>
          <w:lang w:bidi="en-US"/>
        </w:rPr>
        <w:t>,</w:t>
      </w:r>
      <w:r w:rsidRPr="00605771">
        <w:rPr>
          <w:lang w:bidi="en-US"/>
        </w:rPr>
        <w:t xml:space="preserve"> </w:t>
      </w:r>
      <w:r w:rsidR="009A0F8C" w:rsidRPr="00605771">
        <w:rPr>
          <w:lang w:bidi="en-US"/>
        </w:rPr>
        <w:t xml:space="preserve">par </w:t>
      </w:r>
      <w:r w:rsidRPr="00605771">
        <w:rPr>
          <w:lang w:bidi="en-US"/>
        </w:rPr>
        <w:t xml:space="preserve">le procureur </w:t>
      </w:r>
      <w:r w:rsidR="00BB1CC8" w:rsidRPr="00605771">
        <w:rPr>
          <w:lang w:bidi="en-US"/>
        </w:rPr>
        <w:t>près</w:t>
      </w:r>
      <w:r w:rsidRPr="00605771">
        <w:rPr>
          <w:lang w:bidi="en-US"/>
        </w:rPr>
        <w:t xml:space="preserve"> la cour d</w:t>
      </w:r>
      <w:r w:rsidR="00605771" w:rsidRPr="00605771">
        <w:rPr>
          <w:lang w:bidi="en-US"/>
        </w:rPr>
        <w:t>’</w:t>
      </w:r>
      <w:r w:rsidRPr="00605771">
        <w:rPr>
          <w:lang w:bidi="en-US"/>
        </w:rPr>
        <w:t>appel d</w:t>
      </w:r>
      <w:r w:rsidR="00605771" w:rsidRPr="00605771">
        <w:rPr>
          <w:lang w:bidi="en-US"/>
        </w:rPr>
        <w:t>’</w:t>
      </w:r>
      <w:r w:rsidRPr="00605771">
        <w:rPr>
          <w:lang w:bidi="en-US"/>
        </w:rPr>
        <w:t>Athènes</w:t>
      </w:r>
      <w:r w:rsidR="009A0F8C" w:rsidRPr="00605771">
        <w:rPr>
          <w:lang w:bidi="en-US"/>
        </w:rPr>
        <w:t>.</w:t>
      </w:r>
    </w:p>
    <w:p w:rsidR="002C7F5B" w:rsidRPr="00605771" w:rsidRDefault="00676EC2" w:rsidP="00605771">
      <w:pPr>
        <w:pStyle w:val="JuPara"/>
        <w:rPr>
          <w:lang w:bidi="en-US"/>
        </w:rPr>
      </w:pPr>
      <w:r w:rsidRPr="00605771">
        <w:rPr>
          <w:lang w:bidi="en-US"/>
        </w:rPr>
        <w:fldChar w:fldCharType="begin"/>
      </w:r>
      <w:r w:rsidRPr="00605771">
        <w:rPr>
          <w:lang w:bidi="en-US"/>
        </w:rPr>
        <w:instrText xml:space="preserve"> SEQ level0 \*arabic </w:instrText>
      </w:r>
      <w:r w:rsidRPr="00605771">
        <w:rPr>
          <w:lang w:bidi="en-US"/>
        </w:rPr>
        <w:fldChar w:fldCharType="separate"/>
      </w:r>
      <w:r w:rsidR="00605771" w:rsidRPr="00605771">
        <w:rPr>
          <w:noProof/>
          <w:lang w:bidi="en-US"/>
        </w:rPr>
        <w:t>161</w:t>
      </w:r>
      <w:r w:rsidRPr="00605771">
        <w:rPr>
          <w:lang w:bidi="en-US"/>
        </w:rPr>
        <w:fldChar w:fldCharType="end"/>
      </w:r>
      <w:r w:rsidRPr="00605771">
        <w:rPr>
          <w:lang w:bidi="en-US"/>
        </w:rPr>
        <w:t>.  En ce qui concerne la participation des</w:t>
      </w:r>
      <w:r w:rsidR="00407648" w:rsidRPr="00605771">
        <w:rPr>
          <w:lang w:bidi="en-US"/>
        </w:rPr>
        <w:t>dites</w:t>
      </w:r>
      <w:r w:rsidRPr="00605771">
        <w:rPr>
          <w:lang w:bidi="en-US"/>
        </w:rPr>
        <w:t xml:space="preserve"> requérantes à la procédure</w:t>
      </w:r>
      <w:r w:rsidR="00741372" w:rsidRPr="00605771">
        <w:rPr>
          <w:lang w:bidi="en-US"/>
        </w:rPr>
        <w:t xml:space="preserve"> en cause</w:t>
      </w:r>
      <w:r w:rsidRPr="00605771">
        <w:rPr>
          <w:lang w:bidi="en-US"/>
        </w:rPr>
        <w:t xml:space="preserve">, la Cour observe que le 12 décembre 2003 les intéressées se sont présentées à la direction de </w:t>
      </w:r>
      <w:r w:rsidR="005731CC" w:rsidRPr="00605771">
        <w:rPr>
          <w:lang w:bidi="en-US"/>
        </w:rPr>
        <w:t xml:space="preserve">la </w:t>
      </w:r>
      <w:r w:rsidRPr="00605771">
        <w:rPr>
          <w:lang w:bidi="en-US"/>
        </w:rPr>
        <w:t>sécurité de la police d</w:t>
      </w:r>
      <w:r w:rsidR="00605771" w:rsidRPr="00605771">
        <w:rPr>
          <w:lang w:bidi="en-US"/>
        </w:rPr>
        <w:t>’</w:t>
      </w:r>
      <w:r w:rsidRPr="00605771">
        <w:rPr>
          <w:lang w:bidi="en-US"/>
        </w:rPr>
        <w:t xml:space="preserve">Ermoúpolis et </w:t>
      </w:r>
      <w:r w:rsidR="00407648" w:rsidRPr="00605771">
        <w:rPr>
          <w:lang w:bidi="en-US"/>
        </w:rPr>
        <w:t>qu</w:t>
      </w:r>
      <w:r w:rsidR="00605771" w:rsidRPr="00605771">
        <w:rPr>
          <w:lang w:bidi="en-US"/>
        </w:rPr>
        <w:t>’</w:t>
      </w:r>
      <w:r w:rsidRPr="00605771">
        <w:rPr>
          <w:lang w:bidi="en-US"/>
        </w:rPr>
        <w:t xml:space="preserve">elles ont dénoncé </w:t>
      </w:r>
      <w:r w:rsidR="0091763D" w:rsidRPr="00605771">
        <w:rPr>
          <w:lang w:bidi="en-US"/>
        </w:rPr>
        <w:t>les faits d</w:t>
      </w:r>
      <w:r w:rsidR="00605771" w:rsidRPr="00605771">
        <w:rPr>
          <w:lang w:bidi="en-US"/>
        </w:rPr>
        <w:t>’</w:t>
      </w:r>
      <w:r w:rsidR="0091763D" w:rsidRPr="00605771">
        <w:rPr>
          <w:lang w:bidi="en-US"/>
        </w:rPr>
        <w:t>exploitation les concernant</w:t>
      </w:r>
      <w:r w:rsidRPr="00605771">
        <w:rPr>
          <w:lang w:bidi="en-US"/>
        </w:rPr>
        <w:t xml:space="preserve">. </w:t>
      </w:r>
      <w:r w:rsidR="00407648" w:rsidRPr="00605771">
        <w:rPr>
          <w:lang w:bidi="en-US"/>
        </w:rPr>
        <w:t>C</w:t>
      </w:r>
      <w:r w:rsidR="00490C9E" w:rsidRPr="00605771">
        <w:rPr>
          <w:lang w:bidi="en-US"/>
        </w:rPr>
        <w:t>es requérantes</w:t>
      </w:r>
      <w:r w:rsidR="00741372" w:rsidRPr="00605771">
        <w:rPr>
          <w:lang w:bidi="en-US"/>
        </w:rPr>
        <w:t xml:space="preserve"> ont ainsi porté à l</w:t>
      </w:r>
      <w:r w:rsidR="00605771" w:rsidRPr="00605771">
        <w:rPr>
          <w:lang w:bidi="en-US"/>
        </w:rPr>
        <w:t>’</w:t>
      </w:r>
      <w:r w:rsidR="00490C9E" w:rsidRPr="00605771">
        <w:rPr>
          <w:lang w:bidi="en-US"/>
        </w:rPr>
        <w:t>attention des autorités d</w:t>
      </w:r>
      <w:r w:rsidR="00741372" w:rsidRPr="00605771">
        <w:rPr>
          <w:lang w:bidi="en-US"/>
        </w:rPr>
        <w:t>es faits</w:t>
      </w:r>
      <w:r w:rsidR="00766588" w:rsidRPr="00605771">
        <w:rPr>
          <w:lang w:bidi="en-US"/>
        </w:rPr>
        <w:t xml:space="preserve"> qui, de par leur gravité, imposaient à </w:t>
      </w:r>
      <w:r w:rsidR="00407648" w:rsidRPr="00605771">
        <w:rPr>
          <w:lang w:bidi="en-US"/>
        </w:rPr>
        <w:t xml:space="preserve">ces dernières </w:t>
      </w:r>
      <w:r w:rsidR="00741372" w:rsidRPr="00605771">
        <w:rPr>
          <w:lang w:bidi="en-US"/>
        </w:rPr>
        <w:t>d</w:t>
      </w:r>
      <w:r w:rsidR="00A10AE7" w:rsidRPr="00605771">
        <w:rPr>
          <w:lang w:bidi="en-US"/>
        </w:rPr>
        <w:t>e diligenter d</w:t>
      </w:r>
      <w:r w:rsidR="00605771" w:rsidRPr="00605771">
        <w:rPr>
          <w:lang w:bidi="en-US"/>
        </w:rPr>
        <w:t>’</w:t>
      </w:r>
      <w:r w:rsidR="00A10AE7" w:rsidRPr="00605771">
        <w:rPr>
          <w:lang w:bidi="en-US"/>
        </w:rPr>
        <w:t>office</w:t>
      </w:r>
      <w:r w:rsidR="00741372" w:rsidRPr="00605771">
        <w:rPr>
          <w:lang w:bidi="en-US"/>
        </w:rPr>
        <w:t xml:space="preserve"> une procédure pénale</w:t>
      </w:r>
      <w:r w:rsidR="005F32FF" w:rsidRPr="00605771">
        <w:rPr>
          <w:lang w:bidi="en-US"/>
        </w:rPr>
        <w:t xml:space="preserve"> – </w:t>
      </w:r>
      <w:r w:rsidR="00BE6928" w:rsidRPr="00605771">
        <w:rPr>
          <w:lang w:bidi="en-US"/>
        </w:rPr>
        <w:t>ce que lesdites autorités ont</w:t>
      </w:r>
      <w:r w:rsidR="005F32FF" w:rsidRPr="00605771">
        <w:rPr>
          <w:lang w:bidi="en-US"/>
        </w:rPr>
        <w:t xml:space="preserve"> effectivement </w:t>
      </w:r>
      <w:r w:rsidR="00BE6928" w:rsidRPr="00605771">
        <w:rPr>
          <w:lang w:bidi="en-US"/>
        </w:rPr>
        <w:t>fait</w:t>
      </w:r>
      <w:r w:rsidR="00490C9E" w:rsidRPr="00605771">
        <w:rPr>
          <w:lang w:bidi="en-US"/>
        </w:rPr>
        <w:t>. Ainsi,</w:t>
      </w:r>
      <w:r w:rsidR="00741372" w:rsidRPr="00605771">
        <w:rPr>
          <w:lang w:bidi="en-US"/>
        </w:rPr>
        <w:t xml:space="preserve"> l</w:t>
      </w:r>
      <w:r w:rsidR="00407648" w:rsidRPr="00605771">
        <w:rPr>
          <w:lang w:bidi="en-US"/>
        </w:rPr>
        <w:t>a circonstance</w:t>
      </w:r>
      <w:r w:rsidR="00741372" w:rsidRPr="00605771">
        <w:rPr>
          <w:lang w:bidi="en-US"/>
        </w:rPr>
        <w:t xml:space="preserve"> que la </w:t>
      </w:r>
      <w:r w:rsidRPr="00605771">
        <w:rPr>
          <w:lang w:bidi="en-US"/>
        </w:rPr>
        <w:t xml:space="preserve">première requérante </w:t>
      </w:r>
      <w:r w:rsidR="00741372" w:rsidRPr="00605771">
        <w:rPr>
          <w:lang w:bidi="en-US"/>
        </w:rPr>
        <w:t>ne s</w:t>
      </w:r>
      <w:r w:rsidR="00605771" w:rsidRPr="00605771">
        <w:rPr>
          <w:lang w:bidi="en-US"/>
        </w:rPr>
        <w:t>’</w:t>
      </w:r>
      <w:r w:rsidR="00741372" w:rsidRPr="00605771">
        <w:rPr>
          <w:lang w:bidi="en-US"/>
        </w:rPr>
        <w:t xml:space="preserve">est pas constituée partie civile </w:t>
      </w:r>
      <w:r w:rsidR="00AB2281" w:rsidRPr="00605771">
        <w:rPr>
          <w:lang w:bidi="en-US"/>
        </w:rPr>
        <w:t>est-elle sans</w:t>
      </w:r>
      <w:r w:rsidR="00741372" w:rsidRPr="00605771">
        <w:rPr>
          <w:lang w:bidi="en-US"/>
        </w:rPr>
        <w:t xml:space="preserve"> incidence sur l</w:t>
      </w:r>
      <w:r w:rsidR="00605771" w:rsidRPr="00605771">
        <w:rPr>
          <w:lang w:bidi="en-US"/>
        </w:rPr>
        <w:t>’</w:t>
      </w:r>
      <w:r w:rsidR="00741372" w:rsidRPr="00605771">
        <w:rPr>
          <w:lang w:bidi="en-US"/>
        </w:rPr>
        <w:t>affaire.</w:t>
      </w:r>
    </w:p>
    <w:p w:rsidR="007C13B2" w:rsidRPr="00605771" w:rsidRDefault="00F64340" w:rsidP="00605771">
      <w:pPr>
        <w:pStyle w:val="JuPara"/>
        <w:rPr>
          <w:lang w:bidi="en-US"/>
        </w:rPr>
      </w:pPr>
      <w:r w:rsidRPr="00605771">
        <w:rPr>
          <w:lang w:bidi="en-US"/>
        </w:rPr>
        <w:fldChar w:fldCharType="begin"/>
      </w:r>
      <w:r w:rsidRPr="00605771">
        <w:rPr>
          <w:lang w:bidi="en-US"/>
        </w:rPr>
        <w:instrText xml:space="preserve"> SEQ level0 \*arabic </w:instrText>
      </w:r>
      <w:r w:rsidRPr="00605771">
        <w:rPr>
          <w:lang w:bidi="en-US"/>
        </w:rPr>
        <w:fldChar w:fldCharType="separate"/>
      </w:r>
      <w:r w:rsidR="00605771" w:rsidRPr="00605771">
        <w:rPr>
          <w:noProof/>
          <w:lang w:bidi="en-US"/>
        </w:rPr>
        <w:t>162</w:t>
      </w:r>
      <w:r w:rsidRPr="00605771">
        <w:rPr>
          <w:lang w:bidi="en-US"/>
        </w:rPr>
        <w:fldChar w:fldCharType="end"/>
      </w:r>
      <w:r w:rsidR="00F14509" w:rsidRPr="00605771">
        <w:rPr>
          <w:lang w:bidi="en-US"/>
        </w:rPr>
        <w:t>.  </w:t>
      </w:r>
      <w:r w:rsidR="00B46B45" w:rsidRPr="00605771">
        <w:rPr>
          <w:lang w:bidi="en-US"/>
        </w:rPr>
        <w:t>Compte tenu de ce qui précède</w:t>
      </w:r>
      <w:r w:rsidRPr="00605771">
        <w:rPr>
          <w:lang w:bidi="en-US"/>
        </w:rPr>
        <w:t xml:space="preserve">, </w:t>
      </w:r>
      <w:r w:rsidR="00062C5B" w:rsidRPr="00605771">
        <w:rPr>
          <w:lang w:bidi="en-US"/>
        </w:rPr>
        <w:t xml:space="preserve">la Cour juge </w:t>
      </w:r>
      <w:r w:rsidR="00407648" w:rsidRPr="00605771">
        <w:rPr>
          <w:lang w:bidi="en-US"/>
        </w:rPr>
        <w:t>qu</w:t>
      </w:r>
      <w:r w:rsidR="00605771" w:rsidRPr="00605771">
        <w:rPr>
          <w:lang w:bidi="en-US"/>
        </w:rPr>
        <w:t>’</w:t>
      </w:r>
      <w:r w:rsidR="00407648" w:rsidRPr="00605771">
        <w:rPr>
          <w:lang w:bidi="en-US"/>
        </w:rPr>
        <w:t>il n</w:t>
      </w:r>
      <w:r w:rsidR="00605771" w:rsidRPr="00605771">
        <w:rPr>
          <w:lang w:bidi="en-US"/>
        </w:rPr>
        <w:t>’</w:t>
      </w:r>
      <w:r w:rsidR="00407648" w:rsidRPr="00605771">
        <w:rPr>
          <w:lang w:bidi="en-US"/>
        </w:rPr>
        <w:t xml:space="preserve">est </w:t>
      </w:r>
      <w:r w:rsidR="00062C5B" w:rsidRPr="00605771">
        <w:rPr>
          <w:lang w:bidi="en-US"/>
        </w:rPr>
        <w:t xml:space="preserve">pas nécessaire de se prononcer sur les autres </w:t>
      </w:r>
      <w:r w:rsidR="004D691F" w:rsidRPr="00605771">
        <w:rPr>
          <w:lang w:bidi="en-US"/>
        </w:rPr>
        <w:t>carences</w:t>
      </w:r>
      <w:r w:rsidR="00062C5B" w:rsidRPr="00605771">
        <w:rPr>
          <w:lang w:bidi="en-US"/>
        </w:rPr>
        <w:t xml:space="preserve"> alléguées de la procédure en cause. </w:t>
      </w:r>
      <w:r w:rsidR="00742553" w:rsidRPr="00605771">
        <w:rPr>
          <w:lang w:bidi="en-US"/>
        </w:rPr>
        <w:t>En conséquence, compte tenu des éléments exposés ci-dessus, la Cour estime que ces requérantes n</w:t>
      </w:r>
      <w:r w:rsidR="00605771" w:rsidRPr="00605771">
        <w:rPr>
          <w:lang w:bidi="en-US"/>
        </w:rPr>
        <w:t>’</w:t>
      </w:r>
      <w:r w:rsidR="00742553" w:rsidRPr="00605771">
        <w:rPr>
          <w:lang w:bidi="en-US"/>
        </w:rPr>
        <w:t>ont pas bénéficié d</w:t>
      </w:r>
      <w:r w:rsidR="00605771" w:rsidRPr="00605771">
        <w:rPr>
          <w:lang w:bidi="en-US"/>
        </w:rPr>
        <w:t>’</w:t>
      </w:r>
      <w:r w:rsidR="00742553" w:rsidRPr="00605771">
        <w:rPr>
          <w:lang w:bidi="en-US"/>
        </w:rPr>
        <w:t>une enquête effective. Partant, elle conclut à la violation de l</w:t>
      </w:r>
      <w:r w:rsidR="00605771" w:rsidRPr="00605771">
        <w:rPr>
          <w:lang w:bidi="en-US"/>
        </w:rPr>
        <w:t>’</w:t>
      </w:r>
      <w:r w:rsidR="00742553" w:rsidRPr="00605771">
        <w:rPr>
          <w:lang w:bidi="en-US"/>
        </w:rPr>
        <w:t>article 4 de la Convention sous son volet procédural</w:t>
      </w:r>
      <w:r w:rsidR="0029468D" w:rsidRPr="00605771">
        <w:rPr>
          <w:lang w:bidi="en-US"/>
        </w:rPr>
        <w:t xml:space="preserve"> dans le chef de</w:t>
      </w:r>
      <w:r w:rsidR="00D93A2D" w:rsidRPr="00605771">
        <w:rPr>
          <w:lang w:bidi="en-US"/>
        </w:rPr>
        <w:t xml:space="preserve"> ces</w:t>
      </w:r>
      <w:r w:rsidR="0029468D" w:rsidRPr="00605771">
        <w:rPr>
          <w:lang w:bidi="en-US"/>
        </w:rPr>
        <w:t xml:space="preserve"> requérantes</w:t>
      </w:r>
      <w:r w:rsidR="00B46B45" w:rsidRPr="00605771">
        <w:rPr>
          <w:lang w:bidi="en-US"/>
        </w:rPr>
        <w:t>.</w:t>
      </w:r>
    </w:p>
    <w:p w:rsidR="00317A30" w:rsidRPr="00605771" w:rsidRDefault="007E38B9" w:rsidP="00605771">
      <w:pPr>
        <w:pStyle w:val="JuHalpha"/>
        <w:rPr>
          <w:lang w:val="fr-FR"/>
        </w:rPr>
      </w:pPr>
      <w:r w:rsidRPr="00605771">
        <w:rPr>
          <w:lang w:val="fr-FR"/>
        </w:rPr>
        <w:t xml:space="preserve">Quant </w:t>
      </w:r>
      <w:r w:rsidR="00284357" w:rsidRPr="00605771">
        <w:rPr>
          <w:lang w:val="fr-FR"/>
        </w:rPr>
        <w:t>aux</w:t>
      </w:r>
      <w:r w:rsidR="00317A30" w:rsidRPr="00605771">
        <w:rPr>
          <w:lang w:val="fr-FR"/>
        </w:rPr>
        <w:t xml:space="preserve"> procédure</w:t>
      </w:r>
      <w:r w:rsidR="00284357" w:rsidRPr="00605771">
        <w:rPr>
          <w:lang w:val="fr-FR"/>
        </w:rPr>
        <w:t>s</w:t>
      </w:r>
      <w:r w:rsidR="00317A30" w:rsidRPr="00605771">
        <w:rPr>
          <w:lang w:val="fr-FR"/>
        </w:rPr>
        <w:t xml:space="preserve"> </w:t>
      </w:r>
      <w:r w:rsidR="00155686" w:rsidRPr="00605771">
        <w:rPr>
          <w:lang w:val="fr-FR"/>
        </w:rPr>
        <w:t>portant sur</w:t>
      </w:r>
      <w:r w:rsidR="00317A30" w:rsidRPr="00605771">
        <w:rPr>
          <w:lang w:val="fr-FR"/>
        </w:rPr>
        <w:t xml:space="preserve"> la délivrance des visas</w:t>
      </w:r>
    </w:p>
    <w:bookmarkStart w:id="23" w:name="procvisasf"/>
    <w:p w:rsidR="002C7F5B" w:rsidRPr="00605771" w:rsidRDefault="00317A30" w:rsidP="00605771">
      <w:pPr>
        <w:pStyle w:val="JuPara"/>
        <w:rPr>
          <w:lang w:bidi="en-US"/>
        </w:rPr>
      </w:pPr>
      <w:r w:rsidRPr="00605771">
        <w:rPr>
          <w:lang w:bidi="en-US"/>
        </w:rPr>
        <w:fldChar w:fldCharType="begin"/>
      </w:r>
      <w:r w:rsidRPr="00605771">
        <w:rPr>
          <w:lang w:bidi="en-US"/>
        </w:rPr>
        <w:instrText xml:space="preserve"> SEQ level0 \*arabic </w:instrText>
      </w:r>
      <w:r w:rsidRPr="00605771">
        <w:rPr>
          <w:lang w:bidi="en-US"/>
        </w:rPr>
        <w:fldChar w:fldCharType="separate"/>
      </w:r>
      <w:r w:rsidR="00605771" w:rsidRPr="00605771">
        <w:rPr>
          <w:noProof/>
          <w:lang w:bidi="en-US"/>
        </w:rPr>
        <w:t>163</w:t>
      </w:r>
      <w:r w:rsidRPr="00605771">
        <w:rPr>
          <w:lang w:bidi="en-US"/>
        </w:rPr>
        <w:fldChar w:fldCharType="end"/>
      </w:r>
      <w:bookmarkEnd w:id="23"/>
      <w:r w:rsidRPr="00605771">
        <w:rPr>
          <w:lang w:bidi="en-US"/>
        </w:rPr>
        <w:t>.  </w:t>
      </w:r>
      <w:r w:rsidR="00FB3B9C" w:rsidRPr="00605771">
        <w:rPr>
          <w:lang w:bidi="en-US"/>
        </w:rPr>
        <w:t>En premier lieu, l</w:t>
      </w:r>
      <w:r w:rsidR="007F5099" w:rsidRPr="00605771">
        <w:rPr>
          <w:lang w:bidi="en-US"/>
        </w:rPr>
        <w:t xml:space="preserve">a Cour note </w:t>
      </w:r>
      <w:r w:rsidR="00FB3B9C" w:rsidRPr="00605771">
        <w:rPr>
          <w:lang w:bidi="en-US"/>
        </w:rPr>
        <w:t xml:space="preserve">que </w:t>
      </w:r>
      <w:r w:rsidR="007F5099" w:rsidRPr="00605771">
        <w:rPr>
          <w:lang w:bidi="en-US"/>
        </w:rPr>
        <w:t xml:space="preserve">les requérantes ont porté les faits en cause à la connaissance du procureur </w:t>
      </w:r>
      <w:r w:rsidR="000562E6" w:rsidRPr="00605771">
        <w:rPr>
          <w:lang w:bidi="en-US"/>
        </w:rPr>
        <w:t xml:space="preserve">près le tribunal correctionnel </w:t>
      </w:r>
      <w:r w:rsidR="00C0237B" w:rsidRPr="00605771">
        <w:rPr>
          <w:lang w:bidi="en-US"/>
        </w:rPr>
        <w:t>compétent en matière</w:t>
      </w:r>
      <w:r w:rsidR="007F5099" w:rsidRPr="00605771">
        <w:rPr>
          <w:lang w:bidi="en-US"/>
        </w:rPr>
        <w:t xml:space="preserve"> de traite des êtres humains le 26 mai 2005. Toutefois, </w:t>
      </w:r>
      <w:r w:rsidR="007F5099" w:rsidRPr="00605771">
        <w:rPr>
          <w:lang w:bidi="en-US"/>
        </w:rPr>
        <w:lastRenderedPageBreak/>
        <w:t>ce n</w:t>
      </w:r>
      <w:r w:rsidR="00605771" w:rsidRPr="00605771">
        <w:rPr>
          <w:lang w:bidi="en-US"/>
        </w:rPr>
        <w:t>’</w:t>
      </w:r>
      <w:r w:rsidR="00C0237B" w:rsidRPr="00605771">
        <w:rPr>
          <w:lang w:bidi="en-US"/>
        </w:rPr>
        <w:t>est</w:t>
      </w:r>
      <w:r w:rsidR="007F5099" w:rsidRPr="00605771">
        <w:rPr>
          <w:lang w:bidi="en-US"/>
        </w:rPr>
        <w:t xml:space="preserve"> que le 14 février 2006 que l</w:t>
      </w:r>
      <w:r w:rsidR="00605771" w:rsidRPr="00605771">
        <w:rPr>
          <w:lang w:bidi="en-US"/>
        </w:rPr>
        <w:t>’</w:t>
      </w:r>
      <w:r w:rsidR="007F5099" w:rsidRPr="00605771">
        <w:rPr>
          <w:lang w:bidi="en-US"/>
        </w:rPr>
        <w:t>ouverture d</w:t>
      </w:r>
      <w:r w:rsidR="00605771" w:rsidRPr="00605771">
        <w:rPr>
          <w:lang w:bidi="en-US"/>
        </w:rPr>
        <w:t>’</w:t>
      </w:r>
      <w:r w:rsidR="007F5099" w:rsidRPr="00605771">
        <w:rPr>
          <w:lang w:bidi="en-US"/>
        </w:rPr>
        <w:t>une enquête a été ordonnée</w:t>
      </w:r>
      <w:r w:rsidR="009F1EAF" w:rsidRPr="00605771">
        <w:rPr>
          <w:lang w:bidi="en-US"/>
        </w:rPr>
        <w:t>.</w:t>
      </w:r>
    </w:p>
    <w:bookmarkStart w:id="24" w:name="procvisasdurée"/>
    <w:p w:rsidR="002C7F5B" w:rsidRPr="00605771" w:rsidRDefault="008A2B6F" w:rsidP="00605771">
      <w:pPr>
        <w:pStyle w:val="JuPara"/>
        <w:rPr>
          <w:lang w:bidi="en-US"/>
        </w:rPr>
      </w:pPr>
      <w:r w:rsidRPr="00605771">
        <w:rPr>
          <w:lang w:bidi="en-US"/>
        </w:rPr>
        <w:fldChar w:fldCharType="begin"/>
      </w:r>
      <w:r w:rsidRPr="00605771">
        <w:rPr>
          <w:lang w:bidi="en-US"/>
        </w:rPr>
        <w:instrText xml:space="preserve"> SEQ level0 \*arabic </w:instrText>
      </w:r>
      <w:r w:rsidRPr="00605771">
        <w:rPr>
          <w:lang w:bidi="en-US"/>
        </w:rPr>
        <w:fldChar w:fldCharType="separate"/>
      </w:r>
      <w:r w:rsidR="00605771" w:rsidRPr="00605771">
        <w:rPr>
          <w:noProof/>
          <w:lang w:bidi="en-US"/>
        </w:rPr>
        <w:t>164</w:t>
      </w:r>
      <w:r w:rsidRPr="00605771">
        <w:rPr>
          <w:lang w:bidi="en-US"/>
        </w:rPr>
        <w:fldChar w:fldCharType="end"/>
      </w:r>
      <w:bookmarkEnd w:id="24"/>
      <w:r w:rsidRPr="00605771">
        <w:rPr>
          <w:lang w:bidi="en-US"/>
        </w:rPr>
        <w:t>.  En secon</w:t>
      </w:r>
      <w:r w:rsidR="0062170F" w:rsidRPr="00605771">
        <w:rPr>
          <w:lang w:bidi="en-US"/>
        </w:rPr>
        <w:t>d lieu, la Cour observe que la d</w:t>
      </w:r>
      <w:r w:rsidRPr="00605771">
        <w:rPr>
          <w:lang w:bidi="en-US"/>
        </w:rPr>
        <w:t xml:space="preserve">irection de </w:t>
      </w:r>
      <w:r w:rsidR="005731CC" w:rsidRPr="00605771">
        <w:rPr>
          <w:lang w:bidi="en-US"/>
        </w:rPr>
        <w:t xml:space="preserve">la </w:t>
      </w:r>
      <w:r w:rsidRPr="00605771">
        <w:rPr>
          <w:lang w:bidi="en-US"/>
        </w:rPr>
        <w:t>sécurité de la police d</w:t>
      </w:r>
      <w:r w:rsidR="00605771" w:rsidRPr="00605771">
        <w:rPr>
          <w:lang w:bidi="en-US"/>
        </w:rPr>
        <w:t>’</w:t>
      </w:r>
      <w:r w:rsidRPr="00605771">
        <w:rPr>
          <w:lang w:bidi="en-US"/>
        </w:rPr>
        <w:t xml:space="preserve">Athènes </w:t>
      </w:r>
      <w:r w:rsidR="00912942" w:rsidRPr="00605771">
        <w:rPr>
          <w:lang w:bidi="en-US"/>
        </w:rPr>
        <w:t>a renvoyé le dossier de l</w:t>
      </w:r>
      <w:r w:rsidR="00605771" w:rsidRPr="00605771">
        <w:rPr>
          <w:lang w:bidi="en-US"/>
        </w:rPr>
        <w:t>’</w:t>
      </w:r>
      <w:r w:rsidR="00912942" w:rsidRPr="00605771">
        <w:rPr>
          <w:lang w:bidi="en-US"/>
        </w:rPr>
        <w:t>affaire au procureur compétent deux ans et sept mois environ après l</w:t>
      </w:r>
      <w:r w:rsidR="00605771" w:rsidRPr="00605771">
        <w:rPr>
          <w:lang w:bidi="en-US"/>
        </w:rPr>
        <w:t>’</w:t>
      </w:r>
      <w:r w:rsidR="00912942" w:rsidRPr="00605771">
        <w:rPr>
          <w:lang w:bidi="en-US"/>
        </w:rPr>
        <w:t xml:space="preserve">avoir reçu, </w:t>
      </w:r>
      <w:r w:rsidR="00FE5B24" w:rsidRPr="00605771">
        <w:rPr>
          <w:lang w:bidi="en-US"/>
        </w:rPr>
        <w:t>et que</w:t>
      </w:r>
      <w:r w:rsidR="00912942" w:rsidRPr="00605771">
        <w:rPr>
          <w:lang w:bidi="en-US"/>
        </w:rPr>
        <w:t xml:space="preserve"> la phase de l</w:t>
      </w:r>
      <w:r w:rsidR="00605771" w:rsidRPr="00605771">
        <w:rPr>
          <w:lang w:bidi="en-US"/>
        </w:rPr>
        <w:t>’</w:t>
      </w:r>
      <w:r w:rsidR="00912942" w:rsidRPr="00605771">
        <w:rPr>
          <w:lang w:bidi="en-US"/>
        </w:rPr>
        <w:t>enquête préliminaire a duré plus de trois ans. S</w:t>
      </w:r>
      <w:r w:rsidR="00605771" w:rsidRPr="00605771">
        <w:rPr>
          <w:lang w:bidi="en-US"/>
        </w:rPr>
        <w:t>’</w:t>
      </w:r>
      <w:r w:rsidR="00912942" w:rsidRPr="00605771">
        <w:rPr>
          <w:lang w:bidi="en-US"/>
        </w:rPr>
        <w:t>il est vrai que l</w:t>
      </w:r>
      <w:r w:rsidR="00605771" w:rsidRPr="00605771">
        <w:rPr>
          <w:lang w:bidi="en-US"/>
        </w:rPr>
        <w:t>’</w:t>
      </w:r>
      <w:r w:rsidR="00912942" w:rsidRPr="00605771">
        <w:rPr>
          <w:lang w:bidi="en-US"/>
        </w:rPr>
        <w:t xml:space="preserve">enquête en cause présentait une certaine complexité, étant </w:t>
      </w:r>
      <w:r w:rsidR="009D2912" w:rsidRPr="00605771">
        <w:rPr>
          <w:lang w:bidi="en-US"/>
        </w:rPr>
        <w:t xml:space="preserve">donné </w:t>
      </w:r>
      <w:r w:rsidR="00912942" w:rsidRPr="00605771">
        <w:rPr>
          <w:lang w:bidi="en-US"/>
        </w:rPr>
        <w:t xml:space="preserve">notamment </w:t>
      </w:r>
      <w:r w:rsidR="009D2912" w:rsidRPr="00605771">
        <w:rPr>
          <w:lang w:bidi="en-US"/>
        </w:rPr>
        <w:t>le</w:t>
      </w:r>
      <w:r w:rsidR="00912942" w:rsidRPr="00605771">
        <w:rPr>
          <w:lang w:bidi="en-US"/>
        </w:rPr>
        <w:t xml:space="preserve"> fait que plusieurs victimes de </w:t>
      </w:r>
      <w:r w:rsidR="00B0167F" w:rsidRPr="00605771">
        <w:rPr>
          <w:lang w:bidi="en-US"/>
        </w:rPr>
        <w:t xml:space="preserve">la </w:t>
      </w:r>
      <w:r w:rsidR="00912942" w:rsidRPr="00605771">
        <w:rPr>
          <w:lang w:bidi="en-US"/>
        </w:rPr>
        <w:t xml:space="preserve">traite des êtres humains devaient être </w:t>
      </w:r>
      <w:r w:rsidR="00686C5C" w:rsidRPr="00605771">
        <w:rPr>
          <w:lang w:bidi="en-US"/>
        </w:rPr>
        <w:t>entendues</w:t>
      </w:r>
      <w:r w:rsidR="00912942" w:rsidRPr="00605771">
        <w:rPr>
          <w:lang w:bidi="en-US"/>
        </w:rPr>
        <w:t xml:space="preserve"> comme témoins, il n</w:t>
      </w:r>
      <w:r w:rsidR="00605771" w:rsidRPr="00605771">
        <w:rPr>
          <w:lang w:bidi="en-US"/>
        </w:rPr>
        <w:t>’</w:t>
      </w:r>
      <w:r w:rsidR="00912942" w:rsidRPr="00605771">
        <w:rPr>
          <w:lang w:bidi="en-US"/>
        </w:rPr>
        <w:t>en reste pas moins qu</w:t>
      </w:r>
      <w:r w:rsidR="00605771" w:rsidRPr="00605771">
        <w:rPr>
          <w:lang w:bidi="en-US"/>
        </w:rPr>
        <w:t>’</w:t>
      </w:r>
      <w:r w:rsidR="00912942" w:rsidRPr="00605771">
        <w:rPr>
          <w:lang w:bidi="en-US"/>
        </w:rPr>
        <w:t xml:space="preserve">une telle durée </w:t>
      </w:r>
      <w:r w:rsidR="00AC4421" w:rsidRPr="00605771">
        <w:rPr>
          <w:lang w:bidi="en-US"/>
        </w:rPr>
        <w:t>semble de prime abord</w:t>
      </w:r>
      <w:r w:rsidR="00912942" w:rsidRPr="00605771">
        <w:rPr>
          <w:lang w:bidi="en-US"/>
        </w:rPr>
        <w:t xml:space="preserve"> excessive. En effet, comme l</w:t>
      </w:r>
      <w:r w:rsidR="00605771" w:rsidRPr="00605771">
        <w:rPr>
          <w:lang w:bidi="en-US"/>
        </w:rPr>
        <w:t>’</w:t>
      </w:r>
      <w:r w:rsidR="00912942" w:rsidRPr="00605771">
        <w:rPr>
          <w:lang w:bidi="en-US"/>
        </w:rPr>
        <w:t xml:space="preserve">indiquent également les requérantes, </w:t>
      </w:r>
      <w:r w:rsidR="009D2912" w:rsidRPr="00605771">
        <w:rPr>
          <w:lang w:bidi="en-US"/>
        </w:rPr>
        <w:t>à la date du</w:t>
      </w:r>
      <w:r w:rsidR="00912942" w:rsidRPr="00605771">
        <w:rPr>
          <w:lang w:bidi="en-US"/>
        </w:rPr>
        <w:t xml:space="preserve"> 4</w:t>
      </w:r>
      <w:r w:rsidR="0098466B" w:rsidRPr="00605771">
        <w:rPr>
          <w:lang w:bidi="en-US"/>
        </w:rPr>
        <w:t> </w:t>
      </w:r>
      <w:r w:rsidR="00912942" w:rsidRPr="00605771">
        <w:rPr>
          <w:lang w:bidi="en-US"/>
        </w:rPr>
        <w:t>décembre 2009, à laquelle l</w:t>
      </w:r>
      <w:r w:rsidR="00605771" w:rsidRPr="00605771">
        <w:rPr>
          <w:lang w:bidi="en-US"/>
        </w:rPr>
        <w:t>’</w:t>
      </w:r>
      <w:r w:rsidR="00912942" w:rsidRPr="00605771">
        <w:rPr>
          <w:lang w:bidi="en-US"/>
        </w:rPr>
        <w:t xml:space="preserve">enquête préliminaire a été </w:t>
      </w:r>
      <w:r w:rsidR="0098466B" w:rsidRPr="00605771">
        <w:rPr>
          <w:lang w:bidi="en-US"/>
        </w:rPr>
        <w:t>clôturée</w:t>
      </w:r>
      <w:r w:rsidR="00912942" w:rsidRPr="00605771">
        <w:rPr>
          <w:lang w:bidi="en-US"/>
        </w:rPr>
        <w:t>, la partie des infractions concernant la falsification de</w:t>
      </w:r>
      <w:r w:rsidR="009D2912" w:rsidRPr="00605771">
        <w:rPr>
          <w:lang w:bidi="en-US"/>
        </w:rPr>
        <w:t xml:space="preserve"> </w:t>
      </w:r>
      <w:r w:rsidR="00912942" w:rsidRPr="00605771">
        <w:rPr>
          <w:lang w:bidi="en-US"/>
        </w:rPr>
        <w:t>documents et l</w:t>
      </w:r>
      <w:r w:rsidR="00605771" w:rsidRPr="00605771">
        <w:rPr>
          <w:lang w:bidi="en-US"/>
        </w:rPr>
        <w:t>’</w:t>
      </w:r>
      <w:r w:rsidR="00912942" w:rsidRPr="00605771">
        <w:rPr>
          <w:lang w:bidi="en-US"/>
        </w:rPr>
        <w:t xml:space="preserve">usage de faux </w:t>
      </w:r>
      <w:r w:rsidR="009D2912" w:rsidRPr="00605771">
        <w:rPr>
          <w:lang w:bidi="en-US"/>
        </w:rPr>
        <w:t>était</w:t>
      </w:r>
      <w:r w:rsidR="00912942" w:rsidRPr="00605771">
        <w:rPr>
          <w:lang w:bidi="en-US"/>
        </w:rPr>
        <w:t xml:space="preserve"> déjà</w:t>
      </w:r>
      <w:r w:rsidR="009D2912" w:rsidRPr="00605771">
        <w:rPr>
          <w:lang w:bidi="en-US"/>
        </w:rPr>
        <w:t xml:space="preserve"> </w:t>
      </w:r>
      <w:r w:rsidR="00912942" w:rsidRPr="00605771">
        <w:rPr>
          <w:lang w:bidi="en-US"/>
        </w:rPr>
        <w:t>prescrite</w:t>
      </w:r>
      <w:r w:rsidR="00787830" w:rsidRPr="00605771">
        <w:rPr>
          <w:lang w:bidi="en-US"/>
        </w:rPr>
        <w:t xml:space="preserve"> </w:t>
      </w:r>
      <w:r w:rsidR="009C18E7" w:rsidRPr="00605771">
        <w:rPr>
          <w:lang w:bidi="en-US"/>
        </w:rPr>
        <w:t>et le procureur compétent n</w:t>
      </w:r>
      <w:r w:rsidR="00605771" w:rsidRPr="00605771">
        <w:rPr>
          <w:lang w:bidi="en-US"/>
        </w:rPr>
        <w:t>’</w:t>
      </w:r>
      <w:r w:rsidR="009C18E7" w:rsidRPr="00605771">
        <w:rPr>
          <w:lang w:bidi="en-US"/>
        </w:rPr>
        <w:t xml:space="preserve">a pu que le constater </w:t>
      </w:r>
      <w:r w:rsidR="00787830" w:rsidRPr="00605771">
        <w:rPr>
          <w:lang w:bidi="en-US"/>
        </w:rPr>
        <w:t>(paragraphe</w:t>
      </w:r>
      <w:r w:rsidR="00D21D30" w:rsidRPr="00605771">
        <w:rPr>
          <w:lang w:bidi="en-US"/>
        </w:rPr>
        <w:t> </w:t>
      </w:r>
      <w:r w:rsidR="009C18E7" w:rsidRPr="00605771">
        <w:rPr>
          <w:lang w:bidi="en-US"/>
        </w:rPr>
        <w:fldChar w:fldCharType="begin"/>
      </w:r>
      <w:r w:rsidR="009C18E7" w:rsidRPr="00605771">
        <w:rPr>
          <w:lang w:bidi="en-US"/>
        </w:rPr>
        <w:instrText xml:space="preserve"> REF conclusionenquêteprél3 \h </w:instrText>
      </w:r>
      <w:r w:rsidR="001C6DC2" w:rsidRPr="00605771">
        <w:rPr>
          <w:lang w:bidi="en-US"/>
        </w:rPr>
        <w:instrText xml:space="preserve"> \* MERGEFORMAT </w:instrText>
      </w:r>
      <w:r w:rsidR="009C18E7" w:rsidRPr="00605771">
        <w:rPr>
          <w:lang w:bidi="en-US"/>
        </w:rPr>
      </w:r>
      <w:r w:rsidR="009C18E7" w:rsidRPr="00605771">
        <w:rPr>
          <w:lang w:bidi="en-US"/>
        </w:rPr>
        <w:fldChar w:fldCharType="separate"/>
      </w:r>
      <w:r w:rsidR="00605771" w:rsidRPr="00605771">
        <w:rPr>
          <w:noProof/>
        </w:rPr>
        <w:t>80</w:t>
      </w:r>
      <w:r w:rsidR="009C18E7" w:rsidRPr="00605771">
        <w:rPr>
          <w:lang w:bidi="en-US"/>
        </w:rPr>
        <w:fldChar w:fldCharType="end"/>
      </w:r>
      <w:r w:rsidR="009C18E7" w:rsidRPr="00605771">
        <w:rPr>
          <w:lang w:bidi="en-US"/>
        </w:rPr>
        <w:t xml:space="preserve"> </w:t>
      </w:r>
      <w:r w:rsidR="00787830" w:rsidRPr="00605771">
        <w:rPr>
          <w:lang w:bidi="en-US"/>
        </w:rPr>
        <w:t>ci-dessus)</w:t>
      </w:r>
      <w:r w:rsidR="00912942" w:rsidRPr="00605771">
        <w:rPr>
          <w:lang w:bidi="en-US"/>
        </w:rPr>
        <w:t xml:space="preserve">. </w:t>
      </w:r>
      <w:r w:rsidR="0056229E" w:rsidRPr="00605771">
        <w:rPr>
          <w:lang w:bidi="en-US"/>
        </w:rPr>
        <w:t>Quant à la possibilité pour les requérantes de saisir le procureur près la cour d</w:t>
      </w:r>
      <w:r w:rsidR="00605771" w:rsidRPr="00605771">
        <w:rPr>
          <w:lang w:bidi="en-US"/>
        </w:rPr>
        <w:t>’</w:t>
      </w:r>
      <w:r w:rsidR="0056229E" w:rsidRPr="00605771">
        <w:rPr>
          <w:lang w:bidi="en-US"/>
        </w:rPr>
        <w:t xml:space="preserve">appel </w:t>
      </w:r>
      <w:r w:rsidR="009D2912" w:rsidRPr="00605771">
        <w:rPr>
          <w:lang w:bidi="en-US"/>
        </w:rPr>
        <w:t>sur le fondement de</w:t>
      </w:r>
      <w:r w:rsidR="0056229E" w:rsidRPr="00605771">
        <w:rPr>
          <w:lang w:bidi="en-US"/>
        </w:rPr>
        <w:t xml:space="preserve"> l</w:t>
      </w:r>
      <w:r w:rsidR="00605771" w:rsidRPr="00605771">
        <w:rPr>
          <w:lang w:bidi="en-US"/>
        </w:rPr>
        <w:t>’</w:t>
      </w:r>
      <w:r w:rsidR="0056229E" w:rsidRPr="00605771">
        <w:rPr>
          <w:lang w:bidi="en-US"/>
        </w:rPr>
        <w:t xml:space="preserve">article 48 du CPP </w:t>
      </w:r>
      <w:r w:rsidR="00EF75B5" w:rsidRPr="00605771">
        <w:rPr>
          <w:lang w:bidi="en-US"/>
        </w:rPr>
        <w:t xml:space="preserve">à la </w:t>
      </w:r>
      <w:r w:rsidR="0056229E" w:rsidRPr="00605771">
        <w:rPr>
          <w:lang w:bidi="en-US"/>
        </w:rPr>
        <w:t xml:space="preserve">suite </w:t>
      </w:r>
      <w:r w:rsidR="00EF75B5" w:rsidRPr="00605771">
        <w:rPr>
          <w:lang w:bidi="en-US"/>
        </w:rPr>
        <w:t>de</w:t>
      </w:r>
      <w:r w:rsidR="0056229E" w:rsidRPr="00605771">
        <w:rPr>
          <w:lang w:bidi="en-US"/>
        </w:rPr>
        <w:t xml:space="preserve"> </w:t>
      </w:r>
      <w:r w:rsidR="00DD59A9" w:rsidRPr="00605771">
        <w:rPr>
          <w:lang w:bidi="en-US"/>
        </w:rPr>
        <w:t>l</w:t>
      </w:r>
      <w:r w:rsidR="00605771" w:rsidRPr="00605771">
        <w:rPr>
          <w:lang w:bidi="en-US"/>
        </w:rPr>
        <w:t>’</w:t>
      </w:r>
      <w:r w:rsidR="00DD59A9" w:rsidRPr="00605771">
        <w:rPr>
          <w:lang w:bidi="en-US"/>
        </w:rPr>
        <w:t xml:space="preserve">adoption de </w:t>
      </w:r>
      <w:r w:rsidR="0056229E" w:rsidRPr="00605771">
        <w:rPr>
          <w:lang w:bidi="en-US"/>
        </w:rPr>
        <w:t>l</w:t>
      </w:r>
      <w:r w:rsidR="00605771" w:rsidRPr="00605771">
        <w:rPr>
          <w:lang w:bidi="en-US"/>
        </w:rPr>
        <w:t>’</w:t>
      </w:r>
      <w:r w:rsidR="0056229E" w:rsidRPr="00605771">
        <w:rPr>
          <w:lang w:bidi="en-US"/>
        </w:rPr>
        <w:t>ordonnance du 4 décembre 2009, la Cour relève</w:t>
      </w:r>
      <w:r w:rsidR="00EA51A9" w:rsidRPr="00605771">
        <w:rPr>
          <w:lang w:bidi="en-US"/>
        </w:rPr>
        <w:t xml:space="preserve">, </w:t>
      </w:r>
      <w:r w:rsidR="00D21D30" w:rsidRPr="00605771">
        <w:rPr>
          <w:lang w:bidi="en-US"/>
        </w:rPr>
        <w:t>à l</w:t>
      </w:r>
      <w:r w:rsidR="00605771" w:rsidRPr="00605771">
        <w:rPr>
          <w:lang w:bidi="en-US"/>
        </w:rPr>
        <w:t>’</w:t>
      </w:r>
      <w:r w:rsidR="00D21D30" w:rsidRPr="00605771">
        <w:rPr>
          <w:lang w:bidi="en-US"/>
        </w:rPr>
        <w:t>instar du</w:t>
      </w:r>
      <w:r w:rsidR="0056229E" w:rsidRPr="00605771">
        <w:rPr>
          <w:lang w:bidi="en-US"/>
        </w:rPr>
        <w:t xml:space="preserve"> procureur compétent</w:t>
      </w:r>
      <w:r w:rsidR="00EA51A9" w:rsidRPr="00605771">
        <w:rPr>
          <w:lang w:bidi="en-US"/>
        </w:rPr>
        <w:t xml:space="preserve">, </w:t>
      </w:r>
      <w:r w:rsidR="00D21D30" w:rsidRPr="00605771">
        <w:rPr>
          <w:lang w:bidi="en-US"/>
        </w:rPr>
        <w:t>qu</w:t>
      </w:r>
      <w:r w:rsidR="00605771" w:rsidRPr="00605771">
        <w:rPr>
          <w:lang w:bidi="en-US"/>
        </w:rPr>
        <w:t>’</w:t>
      </w:r>
      <w:r w:rsidR="0056229E" w:rsidRPr="00605771">
        <w:rPr>
          <w:lang w:bidi="en-US"/>
        </w:rPr>
        <w:t>une partie des délits</w:t>
      </w:r>
      <w:r w:rsidR="004340A9" w:rsidRPr="00605771">
        <w:rPr>
          <w:lang w:bidi="en-US"/>
        </w:rPr>
        <w:t>, à savoir la falsification de documents et l</w:t>
      </w:r>
      <w:r w:rsidR="00605771" w:rsidRPr="00605771">
        <w:rPr>
          <w:lang w:bidi="en-US"/>
        </w:rPr>
        <w:t>’</w:t>
      </w:r>
      <w:r w:rsidR="004340A9" w:rsidRPr="00605771">
        <w:rPr>
          <w:lang w:bidi="en-US"/>
        </w:rPr>
        <w:t>usage de faux,</w:t>
      </w:r>
      <w:r w:rsidR="0056229E" w:rsidRPr="00605771">
        <w:rPr>
          <w:lang w:bidi="en-US"/>
        </w:rPr>
        <w:t xml:space="preserve"> </w:t>
      </w:r>
      <w:r w:rsidR="007D2496" w:rsidRPr="00605771">
        <w:rPr>
          <w:lang w:bidi="en-US"/>
        </w:rPr>
        <w:t>était</w:t>
      </w:r>
      <w:r w:rsidR="0056229E" w:rsidRPr="00605771">
        <w:rPr>
          <w:lang w:bidi="en-US"/>
        </w:rPr>
        <w:t xml:space="preserve"> déjà prescrite. Il s</w:t>
      </w:r>
      <w:r w:rsidR="00605771" w:rsidRPr="00605771">
        <w:rPr>
          <w:lang w:bidi="en-US"/>
        </w:rPr>
        <w:t>’</w:t>
      </w:r>
      <w:r w:rsidR="0056229E" w:rsidRPr="00605771">
        <w:rPr>
          <w:lang w:bidi="en-US"/>
        </w:rPr>
        <w:t>ensuit qu</w:t>
      </w:r>
      <w:r w:rsidR="00605771" w:rsidRPr="00605771">
        <w:rPr>
          <w:lang w:bidi="en-US"/>
        </w:rPr>
        <w:t>’</w:t>
      </w:r>
      <w:r w:rsidR="0056229E" w:rsidRPr="00605771">
        <w:rPr>
          <w:lang w:bidi="en-US"/>
        </w:rPr>
        <w:t>à ce moment-là la saisine du procureur près la cour d</w:t>
      </w:r>
      <w:r w:rsidR="00605771" w:rsidRPr="00605771">
        <w:rPr>
          <w:lang w:bidi="en-US"/>
        </w:rPr>
        <w:t>’</w:t>
      </w:r>
      <w:r w:rsidR="0056229E" w:rsidRPr="00605771">
        <w:rPr>
          <w:lang w:bidi="en-US"/>
        </w:rPr>
        <w:t>appel n</w:t>
      </w:r>
      <w:r w:rsidR="00605771" w:rsidRPr="00605771">
        <w:rPr>
          <w:lang w:bidi="en-US"/>
        </w:rPr>
        <w:t>’</w:t>
      </w:r>
      <w:r w:rsidR="0056229E" w:rsidRPr="00605771">
        <w:rPr>
          <w:lang w:bidi="en-US"/>
        </w:rPr>
        <w:t>aurait pas</w:t>
      </w:r>
      <w:r w:rsidR="004340A9" w:rsidRPr="00605771">
        <w:rPr>
          <w:lang w:bidi="en-US"/>
        </w:rPr>
        <w:t xml:space="preserve"> </w:t>
      </w:r>
      <w:r w:rsidR="0056229E" w:rsidRPr="00605771">
        <w:rPr>
          <w:lang w:bidi="en-US"/>
        </w:rPr>
        <w:t>modifié la situation</w:t>
      </w:r>
      <w:r w:rsidR="004340A9" w:rsidRPr="00605771">
        <w:rPr>
          <w:lang w:bidi="en-US"/>
        </w:rPr>
        <w:t xml:space="preserve"> </w:t>
      </w:r>
      <w:r w:rsidR="007D2496" w:rsidRPr="00605771">
        <w:rPr>
          <w:lang w:bidi="en-US"/>
        </w:rPr>
        <w:t>pour ce qui est des</w:t>
      </w:r>
      <w:r w:rsidR="004340A9" w:rsidRPr="00605771">
        <w:rPr>
          <w:lang w:bidi="en-US"/>
        </w:rPr>
        <w:t xml:space="preserve"> délits en cause</w:t>
      </w:r>
      <w:r w:rsidR="0056229E" w:rsidRPr="00605771">
        <w:rPr>
          <w:lang w:bidi="en-US"/>
        </w:rPr>
        <w:t xml:space="preserve">. </w:t>
      </w:r>
      <w:r w:rsidR="004E04EB" w:rsidRPr="00605771">
        <w:rPr>
          <w:lang w:bidi="en-US"/>
        </w:rPr>
        <w:t xml:space="preserve">Il en va de même </w:t>
      </w:r>
      <w:r w:rsidR="006A5B8B" w:rsidRPr="00605771">
        <w:rPr>
          <w:lang w:bidi="en-US"/>
        </w:rPr>
        <w:t xml:space="preserve">pour les actes </w:t>
      </w:r>
      <w:r w:rsidR="004E04EB" w:rsidRPr="00605771">
        <w:rPr>
          <w:lang w:bidi="en-US"/>
        </w:rPr>
        <w:t xml:space="preserve">de traite des êtres humains, </w:t>
      </w:r>
      <w:r w:rsidR="007633BF" w:rsidRPr="00605771">
        <w:rPr>
          <w:lang w:bidi="en-US"/>
        </w:rPr>
        <w:t xml:space="preserve">reprochés à </w:t>
      </w:r>
      <w:r w:rsidR="0062170F" w:rsidRPr="00605771">
        <w:rPr>
          <w:lang w:bidi="en-US"/>
        </w:rPr>
        <w:t>E.S. et I.Z.</w:t>
      </w:r>
      <w:r w:rsidR="004E04EB" w:rsidRPr="00605771">
        <w:rPr>
          <w:lang w:bidi="en-US"/>
        </w:rPr>
        <w:t xml:space="preserve">, </w:t>
      </w:r>
      <w:r w:rsidR="00DD59A9" w:rsidRPr="00605771">
        <w:rPr>
          <w:lang w:bidi="en-US"/>
        </w:rPr>
        <w:t xml:space="preserve">dont </w:t>
      </w:r>
      <w:r w:rsidR="00FC53FF" w:rsidRPr="00605771">
        <w:rPr>
          <w:lang w:bidi="en-US"/>
        </w:rPr>
        <w:t xml:space="preserve">la prescription </w:t>
      </w:r>
      <w:r w:rsidR="004340A9" w:rsidRPr="00605771">
        <w:rPr>
          <w:lang w:bidi="en-US"/>
        </w:rPr>
        <w:t>a été constaté</w:t>
      </w:r>
      <w:r w:rsidR="00DD59A9" w:rsidRPr="00605771">
        <w:rPr>
          <w:lang w:bidi="en-US"/>
        </w:rPr>
        <w:t>e</w:t>
      </w:r>
      <w:r w:rsidR="004340A9" w:rsidRPr="00605771">
        <w:rPr>
          <w:lang w:bidi="en-US"/>
        </w:rPr>
        <w:t xml:space="preserve"> le 23 </w:t>
      </w:r>
      <w:r w:rsidR="00FC53FF" w:rsidRPr="00605771">
        <w:rPr>
          <w:lang w:bidi="en-US"/>
        </w:rPr>
        <w:t>février 2016 par la chambre d</w:t>
      </w:r>
      <w:r w:rsidR="00605771" w:rsidRPr="00605771">
        <w:rPr>
          <w:lang w:bidi="en-US"/>
        </w:rPr>
        <w:t>’</w:t>
      </w:r>
      <w:r w:rsidR="00FC53FF" w:rsidRPr="00605771">
        <w:rPr>
          <w:lang w:bidi="en-US"/>
        </w:rPr>
        <w:t>accusation du tribunal correctionnel d</w:t>
      </w:r>
      <w:r w:rsidR="00605771" w:rsidRPr="00605771">
        <w:rPr>
          <w:lang w:bidi="en-US"/>
        </w:rPr>
        <w:t>’</w:t>
      </w:r>
      <w:r w:rsidR="00FC53FF" w:rsidRPr="00605771">
        <w:rPr>
          <w:lang w:bidi="en-US"/>
        </w:rPr>
        <w:t>Athènes (paragraphe</w:t>
      </w:r>
      <w:r w:rsidR="006A5B8B" w:rsidRPr="00605771">
        <w:rPr>
          <w:lang w:bidi="en-US"/>
        </w:rPr>
        <w:t xml:space="preserve"> </w:t>
      </w:r>
      <w:r w:rsidR="006A5B8B" w:rsidRPr="00605771">
        <w:rPr>
          <w:lang w:bidi="en-US"/>
        </w:rPr>
        <w:fldChar w:fldCharType="begin"/>
      </w:r>
      <w:r w:rsidR="006A5B8B" w:rsidRPr="00605771">
        <w:rPr>
          <w:lang w:bidi="en-US"/>
        </w:rPr>
        <w:instrText xml:space="preserve"> REF chambredacc3 \h </w:instrText>
      </w:r>
      <w:r w:rsidR="006A5B8B" w:rsidRPr="00605771">
        <w:rPr>
          <w:lang w:bidi="en-US"/>
        </w:rPr>
      </w:r>
      <w:r w:rsidR="006A5B8B" w:rsidRPr="00605771">
        <w:rPr>
          <w:lang w:bidi="en-US"/>
        </w:rPr>
        <w:fldChar w:fldCharType="separate"/>
      </w:r>
      <w:r w:rsidR="00605771" w:rsidRPr="00605771">
        <w:rPr>
          <w:noProof/>
        </w:rPr>
        <w:t>88</w:t>
      </w:r>
      <w:r w:rsidR="006A5B8B" w:rsidRPr="00605771">
        <w:rPr>
          <w:lang w:bidi="en-US"/>
        </w:rPr>
        <w:fldChar w:fldCharType="end"/>
      </w:r>
      <w:r w:rsidR="00FC53FF" w:rsidRPr="00605771">
        <w:rPr>
          <w:lang w:bidi="en-US"/>
        </w:rPr>
        <w:t xml:space="preserve"> ci-dessus).</w:t>
      </w:r>
      <w:r w:rsidR="006A5B8B" w:rsidRPr="00605771">
        <w:rPr>
          <w:lang w:bidi="en-US"/>
        </w:rPr>
        <w:t xml:space="preserve"> </w:t>
      </w:r>
      <w:r w:rsidR="00402A2A" w:rsidRPr="00605771">
        <w:rPr>
          <w:lang w:bidi="en-US"/>
        </w:rPr>
        <w:t>À cet égard, l</w:t>
      </w:r>
      <w:r w:rsidR="006A5B8B" w:rsidRPr="00605771">
        <w:rPr>
          <w:lang w:bidi="en-US"/>
        </w:rPr>
        <w:t xml:space="preserve">a Cour </w:t>
      </w:r>
      <w:r w:rsidR="00402A2A" w:rsidRPr="00605771">
        <w:rPr>
          <w:lang w:bidi="en-US"/>
        </w:rPr>
        <w:t>souligne</w:t>
      </w:r>
      <w:r w:rsidR="006A5B8B" w:rsidRPr="00605771">
        <w:rPr>
          <w:lang w:bidi="en-US"/>
        </w:rPr>
        <w:t xml:space="preserve"> </w:t>
      </w:r>
      <w:r w:rsidR="00CC76E7" w:rsidRPr="00605771">
        <w:rPr>
          <w:lang w:bidi="en-US"/>
        </w:rPr>
        <w:t>qu</w:t>
      </w:r>
      <w:r w:rsidR="00DD59A9" w:rsidRPr="00605771">
        <w:rPr>
          <w:lang w:bidi="en-US"/>
        </w:rPr>
        <w:t xml:space="preserve">e, </w:t>
      </w:r>
      <w:r w:rsidR="00CC76E7" w:rsidRPr="00605771">
        <w:rPr>
          <w:lang w:bidi="en-US"/>
        </w:rPr>
        <w:t>à l</w:t>
      </w:r>
      <w:r w:rsidR="00605771" w:rsidRPr="00605771">
        <w:rPr>
          <w:lang w:bidi="en-US"/>
        </w:rPr>
        <w:t>’</w:t>
      </w:r>
      <w:r w:rsidR="00CC76E7" w:rsidRPr="00605771">
        <w:rPr>
          <w:lang w:bidi="en-US"/>
        </w:rPr>
        <w:t>époque de</w:t>
      </w:r>
      <w:r w:rsidR="00DD59A9" w:rsidRPr="00605771">
        <w:rPr>
          <w:lang w:bidi="en-US"/>
        </w:rPr>
        <w:t>s</w:t>
      </w:r>
      <w:r w:rsidR="00CC76E7" w:rsidRPr="00605771">
        <w:rPr>
          <w:lang w:bidi="en-US"/>
        </w:rPr>
        <w:t xml:space="preserve"> faits et avant l</w:t>
      </w:r>
      <w:r w:rsidR="00605771" w:rsidRPr="00605771">
        <w:rPr>
          <w:lang w:bidi="en-US"/>
        </w:rPr>
        <w:t>’</w:t>
      </w:r>
      <w:r w:rsidR="00FC5DC8" w:rsidRPr="00605771">
        <w:rPr>
          <w:lang w:bidi="en-US"/>
        </w:rPr>
        <w:t>entrée en vigueur</w:t>
      </w:r>
      <w:r w:rsidR="00CC76E7" w:rsidRPr="00605771">
        <w:rPr>
          <w:lang w:bidi="en-US"/>
        </w:rPr>
        <w:t xml:space="preserve"> de la loi n</w:t>
      </w:r>
      <w:r w:rsidR="00CC76E7" w:rsidRPr="00605771">
        <w:rPr>
          <w:vertAlign w:val="superscript"/>
          <w:lang w:bidi="en-US"/>
        </w:rPr>
        <w:t>o</w:t>
      </w:r>
      <w:r w:rsidR="004340A9" w:rsidRPr="00605771">
        <w:rPr>
          <w:lang w:bidi="en-US"/>
        </w:rPr>
        <w:t> </w:t>
      </w:r>
      <w:r w:rsidR="00CC76E7" w:rsidRPr="00605771">
        <w:rPr>
          <w:lang w:bidi="en-US"/>
        </w:rPr>
        <w:t>3064/2002</w:t>
      </w:r>
      <w:r w:rsidR="00DD59A9" w:rsidRPr="00605771">
        <w:rPr>
          <w:lang w:bidi="en-US"/>
        </w:rPr>
        <w:t>,</w:t>
      </w:r>
      <w:r w:rsidR="00CC76E7" w:rsidRPr="00605771">
        <w:rPr>
          <w:lang w:bidi="en-US"/>
        </w:rPr>
        <w:t xml:space="preserve"> la traite des êtres humains constituait un délit</w:t>
      </w:r>
      <w:r w:rsidR="00B62C2B" w:rsidRPr="00605771">
        <w:rPr>
          <w:lang w:bidi="en-US"/>
        </w:rPr>
        <w:t xml:space="preserve"> (paragraphe </w:t>
      </w:r>
      <w:r w:rsidR="00B62C2B" w:rsidRPr="00605771">
        <w:rPr>
          <w:lang w:bidi="en-US"/>
        </w:rPr>
        <w:fldChar w:fldCharType="begin"/>
      </w:r>
      <w:r w:rsidR="00B62C2B" w:rsidRPr="00605771">
        <w:rPr>
          <w:lang w:bidi="en-US"/>
        </w:rPr>
        <w:instrText xml:space="preserve"> REF CP351avantmodif \h  \* MERGEFORMAT </w:instrText>
      </w:r>
      <w:r w:rsidR="00B62C2B" w:rsidRPr="00605771">
        <w:rPr>
          <w:lang w:bidi="en-US"/>
        </w:rPr>
      </w:r>
      <w:r w:rsidR="00B62C2B" w:rsidRPr="00605771">
        <w:rPr>
          <w:lang w:bidi="en-US"/>
        </w:rPr>
        <w:fldChar w:fldCharType="separate"/>
      </w:r>
      <w:r w:rsidR="00605771" w:rsidRPr="00605771">
        <w:rPr>
          <w:lang w:bidi="en-US"/>
        </w:rPr>
        <w:t>92</w:t>
      </w:r>
      <w:r w:rsidR="00B62C2B" w:rsidRPr="00605771">
        <w:rPr>
          <w:lang w:bidi="en-US"/>
        </w:rPr>
        <w:fldChar w:fldCharType="end"/>
      </w:r>
      <w:r w:rsidR="00B62C2B" w:rsidRPr="00605771">
        <w:rPr>
          <w:lang w:bidi="en-US"/>
        </w:rPr>
        <w:t xml:space="preserve"> ci-dessus)</w:t>
      </w:r>
      <w:r w:rsidR="00CC76E7" w:rsidRPr="00605771">
        <w:rPr>
          <w:lang w:bidi="en-US"/>
        </w:rPr>
        <w:t xml:space="preserve">, </w:t>
      </w:r>
      <w:r w:rsidR="00824342" w:rsidRPr="00605771">
        <w:rPr>
          <w:lang w:bidi="en-US"/>
        </w:rPr>
        <w:t>pour lequel un</w:t>
      </w:r>
      <w:r w:rsidR="00CC76E7" w:rsidRPr="00605771">
        <w:rPr>
          <w:lang w:bidi="en-US"/>
        </w:rPr>
        <w:t xml:space="preserve"> délai de prescription plus court </w:t>
      </w:r>
      <w:r w:rsidR="00824342" w:rsidRPr="00605771">
        <w:rPr>
          <w:lang w:bidi="en-US"/>
        </w:rPr>
        <w:t>était prévu</w:t>
      </w:r>
      <w:r w:rsidR="00751259" w:rsidRPr="00605771">
        <w:rPr>
          <w:lang w:bidi="en-US"/>
        </w:rPr>
        <w:t>.</w:t>
      </w:r>
    </w:p>
    <w:p w:rsidR="002C7F5B" w:rsidRPr="00605771" w:rsidRDefault="00CA45DF" w:rsidP="00605771">
      <w:pPr>
        <w:pStyle w:val="JuPara"/>
        <w:rPr>
          <w:lang w:bidi="en-US"/>
        </w:rPr>
      </w:pPr>
      <w:r w:rsidRPr="00605771">
        <w:rPr>
          <w:lang w:bidi="en-US"/>
        </w:rPr>
        <w:fldChar w:fldCharType="begin"/>
      </w:r>
      <w:r w:rsidRPr="00605771">
        <w:rPr>
          <w:lang w:bidi="en-US"/>
        </w:rPr>
        <w:instrText xml:space="preserve"> SEQ level0 \*arabic </w:instrText>
      </w:r>
      <w:r w:rsidRPr="00605771">
        <w:rPr>
          <w:lang w:bidi="en-US"/>
        </w:rPr>
        <w:fldChar w:fldCharType="separate"/>
      </w:r>
      <w:r w:rsidR="00605771" w:rsidRPr="00605771">
        <w:rPr>
          <w:noProof/>
          <w:lang w:bidi="en-US"/>
        </w:rPr>
        <w:t>165</w:t>
      </w:r>
      <w:r w:rsidRPr="00605771">
        <w:rPr>
          <w:lang w:bidi="en-US"/>
        </w:rPr>
        <w:fldChar w:fldCharType="end"/>
      </w:r>
      <w:r w:rsidRPr="00605771">
        <w:rPr>
          <w:lang w:bidi="en-US"/>
        </w:rPr>
        <w:t>.  </w:t>
      </w:r>
      <w:r w:rsidR="008C2E08" w:rsidRPr="00605771">
        <w:rPr>
          <w:lang w:bidi="en-US"/>
        </w:rPr>
        <w:t>S</w:t>
      </w:r>
      <w:r w:rsidR="002F1814" w:rsidRPr="00605771">
        <w:rPr>
          <w:lang w:bidi="en-US"/>
        </w:rPr>
        <w:t xml:space="preserve">e tournant vers la </w:t>
      </w:r>
      <w:r w:rsidR="00674226" w:rsidRPr="00605771">
        <w:rPr>
          <w:lang w:bidi="en-US"/>
        </w:rPr>
        <w:t xml:space="preserve">question de la </w:t>
      </w:r>
      <w:r w:rsidR="002F1814" w:rsidRPr="00605771">
        <w:rPr>
          <w:lang w:bidi="en-US"/>
        </w:rPr>
        <w:t xml:space="preserve">participation des requérantes à la procédure </w:t>
      </w:r>
      <w:r w:rsidRPr="00605771">
        <w:rPr>
          <w:lang w:bidi="en-US"/>
        </w:rPr>
        <w:t>en </w:t>
      </w:r>
      <w:r w:rsidR="002F1814" w:rsidRPr="00605771">
        <w:rPr>
          <w:lang w:bidi="en-US"/>
        </w:rPr>
        <w:t xml:space="preserve">cause, la Cour </w:t>
      </w:r>
      <w:r w:rsidRPr="00605771">
        <w:rPr>
          <w:lang w:bidi="en-US"/>
        </w:rPr>
        <w:t>note que</w:t>
      </w:r>
      <w:r w:rsidR="00674226" w:rsidRPr="00605771">
        <w:rPr>
          <w:lang w:bidi="en-US"/>
        </w:rPr>
        <w:t>,</w:t>
      </w:r>
      <w:r w:rsidRPr="00605771">
        <w:rPr>
          <w:lang w:bidi="en-US"/>
        </w:rPr>
        <w:t xml:space="preserve"> dans leur</w:t>
      </w:r>
      <w:r w:rsidR="000E187D" w:rsidRPr="00605771">
        <w:rPr>
          <w:lang w:bidi="en-US"/>
        </w:rPr>
        <w:t>s</w:t>
      </w:r>
      <w:r w:rsidRPr="00605771">
        <w:rPr>
          <w:lang w:bidi="en-US"/>
        </w:rPr>
        <w:t xml:space="preserve"> demande</w:t>
      </w:r>
      <w:r w:rsidR="000E187D" w:rsidRPr="00605771">
        <w:rPr>
          <w:lang w:bidi="en-US"/>
        </w:rPr>
        <w:t>s</w:t>
      </w:r>
      <w:r w:rsidRPr="00605771">
        <w:rPr>
          <w:lang w:bidi="en-US"/>
        </w:rPr>
        <w:t xml:space="preserve"> de con</w:t>
      </w:r>
      <w:r w:rsidR="000E187D" w:rsidRPr="00605771">
        <w:rPr>
          <w:lang w:bidi="en-US"/>
        </w:rPr>
        <w:t>stitution de</w:t>
      </w:r>
      <w:r w:rsidR="00267755" w:rsidRPr="00605771">
        <w:rPr>
          <w:lang w:bidi="en-US"/>
        </w:rPr>
        <w:t xml:space="preserve"> </w:t>
      </w:r>
      <w:r w:rsidR="000E187D" w:rsidRPr="00605771">
        <w:rPr>
          <w:lang w:bidi="en-US"/>
        </w:rPr>
        <w:t>partie civile du 16</w:t>
      </w:r>
      <w:r w:rsidRPr="00605771">
        <w:rPr>
          <w:lang w:bidi="en-US"/>
        </w:rPr>
        <w:t xml:space="preserve"> mai 2006, les intéressées avaient déclaré</w:t>
      </w:r>
      <w:r w:rsidR="002C7F5B" w:rsidRPr="00605771">
        <w:rPr>
          <w:lang w:bidi="en-US"/>
        </w:rPr>
        <w:t xml:space="preserve"> </w:t>
      </w:r>
      <w:r w:rsidRPr="00605771">
        <w:rPr>
          <w:lang w:bidi="en-US"/>
        </w:rPr>
        <w:t>l</w:t>
      </w:r>
      <w:r w:rsidR="00605771" w:rsidRPr="00605771">
        <w:rPr>
          <w:lang w:bidi="en-US"/>
        </w:rPr>
        <w:t>’</w:t>
      </w:r>
      <w:r w:rsidRPr="00605771">
        <w:rPr>
          <w:lang w:bidi="en-US"/>
        </w:rPr>
        <w:t>adresse </w:t>
      </w:r>
      <w:r w:rsidR="00674226" w:rsidRPr="00605771">
        <w:rPr>
          <w:lang w:bidi="en-US"/>
        </w:rPr>
        <w:t>« </w:t>
      </w:r>
      <w:r w:rsidRPr="00605771">
        <w:rPr>
          <w:lang w:bidi="en-US"/>
        </w:rPr>
        <w:t>Konstantinoupoleos 82</w:t>
      </w:r>
      <w:r w:rsidR="00674226" w:rsidRPr="00605771">
        <w:rPr>
          <w:lang w:bidi="en-US"/>
        </w:rPr>
        <w:t>,</w:t>
      </w:r>
      <w:r w:rsidRPr="00605771">
        <w:rPr>
          <w:lang w:bidi="en-US"/>
        </w:rPr>
        <w:t xml:space="preserve"> Athènes</w:t>
      </w:r>
      <w:r w:rsidR="00674226" w:rsidRPr="00605771">
        <w:rPr>
          <w:lang w:bidi="en-US"/>
        </w:rPr>
        <w:t> »</w:t>
      </w:r>
      <w:r w:rsidRPr="00605771">
        <w:rPr>
          <w:lang w:bidi="en-US"/>
        </w:rPr>
        <w:t xml:space="preserve"> comme </w:t>
      </w:r>
      <w:r w:rsidR="00674226" w:rsidRPr="00605771">
        <w:rPr>
          <w:lang w:bidi="en-US"/>
        </w:rPr>
        <w:t xml:space="preserve">étant celle de </w:t>
      </w:r>
      <w:r w:rsidRPr="00605771">
        <w:rPr>
          <w:lang w:bidi="en-US"/>
        </w:rPr>
        <w:t>leur dom</w:t>
      </w:r>
      <w:r w:rsidR="00767278" w:rsidRPr="00605771">
        <w:rPr>
          <w:lang w:bidi="en-US"/>
        </w:rPr>
        <w:t xml:space="preserve">icile. </w:t>
      </w:r>
      <w:r w:rsidR="00674226" w:rsidRPr="00605771">
        <w:rPr>
          <w:lang w:bidi="en-US"/>
        </w:rPr>
        <w:t>Elle</w:t>
      </w:r>
      <w:r w:rsidR="00767278" w:rsidRPr="00605771">
        <w:rPr>
          <w:lang w:bidi="en-US"/>
        </w:rPr>
        <w:t xml:space="preserve"> observe </w:t>
      </w:r>
      <w:r w:rsidR="00AD34D8" w:rsidRPr="00605771">
        <w:rPr>
          <w:lang w:bidi="en-US"/>
        </w:rPr>
        <w:t xml:space="preserve">en outre </w:t>
      </w:r>
      <w:r w:rsidR="00767278" w:rsidRPr="00605771">
        <w:rPr>
          <w:lang w:bidi="en-US"/>
        </w:rPr>
        <w:t>que le 23</w:t>
      </w:r>
      <w:r w:rsidRPr="00605771">
        <w:rPr>
          <w:lang w:bidi="en-US"/>
        </w:rPr>
        <w:t xml:space="preserve"> septembre 2015 le juge d</w:t>
      </w:r>
      <w:r w:rsidR="00605771" w:rsidRPr="00605771">
        <w:rPr>
          <w:lang w:bidi="en-US"/>
        </w:rPr>
        <w:t>’</w:t>
      </w:r>
      <w:r w:rsidRPr="00605771">
        <w:rPr>
          <w:lang w:bidi="en-US"/>
        </w:rPr>
        <w:t>instruction s</w:t>
      </w:r>
      <w:r w:rsidR="00605771" w:rsidRPr="00605771">
        <w:rPr>
          <w:lang w:bidi="en-US"/>
        </w:rPr>
        <w:t>’</w:t>
      </w:r>
      <w:r w:rsidRPr="00605771">
        <w:rPr>
          <w:lang w:bidi="en-US"/>
        </w:rPr>
        <w:t xml:space="preserve">est adressé </w:t>
      </w:r>
      <w:r w:rsidR="00767278" w:rsidRPr="00605771">
        <w:rPr>
          <w:lang w:bidi="en-US"/>
        </w:rPr>
        <w:t>au département des étrangers de l</w:t>
      </w:r>
      <w:r w:rsidR="00605771" w:rsidRPr="00605771">
        <w:rPr>
          <w:lang w:bidi="en-US"/>
        </w:rPr>
        <w:t>’</w:t>
      </w:r>
      <w:r w:rsidR="00767278" w:rsidRPr="00605771">
        <w:rPr>
          <w:lang w:bidi="en-US"/>
        </w:rPr>
        <w:t>Attique afin d</w:t>
      </w:r>
      <w:r w:rsidR="00605771" w:rsidRPr="00605771">
        <w:rPr>
          <w:lang w:bidi="en-US"/>
        </w:rPr>
        <w:t>’</w:t>
      </w:r>
      <w:r w:rsidR="00674226" w:rsidRPr="00605771">
        <w:rPr>
          <w:lang w:bidi="en-US"/>
        </w:rPr>
        <w:t>obtenir des informations sur les adresses des requérantes, en vue de la notification à ces dernières de convocations à témoigner.</w:t>
      </w:r>
      <w:r w:rsidR="00767278" w:rsidRPr="00605771">
        <w:rPr>
          <w:lang w:bidi="en-US"/>
        </w:rPr>
        <w:t xml:space="preserve"> </w:t>
      </w:r>
      <w:r w:rsidR="006E2C2D" w:rsidRPr="00605771">
        <w:rPr>
          <w:lang w:bidi="en-US"/>
        </w:rPr>
        <w:t>Par la suite, différents services ont fait parvenir au juge d</w:t>
      </w:r>
      <w:r w:rsidR="00605771" w:rsidRPr="00605771">
        <w:rPr>
          <w:lang w:bidi="en-US"/>
        </w:rPr>
        <w:t>’</w:t>
      </w:r>
      <w:r w:rsidR="006E2C2D" w:rsidRPr="00605771">
        <w:rPr>
          <w:lang w:bidi="en-US"/>
        </w:rPr>
        <w:t xml:space="preserve">instruction des adresses </w:t>
      </w:r>
      <w:r w:rsidR="00674226" w:rsidRPr="00605771">
        <w:rPr>
          <w:lang w:bidi="en-US"/>
        </w:rPr>
        <w:t xml:space="preserve">censées être celles </w:t>
      </w:r>
      <w:r w:rsidR="006E2C2D" w:rsidRPr="00605771">
        <w:rPr>
          <w:lang w:bidi="en-US"/>
        </w:rPr>
        <w:t>des intéressées, telles qu</w:t>
      </w:r>
      <w:r w:rsidR="00605771" w:rsidRPr="00605771">
        <w:rPr>
          <w:lang w:bidi="en-US"/>
        </w:rPr>
        <w:t>’</w:t>
      </w:r>
      <w:r w:rsidR="006E2C2D" w:rsidRPr="00605771">
        <w:rPr>
          <w:lang w:bidi="en-US"/>
        </w:rPr>
        <w:t xml:space="preserve">elles ressortaient </w:t>
      </w:r>
      <w:r w:rsidR="00B84F1B" w:rsidRPr="00605771">
        <w:rPr>
          <w:lang w:bidi="en-US"/>
        </w:rPr>
        <w:t>des dossiers respectifs</w:t>
      </w:r>
      <w:r w:rsidR="00674226" w:rsidRPr="00605771">
        <w:rPr>
          <w:lang w:bidi="en-US"/>
        </w:rPr>
        <w:t xml:space="preserve"> de ces dernières</w:t>
      </w:r>
      <w:r w:rsidR="00B84F1B" w:rsidRPr="00605771">
        <w:rPr>
          <w:lang w:bidi="en-US"/>
        </w:rPr>
        <w:t>. Or</w:t>
      </w:r>
      <w:r w:rsidR="00674226" w:rsidRPr="00605771">
        <w:rPr>
          <w:lang w:bidi="en-US"/>
        </w:rPr>
        <w:t xml:space="preserve">, </w:t>
      </w:r>
      <w:r w:rsidR="00F0580E" w:rsidRPr="00605771">
        <w:rPr>
          <w:lang w:bidi="en-US"/>
        </w:rPr>
        <w:t>à l</w:t>
      </w:r>
      <w:r w:rsidR="00605771" w:rsidRPr="00605771">
        <w:rPr>
          <w:lang w:bidi="en-US"/>
        </w:rPr>
        <w:t>’</w:t>
      </w:r>
      <w:r w:rsidR="00F0580E" w:rsidRPr="00605771">
        <w:rPr>
          <w:lang w:bidi="en-US"/>
        </w:rPr>
        <w:t>exception de</w:t>
      </w:r>
      <w:r w:rsidR="00674226" w:rsidRPr="00605771">
        <w:rPr>
          <w:lang w:bidi="en-US"/>
        </w:rPr>
        <w:t xml:space="preserve"> l</w:t>
      </w:r>
      <w:r w:rsidR="00605771" w:rsidRPr="00605771">
        <w:rPr>
          <w:lang w:bidi="en-US"/>
        </w:rPr>
        <w:t>’</w:t>
      </w:r>
      <w:r w:rsidR="00674226" w:rsidRPr="00605771">
        <w:rPr>
          <w:lang w:bidi="en-US"/>
        </w:rPr>
        <w:t>une d</w:t>
      </w:r>
      <w:r w:rsidR="00605771" w:rsidRPr="00605771">
        <w:rPr>
          <w:lang w:bidi="en-US"/>
        </w:rPr>
        <w:t>’</w:t>
      </w:r>
      <w:r w:rsidR="00674226" w:rsidRPr="00605771">
        <w:rPr>
          <w:lang w:bidi="en-US"/>
        </w:rPr>
        <w:t>entre elles,</w:t>
      </w:r>
      <w:r w:rsidR="00B84F1B" w:rsidRPr="00605771">
        <w:rPr>
          <w:lang w:bidi="en-US"/>
        </w:rPr>
        <w:t xml:space="preserve"> </w:t>
      </w:r>
      <w:r w:rsidR="00FF5FBB" w:rsidRPr="00605771">
        <w:rPr>
          <w:lang w:bidi="en-US"/>
        </w:rPr>
        <w:t xml:space="preserve">toutes </w:t>
      </w:r>
      <w:r w:rsidR="00674226" w:rsidRPr="00605771">
        <w:rPr>
          <w:lang w:bidi="en-US"/>
        </w:rPr>
        <w:t>les</w:t>
      </w:r>
      <w:r w:rsidR="00B84F1B" w:rsidRPr="00605771">
        <w:rPr>
          <w:lang w:bidi="en-US"/>
        </w:rPr>
        <w:t xml:space="preserve"> tentatives de notific</w:t>
      </w:r>
      <w:r w:rsidR="0062170F" w:rsidRPr="00605771">
        <w:rPr>
          <w:lang w:bidi="en-US"/>
        </w:rPr>
        <w:t xml:space="preserve">ation des convocations </w:t>
      </w:r>
      <w:r w:rsidR="00B84F1B" w:rsidRPr="00605771">
        <w:rPr>
          <w:lang w:bidi="en-US"/>
        </w:rPr>
        <w:t>ont échoué, les requérantes n</w:t>
      </w:r>
      <w:r w:rsidR="00605771" w:rsidRPr="00605771">
        <w:rPr>
          <w:lang w:bidi="en-US"/>
        </w:rPr>
        <w:t>’</w:t>
      </w:r>
      <w:r w:rsidR="00B84F1B" w:rsidRPr="00605771">
        <w:rPr>
          <w:lang w:bidi="en-US"/>
        </w:rPr>
        <w:t xml:space="preserve">étant pas connues aux adresses en cause. </w:t>
      </w:r>
      <w:r w:rsidR="00FF5FBB" w:rsidRPr="00605771">
        <w:rPr>
          <w:lang w:bidi="en-US"/>
        </w:rPr>
        <w:t>Si l</w:t>
      </w:r>
      <w:r w:rsidR="00605771" w:rsidRPr="00605771">
        <w:rPr>
          <w:lang w:bidi="en-US"/>
        </w:rPr>
        <w:t>’</w:t>
      </w:r>
      <w:r w:rsidR="00FF5FBB" w:rsidRPr="00605771">
        <w:rPr>
          <w:lang w:bidi="en-US"/>
        </w:rPr>
        <w:t>on ne peut pas considérer que le juge d</w:t>
      </w:r>
      <w:r w:rsidR="00605771" w:rsidRPr="00605771">
        <w:rPr>
          <w:lang w:bidi="en-US"/>
        </w:rPr>
        <w:t>’</w:t>
      </w:r>
      <w:r w:rsidR="00FF5FBB" w:rsidRPr="00605771">
        <w:rPr>
          <w:lang w:bidi="en-US"/>
        </w:rPr>
        <w:t>instruction</w:t>
      </w:r>
      <w:r w:rsidR="00674226" w:rsidRPr="00605771">
        <w:rPr>
          <w:lang w:bidi="en-US"/>
        </w:rPr>
        <w:t xml:space="preserve"> – qui</w:t>
      </w:r>
      <w:r w:rsidR="001B6CA8" w:rsidRPr="00605771">
        <w:rPr>
          <w:lang w:bidi="en-US"/>
        </w:rPr>
        <w:t xml:space="preserve"> a </w:t>
      </w:r>
      <w:r w:rsidR="00674226" w:rsidRPr="00605771">
        <w:rPr>
          <w:lang w:bidi="en-US"/>
        </w:rPr>
        <w:t>effectivement</w:t>
      </w:r>
      <w:r w:rsidR="00FF5FBB" w:rsidRPr="00605771">
        <w:rPr>
          <w:lang w:bidi="en-US"/>
        </w:rPr>
        <w:t xml:space="preserve"> essayé de retrouver les requérantes</w:t>
      </w:r>
      <w:r w:rsidR="00674226" w:rsidRPr="00605771">
        <w:rPr>
          <w:lang w:bidi="en-US"/>
        </w:rPr>
        <w:t xml:space="preserve"> – est resté inactif</w:t>
      </w:r>
      <w:r w:rsidR="00FF5FBB" w:rsidRPr="00605771">
        <w:rPr>
          <w:lang w:bidi="en-US"/>
        </w:rPr>
        <w:t>, rien n</w:t>
      </w:r>
      <w:r w:rsidR="00605771" w:rsidRPr="00605771">
        <w:rPr>
          <w:lang w:bidi="en-US"/>
        </w:rPr>
        <w:t>’</w:t>
      </w:r>
      <w:r w:rsidR="00FF5FBB" w:rsidRPr="00605771">
        <w:rPr>
          <w:lang w:bidi="en-US"/>
        </w:rPr>
        <w:t>explique pourquoi les intéressé</w:t>
      </w:r>
      <w:r w:rsidR="00674226" w:rsidRPr="00605771">
        <w:rPr>
          <w:lang w:bidi="en-US"/>
        </w:rPr>
        <w:t>e</w:t>
      </w:r>
      <w:r w:rsidR="00FF5FBB" w:rsidRPr="00605771">
        <w:rPr>
          <w:lang w:bidi="en-US"/>
        </w:rPr>
        <w:t>s n</w:t>
      </w:r>
      <w:r w:rsidR="00605771" w:rsidRPr="00605771">
        <w:rPr>
          <w:lang w:bidi="en-US"/>
        </w:rPr>
        <w:t>’</w:t>
      </w:r>
      <w:r w:rsidR="00FF5FBB" w:rsidRPr="00605771">
        <w:rPr>
          <w:lang w:bidi="en-US"/>
        </w:rPr>
        <w:t>ont pas été recherchées à l</w:t>
      </w:r>
      <w:r w:rsidR="00605771" w:rsidRPr="00605771">
        <w:rPr>
          <w:lang w:bidi="en-US"/>
        </w:rPr>
        <w:t>’</w:t>
      </w:r>
      <w:r w:rsidR="00FF5FBB" w:rsidRPr="00605771">
        <w:rPr>
          <w:lang w:bidi="en-US"/>
        </w:rPr>
        <w:t xml:space="preserve">adresse déclarée par elles </w:t>
      </w:r>
      <w:r w:rsidR="00267755" w:rsidRPr="00605771">
        <w:rPr>
          <w:lang w:bidi="en-US"/>
        </w:rPr>
        <w:t xml:space="preserve">dans </w:t>
      </w:r>
      <w:r w:rsidR="00FF5FBB" w:rsidRPr="00605771">
        <w:rPr>
          <w:lang w:bidi="en-US"/>
        </w:rPr>
        <w:t>leur</w:t>
      </w:r>
      <w:r w:rsidR="00267755" w:rsidRPr="00605771">
        <w:rPr>
          <w:lang w:bidi="en-US"/>
        </w:rPr>
        <w:t>s</w:t>
      </w:r>
      <w:r w:rsidR="00FF5FBB" w:rsidRPr="00605771">
        <w:rPr>
          <w:lang w:bidi="en-US"/>
        </w:rPr>
        <w:t xml:space="preserve"> demande</w:t>
      </w:r>
      <w:r w:rsidR="00267755" w:rsidRPr="00605771">
        <w:rPr>
          <w:lang w:bidi="en-US"/>
        </w:rPr>
        <w:t>s</w:t>
      </w:r>
      <w:r w:rsidR="00FF5FBB" w:rsidRPr="00605771">
        <w:rPr>
          <w:lang w:bidi="en-US"/>
        </w:rPr>
        <w:t xml:space="preserve"> de constitution de parti</w:t>
      </w:r>
      <w:r w:rsidR="00413A77" w:rsidRPr="00605771">
        <w:rPr>
          <w:lang w:bidi="en-US"/>
        </w:rPr>
        <w:t>e</w:t>
      </w:r>
      <w:r w:rsidR="00FF5FBB" w:rsidRPr="00605771">
        <w:rPr>
          <w:lang w:bidi="en-US"/>
        </w:rPr>
        <w:t xml:space="preserve"> civile. </w:t>
      </w:r>
      <w:r w:rsidR="000C573D" w:rsidRPr="00605771">
        <w:rPr>
          <w:lang w:bidi="en-US"/>
        </w:rPr>
        <w:t>La Cour relève en outre que</w:t>
      </w:r>
      <w:r w:rsidR="00674226" w:rsidRPr="00605771">
        <w:rPr>
          <w:lang w:bidi="en-US"/>
        </w:rPr>
        <w:t>,</w:t>
      </w:r>
      <w:r w:rsidR="000C573D" w:rsidRPr="00605771">
        <w:rPr>
          <w:lang w:bidi="en-US"/>
        </w:rPr>
        <w:t xml:space="preserve"> </w:t>
      </w:r>
      <w:r w:rsidR="00AD34D8" w:rsidRPr="00605771">
        <w:rPr>
          <w:lang w:bidi="en-US"/>
        </w:rPr>
        <w:t xml:space="preserve">si les autorités </w:t>
      </w:r>
      <w:r w:rsidR="00AD34D8" w:rsidRPr="00605771">
        <w:rPr>
          <w:lang w:bidi="en-US"/>
        </w:rPr>
        <w:lastRenderedPageBreak/>
        <w:t xml:space="preserve">compétentes ont </w:t>
      </w:r>
      <w:r w:rsidR="00AD1DC2" w:rsidRPr="00605771">
        <w:rPr>
          <w:lang w:bidi="en-US"/>
        </w:rPr>
        <w:t xml:space="preserve">bien </w:t>
      </w:r>
      <w:r w:rsidR="00AD34D8" w:rsidRPr="00605771">
        <w:rPr>
          <w:lang w:bidi="en-US"/>
        </w:rPr>
        <w:t>recherché la première requérante à l</w:t>
      </w:r>
      <w:r w:rsidR="00605771" w:rsidRPr="00605771">
        <w:rPr>
          <w:lang w:bidi="en-US"/>
        </w:rPr>
        <w:t>’</w:t>
      </w:r>
      <w:r w:rsidR="00AD34D8" w:rsidRPr="00605771">
        <w:rPr>
          <w:lang w:bidi="en-US"/>
        </w:rPr>
        <w:t>adresse « Konstantinoupoleos 82 », cette recherche a été effectuée à A</w:t>
      </w:r>
      <w:r w:rsidR="00674226" w:rsidRPr="00605771">
        <w:rPr>
          <w:lang w:bidi="en-US"/>
        </w:rPr>
        <w:t>i</w:t>
      </w:r>
      <w:r w:rsidR="00AD34D8" w:rsidRPr="00605771">
        <w:rPr>
          <w:lang w:bidi="en-US"/>
        </w:rPr>
        <w:t>galeo et non pas à Athènes.</w:t>
      </w:r>
    </w:p>
    <w:p w:rsidR="002C7F5B" w:rsidRPr="00605771" w:rsidRDefault="00A564D6" w:rsidP="00605771">
      <w:pPr>
        <w:pStyle w:val="JuPara"/>
        <w:rPr>
          <w:lang w:bidi="en-US"/>
        </w:rPr>
      </w:pPr>
      <w:r w:rsidRPr="00605771">
        <w:rPr>
          <w:lang w:bidi="en-US"/>
        </w:rPr>
        <w:fldChar w:fldCharType="begin"/>
      </w:r>
      <w:r w:rsidRPr="00605771">
        <w:rPr>
          <w:lang w:bidi="en-US"/>
        </w:rPr>
        <w:instrText xml:space="preserve"> SEQ level0 \*arabic </w:instrText>
      </w:r>
      <w:r w:rsidRPr="00605771">
        <w:rPr>
          <w:lang w:bidi="en-US"/>
        </w:rPr>
        <w:fldChar w:fldCharType="separate"/>
      </w:r>
      <w:r w:rsidR="00605771" w:rsidRPr="00605771">
        <w:rPr>
          <w:noProof/>
          <w:lang w:bidi="en-US"/>
        </w:rPr>
        <w:t>166</w:t>
      </w:r>
      <w:r w:rsidRPr="00605771">
        <w:rPr>
          <w:lang w:bidi="en-US"/>
        </w:rPr>
        <w:fldChar w:fldCharType="end"/>
      </w:r>
      <w:r w:rsidRPr="00605771">
        <w:rPr>
          <w:lang w:bidi="en-US"/>
        </w:rPr>
        <w:t>.  </w:t>
      </w:r>
      <w:r w:rsidR="001C7257" w:rsidRPr="00605771">
        <w:rPr>
          <w:lang w:bidi="en-US"/>
        </w:rPr>
        <w:t>La Cour ne saurait se substituer aux juridictions internes et se prononcer sur le point de savoir</w:t>
      </w:r>
      <w:r w:rsidR="00A93869" w:rsidRPr="00605771">
        <w:rPr>
          <w:lang w:bidi="en-US"/>
        </w:rPr>
        <w:t xml:space="preserve"> si les autorités compétentes auraient</w:t>
      </w:r>
      <w:r w:rsidR="001C7257" w:rsidRPr="00605771">
        <w:rPr>
          <w:lang w:bidi="en-US"/>
        </w:rPr>
        <w:t xml:space="preserve"> dû </w:t>
      </w:r>
      <w:r w:rsidR="00A93869" w:rsidRPr="00605771">
        <w:rPr>
          <w:lang w:bidi="en-US"/>
        </w:rPr>
        <w:t xml:space="preserve">ou </w:t>
      </w:r>
      <w:r w:rsidR="00303D82" w:rsidRPr="00605771">
        <w:rPr>
          <w:lang w:bidi="en-US"/>
        </w:rPr>
        <w:t>non</w:t>
      </w:r>
      <w:r w:rsidR="00A93869" w:rsidRPr="00605771">
        <w:rPr>
          <w:lang w:bidi="en-US"/>
        </w:rPr>
        <w:t xml:space="preserve"> </w:t>
      </w:r>
      <w:r w:rsidR="001C7257" w:rsidRPr="00605771">
        <w:rPr>
          <w:lang w:bidi="en-US"/>
        </w:rPr>
        <w:t xml:space="preserve">délivrer des visas aux requérantes. Elle peut uniquement constater que, </w:t>
      </w:r>
      <w:r w:rsidR="006F1E4B" w:rsidRPr="00605771">
        <w:rPr>
          <w:lang w:bidi="en-US"/>
        </w:rPr>
        <w:t>au vu de</w:t>
      </w:r>
      <w:r w:rsidR="001C7257" w:rsidRPr="00605771">
        <w:rPr>
          <w:lang w:bidi="en-US"/>
        </w:rPr>
        <w:t xml:space="preserve"> </w:t>
      </w:r>
      <w:r w:rsidR="0016006B" w:rsidRPr="00605771">
        <w:rPr>
          <w:lang w:bidi="en-US"/>
        </w:rPr>
        <w:t xml:space="preserve">ce </w:t>
      </w:r>
      <w:r w:rsidR="001C7257" w:rsidRPr="00605771">
        <w:rPr>
          <w:lang w:bidi="en-US"/>
        </w:rPr>
        <w:t>qui précède,</w:t>
      </w:r>
      <w:r w:rsidR="00A0651A" w:rsidRPr="00605771">
        <w:rPr>
          <w:lang w:bidi="en-US"/>
        </w:rPr>
        <w:t xml:space="preserve"> et </w:t>
      </w:r>
      <w:r w:rsidR="006F1E4B" w:rsidRPr="00605771">
        <w:rPr>
          <w:lang w:bidi="en-US"/>
        </w:rPr>
        <w:t xml:space="preserve">eu égard </w:t>
      </w:r>
      <w:r w:rsidR="00A0651A" w:rsidRPr="00605771">
        <w:rPr>
          <w:lang w:bidi="en-US"/>
        </w:rPr>
        <w:t xml:space="preserve">notamment </w:t>
      </w:r>
      <w:r w:rsidR="00303D82" w:rsidRPr="00605771">
        <w:rPr>
          <w:lang w:bidi="en-US"/>
        </w:rPr>
        <w:t>aux</w:t>
      </w:r>
      <w:r w:rsidR="00A0651A" w:rsidRPr="00605771">
        <w:rPr>
          <w:lang w:bidi="en-US"/>
        </w:rPr>
        <w:t xml:space="preserve"> informations disponibles sur le phénomène de la traite </w:t>
      </w:r>
      <w:r w:rsidR="00303D82" w:rsidRPr="00605771">
        <w:rPr>
          <w:lang w:bidi="en-US"/>
        </w:rPr>
        <w:t xml:space="preserve">des êtres humains </w:t>
      </w:r>
      <w:r w:rsidR="00A0651A" w:rsidRPr="00605771">
        <w:rPr>
          <w:lang w:bidi="en-US"/>
        </w:rPr>
        <w:t>en Russie et en Grèce à l</w:t>
      </w:r>
      <w:r w:rsidR="00605771" w:rsidRPr="00605771">
        <w:rPr>
          <w:lang w:bidi="en-US"/>
        </w:rPr>
        <w:t>’</w:t>
      </w:r>
      <w:r w:rsidR="00A0651A" w:rsidRPr="00605771">
        <w:rPr>
          <w:lang w:bidi="en-US"/>
        </w:rPr>
        <w:t xml:space="preserve">époque des faits (paragraphes </w:t>
      </w:r>
      <w:r w:rsidR="00A0651A" w:rsidRPr="00605771">
        <w:rPr>
          <w:lang w:bidi="en-US"/>
        </w:rPr>
        <w:fldChar w:fldCharType="begin"/>
      </w:r>
      <w:r w:rsidR="00A0651A" w:rsidRPr="00605771">
        <w:rPr>
          <w:lang w:bidi="en-US"/>
        </w:rPr>
        <w:instrText xml:space="preserve"> REF rapportUSdep1 \h </w:instrText>
      </w:r>
      <w:r w:rsidR="00A0651A" w:rsidRPr="00605771">
        <w:rPr>
          <w:lang w:bidi="en-US"/>
        </w:rPr>
      </w:r>
      <w:r w:rsidR="00A0651A" w:rsidRPr="00605771">
        <w:rPr>
          <w:lang w:bidi="en-US"/>
        </w:rPr>
        <w:fldChar w:fldCharType="separate"/>
      </w:r>
      <w:r w:rsidR="00605771" w:rsidRPr="00605771">
        <w:rPr>
          <w:noProof/>
        </w:rPr>
        <w:t>94</w:t>
      </w:r>
      <w:r w:rsidR="00A0651A" w:rsidRPr="00605771">
        <w:rPr>
          <w:lang w:bidi="en-US"/>
        </w:rPr>
        <w:fldChar w:fldCharType="end"/>
      </w:r>
      <w:r w:rsidR="00A0651A" w:rsidRPr="00605771">
        <w:rPr>
          <w:lang w:bidi="en-US"/>
        </w:rPr>
        <w:t>-</w:t>
      </w:r>
      <w:r w:rsidR="00A0651A" w:rsidRPr="00605771">
        <w:rPr>
          <w:lang w:bidi="en-US"/>
        </w:rPr>
        <w:fldChar w:fldCharType="begin"/>
      </w:r>
      <w:r w:rsidR="00A0651A" w:rsidRPr="00605771">
        <w:rPr>
          <w:lang w:bidi="en-US"/>
        </w:rPr>
        <w:instrText xml:space="preserve"> REF rapportUSdep3 \h </w:instrText>
      </w:r>
      <w:r w:rsidR="00A0651A" w:rsidRPr="00605771">
        <w:rPr>
          <w:lang w:bidi="en-US"/>
        </w:rPr>
      </w:r>
      <w:r w:rsidR="00A0651A" w:rsidRPr="00605771">
        <w:rPr>
          <w:lang w:bidi="en-US"/>
        </w:rPr>
        <w:fldChar w:fldCharType="separate"/>
      </w:r>
      <w:r w:rsidR="00605771" w:rsidRPr="00605771">
        <w:rPr>
          <w:noProof/>
        </w:rPr>
        <w:t>96</w:t>
      </w:r>
      <w:r w:rsidR="00A0651A" w:rsidRPr="00605771">
        <w:rPr>
          <w:lang w:bidi="en-US"/>
        </w:rPr>
        <w:fldChar w:fldCharType="end"/>
      </w:r>
      <w:r w:rsidR="00A0651A" w:rsidRPr="00605771">
        <w:rPr>
          <w:lang w:bidi="en-US"/>
        </w:rPr>
        <w:t xml:space="preserve"> ci-dessus)</w:t>
      </w:r>
      <w:r w:rsidR="00303D82" w:rsidRPr="00605771">
        <w:rPr>
          <w:lang w:bidi="en-US"/>
        </w:rPr>
        <w:t>,</w:t>
      </w:r>
      <w:r w:rsidR="001C7257" w:rsidRPr="00605771">
        <w:rPr>
          <w:lang w:bidi="en-US"/>
        </w:rPr>
        <w:t xml:space="preserve"> les autorités compétentes auraient dû mener une enquête effective pour </w:t>
      </w:r>
      <w:r w:rsidR="009B4A66" w:rsidRPr="00605771">
        <w:rPr>
          <w:lang w:bidi="en-US"/>
        </w:rPr>
        <w:t>déterminer</w:t>
      </w:r>
      <w:r w:rsidR="001C7257" w:rsidRPr="00605771">
        <w:rPr>
          <w:lang w:bidi="en-US"/>
        </w:rPr>
        <w:t xml:space="preserve"> s</w:t>
      </w:r>
      <w:r w:rsidR="00605771" w:rsidRPr="00605771">
        <w:rPr>
          <w:lang w:bidi="en-US"/>
        </w:rPr>
        <w:t>’</w:t>
      </w:r>
      <w:r w:rsidR="00163462" w:rsidRPr="00605771">
        <w:rPr>
          <w:lang w:bidi="en-US"/>
        </w:rPr>
        <w:t>il avait été procédé à</w:t>
      </w:r>
      <w:r w:rsidR="001C7257" w:rsidRPr="00605771">
        <w:rPr>
          <w:lang w:bidi="en-US"/>
        </w:rPr>
        <w:t xml:space="preserve"> un contr</w:t>
      </w:r>
      <w:r w:rsidR="00163462" w:rsidRPr="00605771">
        <w:rPr>
          <w:lang w:bidi="en-US"/>
        </w:rPr>
        <w:t>ôle</w:t>
      </w:r>
      <w:r w:rsidR="001C7257" w:rsidRPr="00605771">
        <w:rPr>
          <w:lang w:bidi="en-US"/>
        </w:rPr>
        <w:t xml:space="preserve"> </w:t>
      </w:r>
      <w:r w:rsidR="00163462" w:rsidRPr="00605771">
        <w:rPr>
          <w:lang w:bidi="en-US"/>
        </w:rPr>
        <w:t>r</w:t>
      </w:r>
      <w:r w:rsidR="001C7257" w:rsidRPr="00605771">
        <w:rPr>
          <w:lang w:bidi="en-US"/>
        </w:rPr>
        <w:t>igoureux des dossiers des requérantes par les autorités compétentes avant la délivrance des visas. De l</w:t>
      </w:r>
      <w:r w:rsidR="00605771" w:rsidRPr="00605771">
        <w:rPr>
          <w:lang w:bidi="en-US"/>
        </w:rPr>
        <w:t>’</w:t>
      </w:r>
      <w:r w:rsidR="001C7257" w:rsidRPr="00605771">
        <w:rPr>
          <w:lang w:bidi="en-US"/>
        </w:rPr>
        <w:t xml:space="preserve">avis de la Cour, étant donné la gravité de la dénonciation des requérantes et </w:t>
      </w:r>
      <w:r w:rsidR="00163462" w:rsidRPr="00605771">
        <w:rPr>
          <w:lang w:bidi="en-US"/>
        </w:rPr>
        <w:t>le</w:t>
      </w:r>
      <w:r w:rsidR="001C7257" w:rsidRPr="00605771">
        <w:rPr>
          <w:lang w:bidi="en-US"/>
        </w:rPr>
        <w:t xml:space="preserve"> fait qu</w:t>
      </w:r>
      <w:r w:rsidR="00163462" w:rsidRPr="00605771">
        <w:rPr>
          <w:lang w:bidi="en-US"/>
        </w:rPr>
        <w:t>e c</w:t>
      </w:r>
      <w:r w:rsidR="001C7257" w:rsidRPr="00605771">
        <w:rPr>
          <w:lang w:bidi="en-US"/>
        </w:rPr>
        <w:t>elles</w:t>
      </w:r>
      <w:r w:rsidR="00163462" w:rsidRPr="00605771">
        <w:rPr>
          <w:lang w:bidi="en-US"/>
        </w:rPr>
        <w:t>-ci</w:t>
      </w:r>
      <w:r w:rsidR="001C7257" w:rsidRPr="00605771">
        <w:rPr>
          <w:lang w:bidi="en-US"/>
        </w:rPr>
        <w:t xml:space="preserve"> </w:t>
      </w:r>
      <w:r w:rsidR="00344EAE" w:rsidRPr="00605771">
        <w:rPr>
          <w:lang w:bidi="en-US"/>
        </w:rPr>
        <w:t>accusaient</w:t>
      </w:r>
      <w:r w:rsidR="001C7257" w:rsidRPr="00605771">
        <w:rPr>
          <w:lang w:bidi="en-US"/>
        </w:rPr>
        <w:t xml:space="preserve"> des agents de l</w:t>
      </w:r>
      <w:r w:rsidR="00605771" w:rsidRPr="00605771">
        <w:rPr>
          <w:lang w:bidi="en-US"/>
        </w:rPr>
        <w:t>’</w:t>
      </w:r>
      <w:r w:rsidR="001C7257" w:rsidRPr="00605771">
        <w:rPr>
          <w:lang w:bidi="en-US"/>
        </w:rPr>
        <w:t xml:space="preserve">État </w:t>
      </w:r>
      <w:r w:rsidR="00344EAE" w:rsidRPr="00605771">
        <w:rPr>
          <w:lang w:bidi="en-US"/>
        </w:rPr>
        <w:t>d</w:t>
      </w:r>
      <w:r w:rsidR="00605771" w:rsidRPr="00605771">
        <w:rPr>
          <w:lang w:bidi="en-US"/>
        </w:rPr>
        <w:t>’</w:t>
      </w:r>
      <w:r w:rsidR="00344EAE" w:rsidRPr="00605771">
        <w:rPr>
          <w:lang w:bidi="en-US"/>
        </w:rPr>
        <w:t>être</w:t>
      </w:r>
      <w:r w:rsidR="001C7257" w:rsidRPr="00605771">
        <w:rPr>
          <w:lang w:bidi="en-US"/>
        </w:rPr>
        <w:t xml:space="preserve"> impliqués </w:t>
      </w:r>
      <w:r w:rsidR="00163462" w:rsidRPr="00605771">
        <w:rPr>
          <w:lang w:bidi="en-US"/>
        </w:rPr>
        <w:t>dans les</w:t>
      </w:r>
      <w:r w:rsidR="001C7257" w:rsidRPr="00605771">
        <w:rPr>
          <w:lang w:bidi="en-US"/>
        </w:rPr>
        <w:t xml:space="preserve"> réseaux de </w:t>
      </w:r>
      <w:r w:rsidR="0062170F" w:rsidRPr="00605771">
        <w:rPr>
          <w:lang w:bidi="en-US"/>
        </w:rPr>
        <w:t xml:space="preserve">la </w:t>
      </w:r>
      <w:r w:rsidR="001C7257" w:rsidRPr="00605771">
        <w:rPr>
          <w:lang w:bidi="en-US"/>
        </w:rPr>
        <w:t xml:space="preserve">traite des êtres humains, </w:t>
      </w:r>
      <w:r w:rsidR="008C6A48" w:rsidRPr="00605771">
        <w:rPr>
          <w:lang w:bidi="en-US"/>
        </w:rPr>
        <w:t>les</w:t>
      </w:r>
      <w:r w:rsidR="008E1357" w:rsidRPr="00605771">
        <w:rPr>
          <w:lang w:bidi="en-US"/>
        </w:rPr>
        <w:t xml:space="preserve"> autorités </w:t>
      </w:r>
      <w:r w:rsidR="008C6A48" w:rsidRPr="00605771">
        <w:rPr>
          <w:lang w:bidi="en-US"/>
        </w:rPr>
        <w:t xml:space="preserve">étaient tenues </w:t>
      </w:r>
      <w:r w:rsidR="008E1357" w:rsidRPr="00605771">
        <w:rPr>
          <w:lang w:bidi="en-US"/>
        </w:rPr>
        <w:t>d</w:t>
      </w:r>
      <w:r w:rsidR="00605771" w:rsidRPr="00605771">
        <w:rPr>
          <w:lang w:bidi="en-US"/>
        </w:rPr>
        <w:t>’</w:t>
      </w:r>
      <w:r w:rsidR="008E1357" w:rsidRPr="00605771">
        <w:rPr>
          <w:lang w:bidi="en-US"/>
        </w:rPr>
        <w:t xml:space="preserve">agir avec </w:t>
      </w:r>
      <w:r w:rsidR="001C7257" w:rsidRPr="00605771">
        <w:rPr>
          <w:lang w:bidi="en-US"/>
        </w:rPr>
        <w:t>une diligence particulière en l</w:t>
      </w:r>
      <w:r w:rsidR="00605771" w:rsidRPr="00605771">
        <w:rPr>
          <w:lang w:bidi="en-US"/>
        </w:rPr>
        <w:t>’</w:t>
      </w:r>
      <w:r w:rsidR="001C7257" w:rsidRPr="00605771">
        <w:rPr>
          <w:lang w:bidi="en-US"/>
        </w:rPr>
        <w:t>espèce, afin de s</w:t>
      </w:r>
      <w:r w:rsidR="00605771" w:rsidRPr="00605771">
        <w:rPr>
          <w:lang w:bidi="en-US"/>
        </w:rPr>
        <w:t>’</w:t>
      </w:r>
      <w:r w:rsidR="001C7257" w:rsidRPr="00605771">
        <w:rPr>
          <w:lang w:bidi="en-US"/>
        </w:rPr>
        <w:t xml:space="preserve">assurer </w:t>
      </w:r>
      <w:r w:rsidR="0065397E" w:rsidRPr="00605771">
        <w:rPr>
          <w:lang w:bidi="en-US"/>
        </w:rPr>
        <w:t>de la soumission des</w:t>
      </w:r>
      <w:r w:rsidR="001C7257" w:rsidRPr="00605771">
        <w:rPr>
          <w:lang w:bidi="en-US"/>
        </w:rPr>
        <w:t xml:space="preserve"> actes </w:t>
      </w:r>
      <w:r w:rsidR="00E229AB" w:rsidRPr="00605771">
        <w:rPr>
          <w:lang w:bidi="en-US"/>
        </w:rPr>
        <w:t>en cause</w:t>
      </w:r>
      <w:r w:rsidR="001C7257" w:rsidRPr="00605771">
        <w:rPr>
          <w:lang w:bidi="en-US"/>
        </w:rPr>
        <w:t xml:space="preserve"> </w:t>
      </w:r>
      <w:r w:rsidR="0065397E" w:rsidRPr="00605771">
        <w:rPr>
          <w:lang w:bidi="en-US"/>
        </w:rPr>
        <w:t>à un examen</w:t>
      </w:r>
      <w:r w:rsidR="00686C5C" w:rsidRPr="00605771">
        <w:rPr>
          <w:lang w:bidi="en-US"/>
        </w:rPr>
        <w:t xml:space="preserve"> approfondi </w:t>
      </w:r>
      <w:r w:rsidR="001C7257" w:rsidRPr="00605771">
        <w:rPr>
          <w:lang w:bidi="en-US"/>
        </w:rPr>
        <w:t xml:space="preserve">et </w:t>
      </w:r>
      <w:r w:rsidR="0065397E" w:rsidRPr="00605771">
        <w:rPr>
          <w:lang w:bidi="en-US"/>
        </w:rPr>
        <w:t xml:space="preserve">de </w:t>
      </w:r>
      <w:r w:rsidR="001C7257" w:rsidRPr="00605771">
        <w:rPr>
          <w:lang w:bidi="en-US"/>
        </w:rPr>
        <w:t>faire ainsi dispara</w:t>
      </w:r>
      <w:r w:rsidR="00163462" w:rsidRPr="00605771">
        <w:rPr>
          <w:lang w:bidi="en-US"/>
        </w:rPr>
        <w:t>î</w:t>
      </w:r>
      <w:r w:rsidR="001C7257" w:rsidRPr="00605771">
        <w:rPr>
          <w:lang w:bidi="en-US"/>
        </w:rPr>
        <w:t>tre les doutes e</w:t>
      </w:r>
      <w:r w:rsidR="005D1E9C" w:rsidRPr="00605771">
        <w:rPr>
          <w:lang w:bidi="en-US"/>
        </w:rPr>
        <w:t xml:space="preserve">ntourant </w:t>
      </w:r>
      <w:r w:rsidR="00163462" w:rsidRPr="00605771">
        <w:rPr>
          <w:lang w:bidi="en-US"/>
        </w:rPr>
        <w:t xml:space="preserve">la probité </w:t>
      </w:r>
      <w:r w:rsidR="005D1E9C" w:rsidRPr="00605771">
        <w:rPr>
          <w:lang w:bidi="en-US"/>
        </w:rPr>
        <w:t>des agents de l</w:t>
      </w:r>
      <w:r w:rsidR="00605771" w:rsidRPr="00605771">
        <w:rPr>
          <w:lang w:bidi="en-US"/>
        </w:rPr>
        <w:t>’</w:t>
      </w:r>
      <w:r w:rsidR="005D1E9C" w:rsidRPr="00605771">
        <w:rPr>
          <w:lang w:bidi="en-US"/>
        </w:rPr>
        <w:t xml:space="preserve">État. </w:t>
      </w:r>
      <w:r w:rsidR="00BC66C4" w:rsidRPr="00605771">
        <w:rPr>
          <w:lang w:bidi="en-US"/>
        </w:rPr>
        <w:t xml:space="preserve">La Cour constate toutefois </w:t>
      </w:r>
      <w:r w:rsidR="005D1E9C" w:rsidRPr="00605771">
        <w:rPr>
          <w:lang w:bidi="en-US"/>
        </w:rPr>
        <w:t xml:space="preserve">que, en raison des </w:t>
      </w:r>
      <w:r w:rsidR="00534606" w:rsidRPr="00605771">
        <w:rPr>
          <w:lang w:bidi="en-US"/>
        </w:rPr>
        <w:t>manquements</w:t>
      </w:r>
      <w:r w:rsidR="004D691F" w:rsidRPr="00605771">
        <w:rPr>
          <w:lang w:bidi="en-US"/>
        </w:rPr>
        <w:t xml:space="preserve"> </w:t>
      </w:r>
      <w:r w:rsidR="005D1E9C" w:rsidRPr="00605771">
        <w:rPr>
          <w:lang w:bidi="en-US"/>
        </w:rPr>
        <w:t xml:space="preserve">décrits ci-dessus, </w:t>
      </w:r>
      <w:r w:rsidR="00163462" w:rsidRPr="00605771">
        <w:rPr>
          <w:lang w:bidi="en-US"/>
        </w:rPr>
        <w:t>cela</w:t>
      </w:r>
      <w:r w:rsidR="005D1E9C" w:rsidRPr="00605771">
        <w:rPr>
          <w:lang w:bidi="en-US"/>
        </w:rPr>
        <w:t xml:space="preserve"> n</w:t>
      </w:r>
      <w:r w:rsidR="00605771" w:rsidRPr="00605771">
        <w:rPr>
          <w:lang w:bidi="en-US"/>
        </w:rPr>
        <w:t>’</w:t>
      </w:r>
      <w:r w:rsidR="005D1E9C" w:rsidRPr="00605771">
        <w:rPr>
          <w:lang w:bidi="en-US"/>
        </w:rPr>
        <w:t>a pas été le cas en l</w:t>
      </w:r>
      <w:r w:rsidR="00605771" w:rsidRPr="00605771">
        <w:rPr>
          <w:lang w:bidi="en-US"/>
        </w:rPr>
        <w:t>’</w:t>
      </w:r>
      <w:r w:rsidR="005D1E9C" w:rsidRPr="00605771">
        <w:rPr>
          <w:lang w:bidi="en-US"/>
        </w:rPr>
        <w:t>espèce.</w:t>
      </w:r>
    </w:p>
    <w:p w:rsidR="0057230E" w:rsidRPr="00605771" w:rsidRDefault="0057230E" w:rsidP="00605771">
      <w:pPr>
        <w:pStyle w:val="JuPara"/>
        <w:rPr>
          <w:lang w:bidi="en-US"/>
        </w:rPr>
      </w:pPr>
      <w:r w:rsidRPr="00605771">
        <w:rPr>
          <w:lang w:bidi="en-US"/>
        </w:rPr>
        <w:fldChar w:fldCharType="begin"/>
      </w:r>
      <w:r w:rsidRPr="00605771">
        <w:rPr>
          <w:lang w:bidi="en-US"/>
        </w:rPr>
        <w:instrText xml:space="preserve"> SEQ level0 \*arabic </w:instrText>
      </w:r>
      <w:r w:rsidRPr="00605771">
        <w:rPr>
          <w:lang w:bidi="en-US"/>
        </w:rPr>
        <w:fldChar w:fldCharType="separate"/>
      </w:r>
      <w:r w:rsidR="00605771" w:rsidRPr="00605771">
        <w:rPr>
          <w:noProof/>
          <w:lang w:bidi="en-US"/>
        </w:rPr>
        <w:t>167</w:t>
      </w:r>
      <w:r w:rsidRPr="00605771">
        <w:rPr>
          <w:lang w:bidi="en-US"/>
        </w:rPr>
        <w:fldChar w:fldCharType="end"/>
      </w:r>
      <w:r w:rsidRPr="00605771">
        <w:rPr>
          <w:lang w:bidi="en-US"/>
        </w:rPr>
        <w:t xml:space="preserve">.  Eu égard à ce qui précède, la Cour juge </w:t>
      </w:r>
      <w:r w:rsidR="00407648" w:rsidRPr="00605771">
        <w:rPr>
          <w:lang w:bidi="en-US"/>
        </w:rPr>
        <w:t>qu</w:t>
      </w:r>
      <w:r w:rsidR="00605771" w:rsidRPr="00605771">
        <w:rPr>
          <w:lang w:bidi="en-US"/>
        </w:rPr>
        <w:t>’</w:t>
      </w:r>
      <w:r w:rsidR="00407648" w:rsidRPr="00605771">
        <w:rPr>
          <w:lang w:bidi="en-US"/>
        </w:rPr>
        <w:t>il n</w:t>
      </w:r>
      <w:r w:rsidR="00605771" w:rsidRPr="00605771">
        <w:rPr>
          <w:lang w:bidi="en-US"/>
        </w:rPr>
        <w:t>’</w:t>
      </w:r>
      <w:r w:rsidR="00407648" w:rsidRPr="00605771">
        <w:rPr>
          <w:lang w:bidi="en-US"/>
        </w:rPr>
        <w:t xml:space="preserve">est </w:t>
      </w:r>
      <w:r w:rsidRPr="00605771">
        <w:rPr>
          <w:lang w:bidi="en-US"/>
        </w:rPr>
        <w:t xml:space="preserve">pas nécessaire de se prononcer sur les autres </w:t>
      </w:r>
      <w:r w:rsidR="004D691F" w:rsidRPr="00605771">
        <w:rPr>
          <w:lang w:bidi="en-US"/>
        </w:rPr>
        <w:t>carences</w:t>
      </w:r>
      <w:r w:rsidRPr="00605771">
        <w:rPr>
          <w:lang w:bidi="en-US"/>
        </w:rPr>
        <w:t xml:space="preserve"> alléguées des procédures en cause. Elle considère que les autorités compétentes n</w:t>
      </w:r>
      <w:r w:rsidR="00605771" w:rsidRPr="00605771">
        <w:rPr>
          <w:lang w:bidi="en-US"/>
        </w:rPr>
        <w:t>’</w:t>
      </w:r>
      <w:r w:rsidRPr="00605771">
        <w:rPr>
          <w:lang w:bidi="en-US"/>
        </w:rPr>
        <w:t>ont pas traité l</w:t>
      </w:r>
      <w:r w:rsidR="00605771" w:rsidRPr="00605771">
        <w:rPr>
          <w:lang w:bidi="en-US"/>
        </w:rPr>
        <w:t>’</w:t>
      </w:r>
      <w:r w:rsidRPr="00605771">
        <w:rPr>
          <w:lang w:bidi="en-US"/>
        </w:rPr>
        <w:t xml:space="preserve">affaire avec le niveau de diligence requis par </w:t>
      </w:r>
      <w:r w:rsidR="00FB32E0" w:rsidRPr="00605771">
        <w:rPr>
          <w:lang w:bidi="en-US"/>
        </w:rPr>
        <w:t>l</w:t>
      </w:r>
      <w:r w:rsidR="00605771" w:rsidRPr="00605771">
        <w:rPr>
          <w:lang w:bidi="en-US"/>
        </w:rPr>
        <w:t>’</w:t>
      </w:r>
      <w:r w:rsidRPr="00605771">
        <w:rPr>
          <w:lang w:bidi="en-US"/>
        </w:rPr>
        <w:t xml:space="preserve">article </w:t>
      </w:r>
      <w:r w:rsidR="00FB32E0" w:rsidRPr="00605771">
        <w:rPr>
          <w:lang w:bidi="en-US"/>
        </w:rPr>
        <w:t xml:space="preserve">4 de la Convention </w:t>
      </w:r>
      <w:r w:rsidRPr="00605771">
        <w:rPr>
          <w:lang w:bidi="en-US"/>
        </w:rPr>
        <w:t>et que les intéressées n</w:t>
      </w:r>
      <w:r w:rsidR="00605771" w:rsidRPr="00605771">
        <w:rPr>
          <w:lang w:bidi="en-US"/>
        </w:rPr>
        <w:t>’</w:t>
      </w:r>
      <w:r w:rsidRPr="00605771">
        <w:rPr>
          <w:lang w:bidi="en-US"/>
        </w:rPr>
        <w:t>ont pas été associées à l</w:t>
      </w:r>
      <w:r w:rsidR="00605771" w:rsidRPr="00605771">
        <w:rPr>
          <w:lang w:bidi="en-US"/>
        </w:rPr>
        <w:t>’</w:t>
      </w:r>
      <w:r w:rsidRPr="00605771">
        <w:rPr>
          <w:lang w:bidi="en-US"/>
        </w:rPr>
        <w:t xml:space="preserve">enquête dans la mesure requise par le volet procédural de </w:t>
      </w:r>
      <w:r w:rsidR="00FB32E0" w:rsidRPr="00605771">
        <w:rPr>
          <w:lang w:bidi="en-US"/>
        </w:rPr>
        <w:t>cette disposition</w:t>
      </w:r>
      <w:r w:rsidRPr="00605771">
        <w:rPr>
          <w:lang w:bidi="en-US"/>
        </w:rPr>
        <w:t>.</w:t>
      </w:r>
    </w:p>
    <w:bookmarkStart w:id="25" w:name="procvisasl"/>
    <w:p w:rsidR="002C7F5B" w:rsidRPr="00605771" w:rsidRDefault="005D090E" w:rsidP="00605771">
      <w:pPr>
        <w:pStyle w:val="JuPara"/>
        <w:rPr>
          <w:lang w:bidi="en-US"/>
        </w:rPr>
      </w:pPr>
      <w:r w:rsidRPr="00605771">
        <w:rPr>
          <w:lang w:bidi="en-US"/>
        </w:rPr>
        <w:fldChar w:fldCharType="begin"/>
      </w:r>
      <w:r w:rsidRPr="00605771">
        <w:rPr>
          <w:lang w:bidi="en-US"/>
        </w:rPr>
        <w:instrText xml:space="preserve"> SEQ level0 \*arabic </w:instrText>
      </w:r>
      <w:r w:rsidRPr="00605771">
        <w:rPr>
          <w:lang w:bidi="en-US"/>
        </w:rPr>
        <w:fldChar w:fldCharType="separate"/>
      </w:r>
      <w:r w:rsidR="00605771" w:rsidRPr="00605771">
        <w:rPr>
          <w:noProof/>
          <w:lang w:bidi="en-US"/>
        </w:rPr>
        <w:t>168</w:t>
      </w:r>
      <w:r w:rsidRPr="00605771">
        <w:rPr>
          <w:lang w:bidi="en-US"/>
        </w:rPr>
        <w:fldChar w:fldCharType="end"/>
      </w:r>
      <w:bookmarkEnd w:id="25"/>
      <w:r w:rsidRPr="00605771">
        <w:rPr>
          <w:lang w:bidi="en-US"/>
        </w:rPr>
        <w:t>.  </w:t>
      </w:r>
      <w:r w:rsidR="0057230E" w:rsidRPr="00605771">
        <w:rPr>
          <w:lang w:bidi="en-US"/>
        </w:rPr>
        <w:t xml:space="preserve">En conséquence, </w:t>
      </w:r>
      <w:r w:rsidR="00FF6E56" w:rsidRPr="00605771">
        <w:rPr>
          <w:lang w:bidi="en-US"/>
        </w:rPr>
        <w:t>la Cour rejette l</w:t>
      </w:r>
      <w:r w:rsidR="00605771" w:rsidRPr="00605771">
        <w:rPr>
          <w:lang w:bidi="en-US"/>
        </w:rPr>
        <w:t>’</w:t>
      </w:r>
      <w:r w:rsidR="00FF6E56" w:rsidRPr="00605771">
        <w:rPr>
          <w:lang w:bidi="en-US"/>
        </w:rPr>
        <w:t xml:space="preserve">exception du Gouvernement tirée du non-épuisement des voies de recours internes et elle </w:t>
      </w:r>
      <w:r w:rsidR="0057230E" w:rsidRPr="00605771">
        <w:rPr>
          <w:lang w:bidi="en-US"/>
        </w:rPr>
        <w:t>conclut à la violation de l</w:t>
      </w:r>
      <w:r w:rsidR="00605771" w:rsidRPr="00605771">
        <w:rPr>
          <w:lang w:bidi="en-US"/>
        </w:rPr>
        <w:t>’</w:t>
      </w:r>
      <w:r w:rsidR="0057230E" w:rsidRPr="00605771">
        <w:rPr>
          <w:lang w:bidi="en-US"/>
        </w:rPr>
        <w:t>article 4 de la Convention sous son volet procédural.</w:t>
      </w:r>
    </w:p>
    <w:p w:rsidR="00E77CB3" w:rsidRPr="00605771" w:rsidRDefault="00E77CB3" w:rsidP="00605771">
      <w:pPr>
        <w:pStyle w:val="JuHIRoman"/>
      </w:pPr>
      <w:r w:rsidRPr="00605771">
        <w:t>SUR L</w:t>
      </w:r>
      <w:r w:rsidR="00605771" w:rsidRPr="00605771">
        <w:t>’</w:t>
      </w:r>
      <w:r w:rsidRPr="00605771">
        <w:t>APPLICATION DE L</w:t>
      </w:r>
      <w:r w:rsidR="00605771" w:rsidRPr="00605771">
        <w:t>’</w:t>
      </w:r>
      <w:r w:rsidRPr="00605771">
        <w:t>ARTICLE 41 DE LA CONVENTION</w:t>
      </w:r>
    </w:p>
    <w:p w:rsidR="00E77CB3" w:rsidRPr="00605771" w:rsidRDefault="00F61333"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169</w:t>
      </w:r>
      <w:r w:rsidRPr="00605771">
        <w:fldChar w:fldCharType="end"/>
      </w:r>
      <w:r w:rsidR="00E77CB3" w:rsidRPr="00605771">
        <w:t>.  Aux termes de l</w:t>
      </w:r>
      <w:r w:rsidR="00605771" w:rsidRPr="00605771">
        <w:t>’</w:t>
      </w:r>
      <w:r w:rsidR="00E77CB3" w:rsidRPr="00605771">
        <w:t>article 41 de la Convention,</w:t>
      </w:r>
    </w:p>
    <w:p w:rsidR="00E77CB3" w:rsidRPr="00605771" w:rsidRDefault="00E77CB3" w:rsidP="00605771">
      <w:pPr>
        <w:pStyle w:val="JuQuot"/>
        <w:keepNext/>
        <w:keepLines/>
      </w:pPr>
      <w:r w:rsidRPr="00605771">
        <w:t>« Si la Cour déclare qu</w:t>
      </w:r>
      <w:r w:rsidR="00605771" w:rsidRPr="00605771">
        <w:t>’</w:t>
      </w:r>
      <w:r w:rsidRPr="00605771">
        <w:t>il y a eu violation de la Convention ou de ses Protocoles, et si le droit interne de la Haute Partie contractante ne permet d</w:t>
      </w:r>
      <w:r w:rsidR="00605771" w:rsidRPr="00605771">
        <w:t>’</w:t>
      </w:r>
      <w:r w:rsidRPr="00605771">
        <w:t>effacer qu</w:t>
      </w:r>
      <w:r w:rsidR="00605771" w:rsidRPr="00605771">
        <w:t>’</w:t>
      </w:r>
      <w:r w:rsidRPr="00605771">
        <w:t>imparfaitement les conséquences de cette violation, la Cour accorde à la partie lésée, s</w:t>
      </w:r>
      <w:r w:rsidR="00605771" w:rsidRPr="00605771">
        <w:t>’</w:t>
      </w:r>
      <w:r w:rsidRPr="00605771">
        <w:t>il y a lieu, une satisfaction équitable. »</w:t>
      </w:r>
    </w:p>
    <w:p w:rsidR="00E77CB3" w:rsidRPr="00605771" w:rsidRDefault="00E77CB3" w:rsidP="00605771">
      <w:pPr>
        <w:pStyle w:val="JuHA"/>
      </w:pPr>
      <w:r w:rsidRPr="00605771">
        <w:t>Dommage</w:t>
      </w:r>
    </w:p>
    <w:p w:rsidR="00163CB4" w:rsidRPr="00605771" w:rsidRDefault="00F61333"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170</w:t>
      </w:r>
      <w:r w:rsidRPr="00605771">
        <w:fldChar w:fldCharType="end"/>
      </w:r>
      <w:r w:rsidR="00E77CB3" w:rsidRPr="00605771">
        <w:t>.  </w:t>
      </w:r>
      <w:r w:rsidRPr="00605771">
        <w:t>Les requérantes</w:t>
      </w:r>
      <w:r w:rsidR="00163CB4" w:rsidRPr="00605771">
        <w:t xml:space="preserve"> réclame</w:t>
      </w:r>
      <w:r w:rsidRPr="00605771">
        <w:t>nt</w:t>
      </w:r>
      <w:r w:rsidR="00163CB4" w:rsidRPr="00605771">
        <w:t xml:space="preserve"> </w:t>
      </w:r>
      <w:r w:rsidR="0041785F" w:rsidRPr="00605771">
        <w:t xml:space="preserve">15 000 </w:t>
      </w:r>
      <w:r w:rsidR="00736703" w:rsidRPr="00605771">
        <w:t>euros (</w:t>
      </w:r>
      <w:r w:rsidR="0041785F" w:rsidRPr="00605771">
        <w:t>EUR</w:t>
      </w:r>
      <w:r w:rsidR="00736703" w:rsidRPr="00605771">
        <w:t>)</w:t>
      </w:r>
      <w:r w:rsidR="0041785F" w:rsidRPr="00605771">
        <w:t xml:space="preserve"> chacune</w:t>
      </w:r>
      <w:r w:rsidR="00163CB4" w:rsidRPr="00605771">
        <w:t xml:space="preserve"> au titre du préjudice moral qu</w:t>
      </w:r>
      <w:r w:rsidR="00605771" w:rsidRPr="00605771">
        <w:t>’</w:t>
      </w:r>
      <w:r w:rsidRPr="00605771">
        <w:t>elles</w:t>
      </w:r>
      <w:r w:rsidR="00163CB4" w:rsidRPr="00605771">
        <w:t xml:space="preserve"> estime</w:t>
      </w:r>
      <w:r w:rsidRPr="00605771">
        <w:t>nt</w:t>
      </w:r>
      <w:r w:rsidR="00163CB4" w:rsidRPr="00605771">
        <w:t xml:space="preserve"> avoir subi.</w:t>
      </w:r>
    </w:p>
    <w:p w:rsidR="00E77CB3" w:rsidRPr="00605771" w:rsidRDefault="00F61333"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171</w:t>
      </w:r>
      <w:r w:rsidRPr="00605771">
        <w:fldChar w:fldCharType="end"/>
      </w:r>
      <w:r w:rsidR="00E77CB3" w:rsidRPr="00605771">
        <w:t xml:space="preserve">.  Le Gouvernement </w:t>
      </w:r>
      <w:r w:rsidR="005F43E7" w:rsidRPr="00605771">
        <w:t>est d</w:t>
      </w:r>
      <w:r w:rsidR="00605771" w:rsidRPr="00605771">
        <w:t>’</w:t>
      </w:r>
      <w:r w:rsidR="005F43E7" w:rsidRPr="00605771">
        <w:t>avis qu</w:t>
      </w:r>
      <w:r w:rsidR="00605771" w:rsidRPr="00605771">
        <w:t>’</w:t>
      </w:r>
      <w:r w:rsidR="005F43E7" w:rsidRPr="00605771">
        <w:t>un constat de violation constituerait une satisfaction équitable suffisante.</w:t>
      </w:r>
    </w:p>
    <w:p w:rsidR="00E77CB3" w:rsidRPr="00605771" w:rsidRDefault="00F61333" w:rsidP="00605771">
      <w:pPr>
        <w:pStyle w:val="JuPara"/>
      </w:pPr>
      <w:r w:rsidRPr="00605771">
        <w:lastRenderedPageBreak/>
        <w:fldChar w:fldCharType="begin"/>
      </w:r>
      <w:r w:rsidRPr="00605771">
        <w:instrText xml:space="preserve"> SEQ level0 \*arabic </w:instrText>
      </w:r>
      <w:r w:rsidRPr="00605771">
        <w:fldChar w:fldCharType="separate"/>
      </w:r>
      <w:r w:rsidR="00605771" w:rsidRPr="00605771">
        <w:rPr>
          <w:noProof/>
        </w:rPr>
        <w:t>172</w:t>
      </w:r>
      <w:r w:rsidRPr="00605771">
        <w:fldChar w:fldCharType="end"/>
      </w:r>
      <w:r w:rsidR="00E77CB3" w:rsidRPr="00605771">
        <w:t>.  </w:t>
      </w:r>
      <w:r w:rsidR="00A967ED" w:rsidRPr="00605771">
        <w:t>La Cour considère que les requérantes ont dû subir un dommage moral en raison de l</w:t>
      </w:r>
      <w:r w:rsidR="00605771" w:rsidRPr="00605771">
        <w:t>’</w:t>
      </w:r>
      <w:r w:rsidR="00A967ED" w:rsidRPr="00605771">
        <w:t xml:space="preserve">atteinte </w:t>
      </w:r>
      <w:r w:rsidR="0055175C" w:rsidRPr="00605771">
        <w:t>à</w:t>
      </w:r>
      <w:r w:rsidR="00562517" w:rsidRPr="00605771">
        <w:t xml:space="preserve"> leur droit garanti par l</w:t>
      </w:r>
      <w:r w:rsidR="00605771" w:rsidRPr="00605771">
        <w:t>’</w:t>
      </w:r>
      <w:r w:rsidR="00562517" w:rsidRPr="00605771">
        <w:t xml:space="preserve">article 4 de la Convention </w:t>
      </w:r>
      <w:r w:rsidR="00A967ED" w:rsidRPr="00605771">
        <w:t xml:space="preserve">et que le </w:t>
      </w:r>
      <w:r w:rsidR="00A735C8" w:rsidRPr="00605771">
        <w:t xml:space="preserve">seul </w:t>
      </w:r>
      <w:r w:rsidR="00A967ED" w:rsidRPr="00605771">
        <w:t>constat de violation n</w:t>
      </w:r>
      <w:r w:rsidR="00605771" w:rsidRPr="00605771">
        <w:t>’</w:t>
      </w:r>
      <w:r w:rsidR="00A967ED" w:rsidRPr="00605771">
        <w:t>en constitue pas une réparation suffisante. Statuant en équité, comme le permet l</w:t>
      </w:r>
      <w:r w:rsidR="00605771" w:rsidRPr="00605771">
        <w:t>’</w:t>
      </w:r>
      <w:r w:rsidR="00A967ED" w:rsidRPr="00605771">
        <w:t xml:space="preserve">article 41 de la Convention, la Cour alloue à chacune des requérantes </w:t>
      </w:r>
      <w:r w:rsidR="00A843A3" w:rsidRPr="00605771">
        <w:t>15</w:t>
      </w:r>
      <w:r w:rsidR="00A967ED" w:rsidRPr="00605771">
        <w:t xml:space="preserve"> 000 EUR </w:t>
      </w:r>
      <w:r w:rsidR="0055175C" w:rsidRPr="00605771">
        <w:t>pour le</w:t>
      </w:r>
      <w:r w:rsidR="00A967ED" w:rsidRPr="00605771">
        <w:t xml:space="preserve"> dommage moral subi</w:t>
      </w:r>
      <w:r w:rsidR="0055175C" w:rsidRPr="00605771">
        <w:t xml:space="preserve"> par elles</w:t>
      </w:r>
      <w:r w:rsidR="00A967ED" w:rsidRPr="00605771">
        <w:t>, plus tout montant pouvant être dû à titre d</w:t>
      </w:r>
      <w:r w:rsidR="00605771" w:rsidRPr="00605771">
        <w:t>’</w:t>
      </w:r>
      <w:r w:rsidR="00A967ED" w:rsidRPr="00605771">
        <w:t>impôt.</w:t>
      </w:r>
    </w:p>
    <w:p w:rsidR="00E77CB3" w:rsidRPr="00605771" w:rsidRDefault="00E77CB3" w:rsidP="00605771">
      <w:pPr>
        <w:pStyle w:val="JuHA"/>
      </w:pPr>
      <w:r w:rsidRPr="00605771">
        <w:t>Frais et dépens</w:t>
      </w:r>
    </w:p>
    <w:p w:rsidR="00E77CB3" w:rsidRPr="00605771" w:rsidRDefault="00F61333"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173</w:t>
      </w:r>
      <w:r w:rsidRPr="00605771">
        <w:fldChar w:fldCharType="end"/>
      </w:r>
      <w:r w:rsidR="00E77CB3" w:rsidRPr="00605771">
        <w:t>.  </w:t>
      </w:r>
      <w:r w:rsidR="0041785F" w:rsidRPr="00605771">
        <w:t>Les requérantes demandent également 10</w:t>
      </w:r>
      <w:r w:rsidR="00A735C8" w:rsidRPr="00605771">
        <w:t> </w:t>
      </w:r>
      <w:r w:rsidR="0041785F" w:rsidRPr="00605771">
        <w:t>000 EUR en remboursement des frais et dépens qu</w:t>
      </w:r>
      <w:r w:rsidR="00605771" w:rsidRPr="00605771">
        <w:t>’</w:t>
      </w:r>
      <w:r w:rsidR="0041785F" w:rsidRPr="00605771">
        <w:t>elles disent avoir exposés dans</w:t>
      </w:r>
      <w:r w:rsidR="00FF497D" w:rsidRPr="00605771">
        <w:t xml:space="preserve"> le cadre des</w:t>
      </w:r>
      <w:r w:rsidR="0041785F" w:rsidRPr="00605771">
        <w:t xml:space="preserve"> procédures engagées devant les juridictions internes et devant la Cour. </w:t>
      </w:r>
      <w:r w:rsidR="00ED61E3" w:rsidRPr="00605771">
        <w:t>Elles</w:t>
      </w:r>
      <w:r w:rsidR="0041785F" w:rsidRPr="00605771">
        <w:t xml:space="preserve"> évaluent le temps de travail de leur représentant sur cette affaire à cent heures, et indiquent que le tarif horaire de ce dernier est de 100 EUR. </w:t>
      </w:r>
      <w:r w:rsidR="00ED61E3" w:rsidRPr="00605771">
        <w:t>Elles</w:t>
      </w:r>
      <w:r w:rsidR="0041785F" w:rsidRPr="00605771">
        <w:t xml:space="preserve"> produisent à cet égard un document détaillant le temps </w:t>
      </w:r>
      <w:r w:rsidR="00887130" w:rsidRPr="00605771">
        <w:t xml:space="preserve">consacré par </w:t>
      </w:r>
      <w:r w:rsidR="0041785F" w:rsidRPr="00605771">
        <w:t xml:space="preserve">leur représentant à la rédaction des différents mémoires et observations déposés auprès des autorités internes et devant la Cour. </w:t>
      </w:r>
      <w:r w:rsidR="00ED61E3" w:rsidRPr="00605771">
        <w:t>Elles</w:t>
      </w:r>
      <w:r w:rsidR="0041785F" w:rsidRPr="00605771">
        <w:t xml:space="preserve"> demandent que la somme qui leur serait éventuellement accordée soit directement versée sur le compte de leur représentant.</w:t>
      </w:r>
    </w:p>
    <w:p w:rsidR="00E77CB3" w:rsidRPr="00605771" w:rsidRDefault="00F61333"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174</w:t>
      </w:r>
      <w:r w:rsidRPr="00605771">
        <w:fldChar w:fldCharType="end"/>
      </w:r>
      <w:r w:rsidR="00E77CB3" w:rsidRPr="00605771">
        <w:t xml:space="preserve">.  Le Gouvernement </w:t>
      </w:r>
      <w:r w:rsidR="005F43E7" w:rsidRPr="00605771">
        <w:t>met en doute la réalité, la nécessité et le caractère raisonnable des frais en question. Il ajoute que la somme demandée est excessive, eu égard, en particulier, à l</w:t>
      </w:r>
      <w:r w:rsidR="00605771" w:rsidRPr="00605771">
        <w:t>’</w:t>
      </w:r>
      <w:r w:rsidR="005F43E7" w:rsidRPr="00605771">
        <w:t>absence de tenue d</w:t>
      </w:r>
      <w:r w:rsidR="00605771" w:rsidRPr="00605771">
        <w:t>’</w:t>
      </w:r>
      <w:r w:rsidR="005F43E7" w:rsidRPr="00605771">
        <w:t>une audience.</w:t>
      </w:r>
    </w:p>
    <w:p w:rsidR="00DC3B57" w:rsidRPr="00605771" w:rsidRDefault="00F61333"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175</w:t>
      </w:r>
      <w:r w:rsidRPr="00605771">
        <w:fldChar w:fldCharType="end"/>
      </w:r>
      <w:r w:rsidR="00E77CB3" w:rsidRPr="00605771">
        <w:t>.  </w:t>
      </w:r>
      <w:r w:rsidR="00DC3B57" w:rsidRPr="00605771">
        <w:t>Selon la jurisprudence de la Cour, un requérant ne peut obtenir le remboursement de ses frais et dépens que dans la mesure où se trouvent établis leur réalité, leur nécessité et le caractère raisonnable de leur taux. À la lumière des documents dont elle dispose et compte tenu de sa jurisprudence, la Cour estime raisonnable d</w:t>
      </w:r>
      <w:r w:rsidR="00605771" w:rsidRPr="00605771">
        <w:t>’</w:t>
      </w:r>
      <w:r w:rsidR="00DC3B57" w:rsidRPr="00605771">
        <w:t>accorder conjointement aux requérant</w:t>
      </w:r>
      <w:r w:rsidR="00A843A3" w:rsidRPr="00605771">
        <w:t>es la somme de 3</w:t>
      </w:r>
      <w:r w:rsidR="00DC3B57" w:rsidRPr="00605771">
        <w:t xml:space="preserve"> 000 EUR</w:t>
      </w:r>
      <w:r w:rsidR="00332320" w:rsidRPr="00605771">
        <w:t>, et, par ailleurs, elle</w:t>
      </w:r>
      <w:r w:rsidR="00DC3B57" w:rsidRPr="00605771">
        <w:t xml:space="preserve"> accueille l</w:t>
      </w:r>
      <w:r w:rsidR="00C73241" w:rsidRPr="00605771">
        <w:t>a</w:t>
      </w:r>
      <w:r w:rsidR="00DC3B57" w:rsidRPr="00605771">
        <w:t xml:space="preserve"> demande</w:t>
      </w:r>
      <w:r w:rsidR="00C73241" w:rsidRPr="00605771">
        <w:t xml:space="preserve"> de </w:t>
      </w:r>
      <w:r w:rsidR="00DC3B57" w:rsidRPr="00605771">
        <w:t>versement direct de cette somme sur le compte bancaire d</w:t>
      </w:r>
      <w:r w:rsidR="00C73241" w:rsidRPr="00605771">
        <w:t>u</w:t>
      </w:r>
      <w:r w:rsidR="00DC3B57" w:rsidRPr="00605771">
        <w:t xml:space="preserve"> représentant</w:t>
      </w:r>
      <w:r w:rsidR="00C73241" w:rsidRPr="00605771">
        <w:t xml:space="preserve"> des intéressées</w:t>
      </w:r>
      <w:r w:rsidR="00DC3B57" w:rsidRPr="00605771">
        <w:t>.</w:t>
      </w:r>
    </w:p>
    <w:p w:rsidR="00E77CB3" w:rsidRPr="00605771" w:rsidRDefault="00E77CB3" w:rsidP="00605771">
      <w:pPr>
        <w:pStyle w:val="JuHA"/>
      </w:pPr>
      <w:r w:rsidRPr="00605771">
        <w:t>Intérêts moratoires</w:t>
      </w:r>
    </w:p>
    <w:p w:rsidR="00E77CB3" w:rsidRPr="00605771" w:rsidRDefault="00FB71D1" w:rsidP="00605771">
      <w:pPr>
        <w:pStyle w:val="JuPara"/>
      </w:pPr>
      <w:r w:rsidRPr="00605771">
        <w:fldChar w:fldCharType="begin"/>
      </w:r>
      <w:r w:rsidRPr="00605771">
        <w:instrText xml:space="preserve"> SEQ level0 \*arabic </w:instrText>
      </w:r>
      <w:r w:rsidRPr="00605771">
        <w:fldChar w:fldCharType="separate"/>
      </w:r>
      <w:r w:rsidR="00605771" w:rsidRPr="00605771">
        <w:rPr>
          <w:noProof/>
        </w:rPr>
        <w:t>176</w:t>
      </w:r>
      <w:r w:rsidRPr="00605771">
        <w:fldChar w:fldCharType="end"/>
      </w:r>
      <w:r w:rsidRPr="00605771">
        <w:t>.  </w:t>
      </w:r>
      <w:r w:rsidR="00E77CB3" w:rsidRPr="00605771">
        <w:t>La Cour juge approprié de calquer le taux des intérêts moratoires sur le taux d</w:t>
      </w:r>
      <w:r w:rsidR="00605771" w:rsidRPr="00605771">
        <w:t>’</w:t>
      </w:r>
      <w:r w:rsidR="00E77CB3" w:rsidRPr="00605771">
        <w:t>intérêt de la facilité de prêt marginal de la Banque centrale européenne majoré de trois points de pourcentage.</w:t>
      </w:r>
    </w:p>
    <w:p w:rsidR="00E77CB3" w:rsidRPr="00605771" w:rsidRDefault="00E77CB3" w:rsidP="00605771">
      <w:pPr>
        <w:pStyle w:val="JuHHead"/>
      </w:pPr>
      <w:r w:rsidRPr="00605771">
        <w:t>PAR CES MOTIFS, LA COUR</w:t>
      </w:r>
      <w:r w:rsidR="00F61333" w:rsidRPr="00605771">
        <w:t>, À L</w:t>
      </w:r>
      <w:r w:rsidR="00605771" w:rsidRPr="00605771">
        <w:t>’</w:t>
      </w:r>
      <w:r w:rsidR="00F61333" w:rsidRPr="00605771">
        <w:t>UNANIMITÉ,</w:t>
      </w:r>
    </w:p>
    <w:p w:rsidR="000831FF" w:rsidRPr="00605771" w:rsidRDefault="000831FF" w:rsidP="00605771">
      <w:pPr>
        <w:pStyle w:val="JuList"/>
      </w:pPr>
      <w:r w:rsidRPr="00605771">
        <w:rPr>
          <w:i/>
        </w:rPr>
        <w:t>Joint au fond</w:t>
      </w:r>
      <w:r w:rsidRPr="00605771">
        <w:t xml:space="preserve"> l</w:t>
      </w:r>
      <w:r w:rsidR="00605771" w:rsidRPr="00605771">
        <w:t>’</w:t>
      </w:r>
      <w:r w:rsidRPr="00605771">
        <w:t>exception</w:t>
      </w:r>
      <w:r w:rsidR="00725F26" w:rsidRPr="00605771">
        <w:t xml:space="preserve"> </w:t>
      </w:r>
      <w:r w:rsidRPr="00605771">
        <w:t>tirée du non-épuisement des voies de recours internes soulevée par le Gouvernement et l</w:t>
      </w:r>
      <w:r w:rsidR="00725F26" w:rsidRPr="00605771">
        <w:t>a</w:t>
      </w:r>
      <w:r w:rsidRPr="00605771">
        <w:t xml:space="preserve"> rejette ;</w:t>
      </w:r>
    </w:p>
    <w:p w:rsidR="00E77CB3" w:rsidRPr="00605771" w:rsidRDefault="00FB2B45" w:rsidP="00605771">
      <w:pPr>
        <w:pStyle w:val="JuList"/>
      </w:pPr>
      <w:r w:rsidRPr="00605771">
        <w:rPr>
          <w:i/>
        </w:rPr>
        <w:lastRenderedPageBreak/>
        <w:t>Déclare</w:t>
      </w:r>
      <w:r w:rsidRPr="00605771">
        <w:t xml:space="preserve"> </w:t>
      </w:r>
      <w:r w:rsidR="00F61333" w:rsidRPr="00605771">
        <w:t>la requête recevable</w:t>
      </w:r>
      <w:r w:rsidR="000831FF" w:rsidRPr="00605771">
        <w:t> ;</w:t>
      </w:r>
    </w:p>
    <w:p w:rsidR="00E77CB3" w:rsidRPr="00605771" w:rsidRDefault="00E77CB3" w:rsidP="00605771">
      <w:pPr>
        <w:pStyle w:val="JuList"/>
      </w:pPr>
      <w:r w:rsidRPr="00605771">
        <w:rPr>
          <w:i/>
        </w:rPr>
        <w:t>Dit</w:t>
      </w:r>
      <w:r w:rsidRPr="00605771">
        <w:t xml:space="preserve"> qu</w:t>
      </w:r>
      <w:r w:rsidR="00605771" w:rsidRPr="00605771">
        <w:t>’</w:t>
      </w:r>
      <w:r w:rsidRPr="00605771">
        <w:t>il y a eu violation de l</w:t>
      </w:r>
      <w:r w:rsidR="00605771" w:rsidRPr="00605771">
        <w:t>’</w:t>
      </w:r>
      <w:r w:rsidRPr="00605771">
        <w:t xml:space="preserve">article </w:t>
      </w:r>
      <w:r w:rsidR="000831FF" w:rsidRPr="00605771">
        <w:t>4</w:t>
      </w:r>
      <w:r w:rsidRPr="00605771">
        <w:t xml:space="preserve"> de la Convention ;</w:t>
      </w:r>
    </w:p>
    <w:p w:rsidR="003C2867" w:rsidRPr="00605771" w:rsidRDefault="00E77CB3" w:rsidP="00605771">
      <w:pPr>
        <w:pStyle w:val="JuList"/>
      </w:pPr>
      <w:r w:rsidRPr="00605771">
        <w:rPr>
          <w:i/>
        </w:rPr>
        <w:t>Dit</w:t>
      </w:r>
      <w:r w:rsidR="00F61333" w:rsidRPr="00605771">
        <w:t>,</w:t>
      </w:r>
    </w:p>
    <w:p w:rsidR="00E77CB3" w:rsidRPr="00605771" w:rsidRDefault="00E77CB3" w:rsidP="00605771">
      <w:pPr>
        <w:pStyle w:val="JuLista"/>
      </w:pPr>
      <w:r w:rsidRPr="00605771">
        <w:t>que l</w:t>
      </w:r>
      <w:r w:rsidR="00605771" w:rsidRPr="00605771">
        <w:t>’</w:t>
      </w:r>
      <w:r w:rsidRPr="00605771">
        <w:t>État défendeur doit verser, dans les trois mois</w:t>
      </w:r>
      <w:r w:rsidR="003A11E7" w:rsidRPr="00605771">
        <w:t xml:space="preserve"> </w:t>
      </w:r>
      <w:r w:rsidR="00F61333" w:rsidRPr="00605771">
        <w:t>à compter du jour où l</w:t>
      </w:r>
      <w:r w:rsidR="00605771" w:rsidRPr="00605771">
        <w:t>’</w:t>
      </w:r>
      <w:r w:rsidR="00F61333" w:rsidRPr="00605771">
        <w:t>arrêt sera devenu définitif conformément à l</w:t>
      </w:r>
      <w:r w:rsidR="00605771" w:rsidRPr="00605771">
        <w:t>’</w:t>
      </w:r>
      <w:r w:rsidR="00F61333" w:rsidRPr="00605771">
        <w:t>article 44 § 2 de la Convention</w:t>
      </w:r>
      <w:r w:rsidRPr="00605771">
        <w:t>, les sommes suivantes</w:t>
      </w:r>
      <w:r w:rsidR="003A11E7" w:rsidRPr="00605771">
        <w:t xml:space="preserve"> </w:t>
      </w:r>
      <w:r w:rsidRPr="00605771">
        <w:t>:</w:t>
      </w:r>
    </w:p>
    <w:p w:rsidR="00E77CB3" w:rsidRPr="00605771" w:rsidRDefault="00E77CB3" w:rsidP="00605771">
      <w:pPr>
        <w:pStyle w:val="JuListi"/>
        <w:rPr>
          <w:lang w:eastAsia="en-GB"/>
        </w:rPr>
      </w:pPr>
      <w:r w:rsidRPr="00605771">
        <w:rPr>
          <w:lang w:eastAsia="en-GB"/>
        </w:rPr>
        <w:t>i</w:t>
      </w:r>
      <w:r w:rsidR="004763E8" w:rsidRPr="00605771">
        <w:rPr>
          <w:lang w:eastAsia="en-GB"/>
        </w:rPr>
        <w:t>.</w:t>
      </w:r>
      <w:r w:rsidRPr="00605771">
        <w:rPr>
          <w:lang w:eastAsia="en-GB"/>
        </w:rPr>
        <w:t>  </w:t>
      </w:r>
      <w:r w:rsidR="00A843A3" w:rsidRPr="00605771">
        <w:t>15</w:t>
      </w:r>
      <w:r w:rsidR="002D067C" w:rsidRPr="00605771">
        <w:t> </w:t>
      </w:r>
      <w:r w:rsidR="003A11E7" w:rsidRPr="00605771">
        <w:t>000</w:t>
      </w:r>
      <w:r w:rsidRPr="00605771">
        <w:rPr>
          <w:lang w:eastAsia="en-GB"/>
        </w:rPr>
        <w:t xml:space="preserve"> EUR (</w:t>
      </w:r>
      <w:r w:rsidR="00A843A3" w:rsidRPr="00605771">
        <w:rPr>
          <w:lang w:eastAsia="en-GB"/>
        </w:rPr>
        <w:t>quinze</w:t>
      </w:r>
      <w:r w:rsidR="003A11E7" w:rsidRPr="00605771">
        <w:rPr>
          <w:lang w:eastAsia="en-GB"/>
        </w:rPr>
        <w:t xml:space="preserve"> mille</w:t>
      </w:r>
      <w:r w:rsidRPr="00605771">
        <w:rPr>
          <w:lang w:eastAsia="en-GB"/>
        </w:rPr>
        <w:t xml:space="preserve"> euros) </w:t>
      </w:r>
      <w:r w:rsidR="003A11E7" w:rsidRPr="00605771">
        <w:rPr>
          <w:lang w:eastAsia="en-GB"/>
        </w:rPr>
        <w:t>à chacune des requérantes</w:t>
      </w:r>
      <w:r w:rsidRPr="00605771">
        <w:rPr>
          <w:lang w:eastAsia="en-GB"/>
        </w:rPr>
        <w:t>, plus tout montant pouvant être dû à titre d</w:t>
      </w:r>
      <w:r w:rsidR="00605771" w:rsidRPr="00605771">
        <w:rPr>
          <w:lang w:eastAsia="en-GB"/>
        </w:rPr>
        <w:t>’</w:t>
      </w:r>
      <w:r w:rsidRPr="00605771">
        <w:rPr>
          <w:lang w:eastAsia="en-GB"/>
        </w:rPr>
        <w:t xml:space="preserve">impôt, pour dommage </w:t>
      </w:r>
      <w:r w:rsidR="002D067C" w:rsidRPr="00605771">
        <w:rPr>
          <w:lang w:eastAsia="en-GB"/>
        </w:rPr>
        <w:t>moral,</w:t>
      </w:r>
    </w:p>
    <w:p w:rsidR="00E77CB3" w:rsidRPr="00605771" w:rsidRDefault="00E77CB3" w:rsidP="00605771">
      <w:pPr>
        <w:pStyle w:val="JuListi"/>
        <w:rPr>
          <w:lang w:eastAsia="en-GB"/>
        </w:rPr>
      </w:pPr>
      <w:r w:rsidRPr="00605771">
        <w:rPr>
          <w:lang w:eastAsia="en-GB"/>
        </w:rPr>
        <w:t>ii</w:t>
      </w:r>
      <w:r w:rsidR="004763E8" w:rsidRPr="00605771">
        <w:rPr>
          <w:lang w:eastAsia="en-GB"/>
        </w:rPr>
        <w:t>.</w:t>
      </w:r>
      <w:r w:rsidRPr="00605771">
        <w:rPr>
          <w:lang w:eastAsia="en-GB"/>
        </w:rPr>
        <w:t>  </w:t>
      </w:r>
      <w:r w:rsidR="003A11E7" w:rsidRPr="00605771">
        <w:rPr>
          <w:lang w:eastAsia="en-GB"/>
        </w:rPr>
        <w:t>3</w:t>
      </w:r>
      <w:r w:rsidR="002D067C" w:rsidRPr="00605771">
        <w:rPr>
          <w:lang w:eastAsia="en-GB"/>
        </w:rPr>
        <w:t> </w:t>
      </w:r>
      <w:r w:rsidR="003A11E7" w:rsidRPr="00605771">
        <w:rPr>
          <w:lang w:eastAsia="en-GB"/>
        </w:rPr>
        <w:t>000</w:t>
      </w:r>
      <w:r w:rsidRPr="00605771">
        <w:rPr>
          <w:lang w:eastAsia="en-GB"/>
        </w:rPr>
        <w:t xml:space="preserve"> EUR (</w:t>
      </w:r>
      <w:r w:rsidR="003A11E7" w:rsidRPr="00605771">
        <w:rPr>
          <w:lang w:eastAsia="en-GB"/>
        </w:rPr>
        <w:t>trois mille</w:t>
      </w:r>
      <w:r w:rsidRPr="00605771">
        <w:rPr>
          <w:lang w:eastAsia="en-GB"/>
        </w:rPr>
        <w:t xml:space="preserve"> euros), </w:t>
      </w:r>
      <w:r w:rsidR="00225A87" w:rsidRPr="00605771">
        <w:rPr>
          <w:lang w:eastAsia="en-GB"/>
        </w:rPr>
        <w:t xml:space="preserve">conjointement aux requérantes, </w:t>
      </w:r>
      <w:r w:rsidRPr="00605771">
        <w:rPr>
          <w:lang w:eastAsia="en-GB"/>
        </w:rPr>
        <w:t>plus tout montant pouvant être dû à titre d</w:t>
      </w:r>
      <w:r w:rsidR="00605771" w:rsidRPr="00605771">
        <w:rPr>
          <w:lang w:eastAsia="en-GB"/>
        </w:rPr>
        <w:t>’</w:t>
      </w:r>
      <w:r w:rsidRPr="00605771">
        <w:rPr>
          <w:lang w:eastAsia="en-GB"/>
        </w:rPr>
        <w:t>impôt</w:t>
      </w:r>
      <w:r w:rsidR="003A11E7" w:rsidRPr="00605771">
        <w:rPr>
          <w:lang w:eastAsia="en-GB"/>
        </w:rPr>
        <w:t xml:space="preserve"> par </w:t>
      </w:r>
      <w:r w:rsidR="00225A87" w:rsidRPr="00605771">
        <w:rPr>
          <w:lang w:eastAsia="en-GB"/>
        </w:rPr>
        <w:t>elles</w:t>
      </w:r>
      <w:r w:rsidR="003A11E7" w:rsidRPr="00605771">
        <w:rPr>
          <w:lang w:eastAsia="en-GB"/>
        </w:rPr>
        <w:t xml:space="preserve">, pour frais et dépens, à verser directement sur le compte bancaire de </w:t>
      </w:r>
      <w:r w:rsidR="00225A87" w:rsidRPr="00605771">
        <w:rPr>
          <w:lang w:eastAsia="en-GB"/>
        </w:rPr>
        <w:t xml:space="preserve">leur </w:t>
      </w:r>
      <w:r w:rsidR="003A11E7" w:rsidRPr="00605771">
        <w:rPr>
          <w:lang w:eastAsia="en-GB"/>
        </w:rPr>
        <w:t>représentant</w:t>
      </w:r>
      <w:r w:rsidR="003D0B2B" w:rsidRPr="00605771">
        <w:rPr>
          <w:lang w:eastAsia="en-GB"/>
        </w:rPr>
        <w:t xml:space="preserve"> ;</w:t>
      </w:r>
    </w:p>
    <w:p w:rsidR="00E77CB3" w:rsidRPr="00605771" w:rsidRDefault="00E77CB3" w:rsidP="00605771">
      <w:pPr>
        <w:pStyle w:val="JuLista"/>
      </w:pPr>
      <w:r w:rsidRPr="00605771">
        <w:t>qu</w:t>
      </w:r>
      <w:r w:rsidR="00605771" w:rsidRPr="00605771">
        <w:t>’</w:t>
      </w:r>
      <w:r w:rsidRPr="00605771">
        <w:t>à compter de l</w:t>
      </w:r>
      <w:r w:rsidR="00605771" w:rsidRPr="00605771">
        <w:t>’</w:t>
      </w:r>
      <w:r w:rsidRPr="00605771">
        <w:t>expiration dudit délai et jusqu</w:t>
      </w:r>
      <w:r w:rsidR="00605771" w:rsidRPr="00605771">
        <w:t>’</w:t>
      </w:r>
      <w:r w:rsidRPr="00605771">
        <w:t>au versement, ces montants seront à majorer d</w:t>
      </w:r>
      <w:r w:rsidR="00605771" w:rsidRPr="00605771">
        <w:t>’</w:t>
      </w:r>
      <w:r w:rsidRPr="00605771">
        <w:t xml:space="preserve">un intérêt simple à un taux égal à celui de la facilité de prêt marginal de la Banque centrale européenne applicable pendant cette période, augmenté </w:t>
      </w:r>
      <w:r w:rsidR="00A843A3" w:rsidRPr="00605771">
        <w:t>de trois points de pourcentage.</w:t>
      </w:r>
    </w:p>
    <w:p w:rsidR="00E77CB3" w:rsidRPr="00605771" w:rsidRDefault="00E77CB3" w:rsidP="00605771">
      <w:pPr>
        <w:pStyle w:val="JuParaLast"/>
        <w:keepNext w:val="0"/>
        <w:keepLines w:val="0"/>
      </w:pPr>
      <w:r w:rsidRPr="00605771">
        <w:t>Fait en français, puis communiqué par écrit le </w:t>
      </w:r>
      <w:r w:rsidR="00870974" w:rsidRPr="00605771">
        <w:t>18 juillet 2019</w:t>
      </w:r>
      <w:r w:rsidRPr="00605771">
        <w:t>, en application de l</w:t>
      </w:r>
      <w:r w:rsidR="00605771" w:rsidRPr="00605771">
        <w:t>’</w:t>
      </w:r>
      <w:r w:rsidRPr="00605771">
        <w:t>article 77 §§ 2 et 3 du règlement</w:t>
      </w:r>
      <w:r w:rsidR="00AC0824" w:rsidRPr="00605771">
        <w:t xml:space="preserve"> de la Cour</w:t>
      </w:r>
      <w:r w:rsidRPr="00605771">
        <w:t>.</w:t>
      </w:r>
    </w:p>
    <w:p w:rsidR="00E77CB3" w:rsidRPr="00605771" w:rsidRDefault="00F61333" w:rsidP="00605771">
      <w:pPr>
        <w:pStyle w:val="JuSigned"/>
      </w:pPr>
      <w:r w:rsidRPr="00605771">
        <w:tab/>
      </w:r>
      <w:r w:rsidRPr="00605771">
        <w:rPr>
          <w:lang w:val="pt-PT"/>
        </w:rPr>
        <w:t>Abel Campos</w:t>
      </w:r>
      <w:r w:rsidR="00E77CB3" w:rsidRPr="00605771">
        <w:tab/>
      </w:r>
      <w:r w:rsidRPr="00605771">
        <w:rPr>
          <w:szCs w:val="24"/>
          <w:lang w:val="hr-HR"/>
        </w:rPr>
        <w:t>Ksenija Turković</w:t>
      </w:r>
      <w:r w:rsidR="00E77CB3" w:rsidRPr="00605771">
        <w:br/>
      </w:r>
      <w:r w:rsidR="00E77CB3" w:rsidRPr="00605771">
        <w:tab/>
      </w:r>
      <w:r w:rsidRPr="00605771">
        <w:t>Greffier</w:t>
      </w:r>
      <w:r w:rsidR="00E77CB3" w:rsidRPr="00605771">
        <w:tab/>
      </w:r>
      <w:r w:rsidRPr="00605771">
        <w:t>Présidente</w:t>
      </w:r>
    </w:p>
    <w:sectPr w:rsidR="00E77CB3" w:rsidRPr="00605771" w:rsidSect="002C7F5B">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40A" w:rsidRPr="001C3AE1" w:rsidRDefault="00B4140A" w:rsidP="00E77CB3">
      <w:r w:rsidRPr="001C3AE1">
        <w:separator/>
      </w:r>
    </w:p>
  </w:endnote>
  <w:endnote w:type="continuationSeparator" w:id="0">
    <w:p w:rsidR="00B4140A" w:rsidRPr="001C3AE1" w:rsidRDefault="00B4140A" w:rsidP="00E77CB3">
      <w:r w:rsidRPr="001C3AE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D0" w:rsidRPr="00150BFA" w:rsidRDefault="00FE72D0" w:rsidP="00FE72D0">
    <w:pPr>
      <w:jc w:val="center"/>
    </w:pPr>
    <w:r>
      <w:rPr>
        <w:noProof/>
        <w:lang w:val="ru-RU" w:eastAsia="ru-RU"/>
      </w:rPr>
      <w:drawing>
        <wp:inline distT="0" distB="0" distL="0" distR="0" wp14:anchorId="6854A84F" wp14:editId="12C9C66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E72D0" w:rsidRDefault="00FE72D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40A" w:rsidRPr="001C3AE1" w:rsidRDefault="00B4140A" w:rsidP="00E77CB3">
      <w:r w:rsidRPr="001C3AE1">
        <w:separator/>
      </w:r>
    </w:p>
  </w:footnote>
  <w:footnote w:type="continuationSeparator" w:id="0">
    <w:p w:rsidR="00B4140A" w:rsidRPr="001C3AE1" w:rsidRDefault="00B4140A" w:rsidP="00E77CB3">
      <w:r w:rsidRPr="001C3AE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D0" w:rsidRPr="002C7F5B" w:rsidRDefault="00FE72D0" w:rsidP="002C7F5B">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D0" w:rsidRPr="00A45145" w:rsidRDefault="00FE72D0" w:rsidP="00FE72D0">
    <w:pPr>
      <w:jc w:val="center"/>
    </w:pPr>
    <w:r>
      <w:rPr>
        <w:noProof/>
        <w:lang w:val="ru-RU" w:eastAsia="ru-RU"/>
      </w:rPr>
      <w:drawing>
        <wp:inline distT="0" distB="0" distL="0" distR="0" wp14:anchorId="4E552C7F" wp14:editId="3498E34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E72D0" w:rsidRDefault="00FE72D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D0" w:rsidRPr="00603BE4" w:rsidRDefault="00FE72D0" w:rsidP="00C611D8">
    <w:pPr>
      <w:pStyle w:val="JuHeader"/>
    </w:pPr>
    <w:r>
      <w:rPr>
        <w:rStyle w:val="aff1"/>
        <w:lang w:val="en-US"/>
      </w:rPr>
      <w:fldChar w:fldCharType="begin"/>
    </w:r>
    <w:r w:rsidRPr="00603BE4">
      <w:rPr>
        <w:rStyle w:val="aff1"/>
      </w:rPr>
      <w:instrText xml:space="preserve"> PAGE </w:instrText>
    </w:r>
    <w:r>
      <w:rPr>
        <w:rStyle w:val="aff1"/>
        <w:lang w:val="en-US"/>
      </w:rPr>
      <w:fldChar w:fldCharType="separate"/>
    </w:r>
    <w:r w:rsidR="00306F3E">
      <w:rPr>
        <w:rStyle w:val="aff1"/>
        <w:noProof/>
      </w:rPr>
      <w:t>2</w:t>
    </w:r>
    <w:r>
      <w:rPr>
        <w:rStyle w:val="aff1"/>
        <w:lang w:val="en-US"/>
      </w:rPr>
      <w:fldChar w:fldCharType="end"/>
    </w:r>
    <w:r w:rsidRPr="00603BE4">
      <w:rPr>
        <w:rStyle w:val="aff1"/>
      </w:rPr>
      <w:tab/>
    </w:r>
    <w:r w:rsidRPr="00DA5834">
      <w:t>ARRÊT</w:t>
    </w:r>
    <w:r w:rsidRPr="00603BE4">
      <w:t xml:space="preserve"> T.I. ET AUTRES c. GRÈCE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D0" w:rsidRPr="001C3AE1" w:rsidRDefault="00FE72D0" w:rsidP="00C63990">
    <w:pPr>
      <w:pStyle w:val="JuHeader"/>
    </w:pPr>
    <w:r w:rsidRPr="001C3AE1">
      <w:tab/>
    </w:r>
    <w:r w:rsidRPr="00DA5834">
      <w:t>ARRÊT</w:t>
    </w:r>
    <w:r w:rsidRPr="00603BE4">
      <w:t xml:space="preserve"> T.I. ET AUTRES c. GRÈCE</w:t>
    </w:r>
    <w:r w:rsidRPr="00603BE4">
      <w:tab/>
    </w:r>
    <w:r>
      <w:rPr>
        <w:rStyle w:val="aff1"/>
      </w:rPr>
      <w:fldChar w:fldCharType="begin"/>
    </w:r>
    <w:r>
      <w:rPr>
        <w:rStyle w:val="aff1"/>
      </w:rPr>
      <w:instrText xml:space="preserve"> PAGE </w:instrText>
    </w:r>
    <w:r>
      <w:rPr>
        <w:rStyle w:val="aff1"/>
      </w:rPr>
      <w:fldChar w:fldCharType="separate"/>
    </w:r>
    <w:r w:rsidR="00306F3E">
      <w:rPr>
        <w:rStyle w:val="aff1"/>
        <w:noProof/>
      </w:rPr>
      <w:t>3</w:t>
    </w:r>
    <w:r>
      <w:rPr>
        <w:rStyle w:val="aff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1638232D"/>
    <w:multiLevelType w:val="multilevel"/>
    <w:tmpl w:val="6AC8DC4A"/>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0"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a1"/>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3"/>
  </w:num>
  <w:num w:numId="3">
    <w:abstractNumId w:val="14"/>
  </w:num>
  <w:num w:numId="4">
    <w:abstractNumId w:val="11"/>
  </w:num>
  <w:num w:numId="5">
    <w:abstractNumId w:val="10"/>
  </w:num>
  <w:num w:numId="6">
    <w:abstractNumId w:val="15"/>
  </w:num>
  <w:num w:numId="7">
    <w:abstractNumId w:val="12"/>
  </w:num>
  <w:num w:numId="8">
    <w:abstractNumId w:val="16"/>
  </w:num>
  <w:num w:numId="9">
    <w:abstractNumId w:val="18"/>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F61333"/>
    <w:rsid w:val="00001EDA"/>
    <w:rsid w:val="00004062"/>
    <w:rsid w:val="000041F8"/>
    <w:rsid w:val="000042A8"/>
    <w:rsid w:val="00004308"/>
    <w:rsid w:val="00005BF0"/>
    <w:rsid w:val="000067B5"/>
    <w:rsid w:val="000070C5"/>
    <w:rsid w:val="00007154"/>
    <w:rsid w:val="000103AE"/>
    <w:rsid w:val="00010796"/>
    <w:rsid w:val="00011840"/>
    <w:rsid w:val="00011D69"/>
    <w:rsid w:val="00012AD3"/>
    <w:rsid w:val="00013ADF"/>
    <w:rsid w:val="00014B08"/>
    <w:rsid w:val="00014E00"/>
    <w:rsid w:val="00015C2D"/>
    <w:rsid w:val="00015F00"/>
    <w:rsid w:val="00016030"/>
    <w:rsid w:val="000165BE"/>
    <w:rsid w:val="00016811"/>
    <w:rsid w:val="00017F85"/>
    <w:rsid w:val="00020139"/>
    <w:rsid w:val="00021308"/>
    <w:rsid w:val="000218CB"/>
    <w:rsid w:val="00021D2E"/>
    <w:rsid w:val="00022C1D"/>
    <w:rsid w:val="0002355C"/>
    <w:rsid w:val="00023B5F"/>
    <w:rsid w:val="0002429A"/>
    <w:rsid w:val="00025879"/>
    <w:rsid w:val="00026090"/>
    <w:rsid w:val="00026175"/>
    <w:rsid w:val="00030141"/>
    <w:rsid w:val="00031347"/>
    <w:rsid w:val="0003168F"/>
    <w:rsid w:val="00031D83"/>
    <w:rsid w:val="00034987"/>
    <w:rsid w:val="00035334"/>
    <w:rsid w:val="000362F5"/>
    <w:rsid w:val="00037787"/>
    <w:rsid w:val="00043A74"/>
    <w:rsid w:val="0004461B"/>
    <w:rsid w:val="00045DF0"/>
    <w:rsid w:val="000509F4"/>
    <w:rsid w:val="00050ABB"/>
    <w:rsid w:val="0005502E"/>
    <w:rsid w:val="000562E6"/>
    <w:rsid w:val="000567CC"/>
    <w:rsid w:val="000569FC"/>
    <w:rsid w:val="00057AA7"/>
    <w:rsid w:val="000602DF"/>
    <w:rsid w:val="00060790"/>
    <w:rsid w:val="00060964"/>
    <w:rsid w:val="00061B05"/>
    <w:rsid w:val="00062C5B"/>
    <w:rsid w:val="00062D58"/>
    <w:rsid w:val="0006305C"/>
    <w:rsid w:val="000632D5"/>
    <w:rsid w:val="000644EE"/>
    <w:rsid w:val="000665A7"/>
    <w:rsid w:val="00066A71"/>
    <w:rsid w:val="000718A9"/>
    <w:rsid w:val="000724DD"/>
    <w:rsid w:val="00072687"/>
    <w:rsid w:val="00072F48"/>
    <w:rsid w:val="00073ED2"/>
    <w:rsid w:val="00074B39"/>
    <w:rsid w:val="000755CC"/>
    <w:rsid w:val="00075630"/>
    <w:rsid w:val="00075A2F"/>
    <w:rsid w:val="0007722F"/>
    <w:rsid w:val="000779FA"/>
    <w:rsid w:val="000831FF"/>
    <w:rsid w:val="0008386B"/>
    <w:rsid w:val="00084626"/>
    <w:rsid w:val="00086001"/>
    <w:rsid w:val="00087A68"/>
    <w:rsid w:val="00092120"/>
    <w:rsid w:val="00092250"/>
    <w:rsid w:val="0009237F"/>
    <w:rsid w:val="000925AD"/>
    <w:rsid w:val="0009358D"/>
    <w:rsid w:val="0009431D"/>
    <w:rsid w:val="00095C61"/>
    <w:rsid w:val="00095EEE"/>
    <w:rsid w:val="000A081B"/>
    <w:rsid w:val="000A08B0"/>
    <w:rsid w:val="000A09A3"/>
    <w:rsid w:val="000A24EB"/>
    <w:rsid w:val="000A30E1"/>
    <w:rsid w:val="000A3DA5"/>
    <w:rsid w:val="000A48AD"/>
    <w:rsid w:val="000A5D51"/>
    <w:rsid w:val="000A6B7A"/>
    <w:rsid w:val="000B0F3D"/>
    <w:rsid w:val="000B1B14"/>
    <w:rsid w:val="000B1E19"/>
    <w:rsid w:val="000B38AF"/>
    <w:rsid w:val="000B4097"/>
    <w:rsid w:val="000B4478"/>
    <w:rsid w:val="000B4F2A"/>
    <w:rsid w:val="000B612C"/>
    <w:rsid w:val="000B6923"/>
    <w:rsid w:val="000B6E51"/>
    <w:rsid w:val="000B78D3"/>
    <w:rsid w:val="000C32AB"/>
    <w:rsid w:val="000C39E3"/>
    <w:rsid w:val="000C3ED0"/>
    <w:rsid w:val="000C45A4"/>
    <w:rsid w:val="000C573D"/>
    <w:rsid w:val="000C5F3C"/>
    <w:rsid w:val="000C6DCC"/>
    <w:rsid w:val="000C70A5"/>
    <w:rsid w:val="000C76E6"/>
    <w:rsid w:val="000D1BC2"/>
    <w:rsid w:val="000D411B"/>
    <w:rsid w:val="000D47AA"/>
    <w:rsid w:val="000D4C97"/>
    <w:rsid w:val="000D5C73"/>
    <w:rsid w:val="000D616B"/>
    <w:rsid w:val="000D721F"/>
    <w:rsid w:val="000D72FF"/>
    <w:rsid w:val="000E069B"/>
    <w:rsid w:val="000E0D3E"/>
    <w:rsid w:val="000E0E82"/>
    <w:rsid w:val="000E187D"/>
    <w:rsid w:val="000E1DC5"/>
    <w:rsid w:val="000E223F"/>
    <w:rsid w:val="000E2E99"/>
    <w:rsid w:val="000E3308"/>
    <w:rsid w:val="000E3E3A"/>
    <w:rsid w:val="000E47CD"/>
    <w:rsid w:val="000E56B5"/>
    <w:rsid w:val="000E5A6B"/>
    <w:rsid w:val="000E60E8"/>
    <w:rsid w:val="000E65FA"/>
    <w:rsid w:val="000E71FD"/>
    <w:rsid w:val="000E7D45"/>
    <w:rsid w:val="000F00EF"/>
    <w:rsid w:val="000F1851"/>
    <w:rsid w:val="000F2CD1"/>
    <w:rsid w:val="000F6D1F"/>
    <w:rsid w:val="000F7851"/>
    <w:rsid w:val="000F795E"/>
    <w:rsid w:val="000F7998"/>
    <w:rsid w:val="000F7CC4"/>
    <w:rsid w:val="001017E8"/>
    <w:rsid w:val="001027ED"/>
    <w:rsid w:val="00102DE6"/>
    <w:rsid w:val="0010376B"/>
    <w:rsid w:val="001041CB"/>
    <w:rsid w:val="00104D70"/>
    <w:rsid w:val="00104E23"/>
    <w:rsid w:val="001054F6"/>
    <w:rsid w:val="00106116"/>
    <w:rsid w:val="001074C9"/>
    <w:rsid w:val="001100A2"/>
    <w:rsid w:val="00111B0C"/>
    <w:rsid w:val="00111E55"/>
    <w:rsid w:val="00112C36"/>
    <w:rsid w:val="00112C6B"/>
    <w:rsid w:val="0011354E"/>
    <w:rsid w:val="00115BC1"/>
    <w:rsid w:val="00116DC2"/>
    <w:rsid w:val="00120D6C"/>
    <w:rsid w:val="0012142F"/>
    <w:rsid w:val="001225F4"/>
    <w:rsid w:val="00123181"/>
    <w:rsid w:val="0012492C"/>
    <w:rsid w:val="001257EC"/>
    <w:rsid w:val="00125E35"/>
    <w:rsid w:val="00125EAB"/>
    <w:rsid w:val="00126ACA"/>
    <w:rsid w:val="00130A43"/>
    <w:rsid w:val="00132695"/>
    <w:rsid w:val="001335BB"/>
    <w:rsid w:val="001339E3"/>
    <w:rsid w:val="00133D33"/>
    <w:rsid w:val="00134D64"/>
    <w:rsid w:val="00135A30"/>
    <w:rsid w:val="0013612C"/>
    <w:rsid w:val="00137FF6"/>
    <w:rsid w:val="00141650"/>
    <w:rsid w:val="00141875"/>
    <w:rsid w:val="00141CFC"/>
    <w:rsid w:val="00143142"/>
    <w:rsid w:val="00147EF0"/>
    <w:rsid w:val="00150012"/>
    <w:rsid w:val="001516A3"/>
    <w:rsid w:val="00152C62"/>
    <w:rsid w:val="001544B4"/>
    <w:rsid w:val="00155686"/>
    <w:rsid w:val="00156BED"/>
    <w:rsid w:val="0016006B"/>
    <w:rsid w:val="0016062F"/>
    <w:rsid w:val="0016174F"/>
    <w:rsid w:val="0016188C"/>
    <w:rsid w:val="0016196D"/>
    <w:rsid w:val="001619D7"/>
    <w:rsid w:val="00162618"/>
    <w:rsid w:val="00162A12"/>
    <w:rsid w:val="00163462"/>
    <w:rsid w:val="00163CB4"/>
    <w:rsid w:val="001656A9"/>
    <w:rsid w:val="001658C0"/>
    <w:rsid w:val="00166457"/>
    <w:rsid w:val="00166530"/>
    <w:rsid w:val="0016723B"/>
    <w:rsid w:val="00170DCA"/>
    <w:rsid w:val="0017260E"/>
    <w:rsid w:val="0017477F"/>
    <w:rsid w:val="001766B1"/>
    <w:rsid w:val="001816AE"/>
    <w:rsid w:val="001818E5"/>
    <w:rsid w:val="00181CA7"/>
    <w:rsid w:val="00181FD6"/>
    <w:rsid w:val="00182DAC"/>
    <w:rsid w:val="001832BD"/>
    <w:rsid w:val="0018487D"/>
    <w:rsid w:val="00185344"/>
    <w:rsid w:val="00187B50"/>
    <w:rsid w:val="00187C99"/>
    <w:rsid w:val="00191ABC"/>
    <w:rsid w:val="00193603"/>
    <w:rsid w:val="001943B5"/>
    <w:rsid w:val="00195134"/>
    <w:rsid w:val="00195210"/>
    <w:rsid w:val="0019536B"/>
    <w:rsid w:val="00195374"/>
    <w:rsid w:val="0019607A"/>
    <w:rsid w:val="00196660"/>
    <w:rsid w:val="001A0783"/>
    <w:rsid w:val="001A08B1"/>
    <w:rsid w:val="001A0FB1"/>
    <w:rsid w:val="001A145B"/>
    <w:rsid w:val="001A1E78"/>
    <w:rsid w:val="001A2CC4"/>
    <w:rsid w:val="001A3EF2"/>
    <w:rsid w:val="001A5BE6"/>
    <w:rsid w:val="001A674C"/>
    <w:rsid w:val="001A7D15"/>
    <w:rsid w:val="001B3B24"/>
    <w:rsid w:val="001B4CDA"/>
    <w:rsid w:val="001B55FA"/>
    <w:rsid w:val="001B571D"/>
    <w:rsid w:val="001B5CA7"/>
    <w:rsid w:val="001B6B57"/>
    <w:rsid w:val="001B6CA8"/>
    <w:rsid w:val="001B7851"/>
    <w:rsid w:val="001B7B6E"/>
    <w:rsid w:val="001C0F98"/>
    <w:rsid w:val="001C2A42"/>
    <w:rsid w:val="001C348A"/>
    <w:rsid w:val="001C3531"/>
    <w:rsid w:val="001C3AE1"/>
    <w:rsid w:val="001C41FA"/>
    <w:rsid w:val="001C477B"/>
    <w:rsid w:val="001C556C"/>
    <w:rsid w:val="001C5E5D"/>
    <w:rsid w:val="001C6DC2"/>
    <w:rsid w:val="001C7257"/>
    <w:rsid w:val="001C7425"/>
    <w:rsid w:val="001C7D14"/>
    <w:rsid w:val="001D0AFC"/>
    <w:rsid w:val="001D160A"/>
    <w:rsid w:val="001D264A"/>
    <w:rsid w:val="001D493A"/>
    <w:rsid w:val="001D63ED"/>
    <w:rsid w:val="001D7348"/>
    <w:rsid w:val="001E035B"/>
    <w:rsid w:val="001E0961"/>
    <w:rsid w:val="001E0B6D"/>
    <w:rsid w:val="001E20EB"/>
    <w:rsid w:val="001E3EAE"/>
    <w:rsid w:val="001E4DEC"/>
    <w:rsid w:val="001E4FA1"/>
    <w:rsid w:val="001E6F32"/>
    <w:rsid w:val="001F2145"/>
    <w:rsid w:val="001F3DA9"/>
    <w:rsid w:val="001F4E43"/>
    <w:rsid w:val="001F56E3"/>
    <w:rsid w:val="001F5B2A"/>
    <w:rsid w:val="001F6262"/>
    <w:rsid w:val="001F67B0"/>
    <w:rsid w:val="001F6F11"/>
    <w:rsid w:val="001F7946"/>
    <w:rsid w:val="001F7B3D"/>
    <w:rsid w:val="001F7FDE"/>
    <w:rsid w:val="00200505"/>
    <w:rsid w:val="0020235D"/>
    <w:rsid w:val="002059CD"/>
    <w:rsid w:val="00205F9F"/>
    <w:rsid w:val="00210326"/>
    <w:rsid w:val="00210338"/>
    <w:rsid w:val="00210358"/>
    <w:rsid w:val="00210E7C"/>
    <w:rsid w:val="002115FC"/>
    <w:rsid w:val="00211BEF"/>
    <w:rsid w:val="00213062"/>
    <w:rsid w:val="0021347C"/>
    <w:rsid w:val="00213A89"/>
    <w:rsid w:val="0021423C"/>
    <w:rsid w:val="002154B5"/>
    <w:rsid w:val="00216A30"/>
    <w:rsid w:val="00216D67"/>
    <w:rsid w:val="00220D06"/>
    <w:rsid w:val="0022504E"/>
    <w:rsid w:val="00225104"/>
    <w:rsid w:val="00225A87"/>
    <w:rsid w:val="00225E39"/>
    <w:rsid w:val="00226312"/>
    <w:rsid w:val="00227932"/>
    <w:rsid w:val="00230D00"/>
    <w:rsid w:val="00231DF7"/>
    <w:rsid w:val="00231FD1"/>
    <w:rsid w:val="0023342E"/>
    <w:rsid w:val="002339E0"/>
    <w:rsid w:val="00233CF8"/>
    <w:rsid w:val="00234189"/>
    <w:rsid w:val="00234A3E"/>
    <w:rsid w:val="0023575D"/>
    <w:rsid w:val="00237148"/>
    <w:rsid w:val="00237E91"/>
    <w:rsid w:val="0024080F"/>
    <w:rsid w:val="00240F05"/>
    <w:rsid w:val="002415D2"/>
    <w:rsid w:val="0024222D"/>
    <w:rsid w:val="0024301E"/>
    <w:rsid w:val="00243432"/>
    <w:rsid w:val="00244B0E"/>
    <w:rsid w:val="00244F6C"/>
    <w:rsid w:val="0024673E"/>
    <w:rsid w:val="002467B2"/>
    <w:rsid w:val="00246853"/>
    <w:rsid w:val="00246ABB"/>
    <w:rsid w:val="00246C50"/>
    <w:rsid w:val="00246D96"/>
    <w:rsid w:val="00250DFD"/>
    <w:rsid w:val="00251063"/>
    <w:rsid w:val="00251507"/>
    <w:rsid w:val="00253299"/>
    <w:rsid w:val="002532C5"/>
    <w:rsid w:val="002534CB"/>
    <w:rsid w:val="002545BC"/>
    <w:rsid w:val="00257F61"/>
    <w:rsid w:val="00257FDC"/>
    <w:rsid w:val="00260C03"/>
    <w:rsid w:val="002625D9"/>
    <w:rsid w:val="00263DC4"/>
    <w:rsid w:val="0026540E"/>
    <w:rsid w:val="00267755"/>
    <w:rsid w:val="00272189"/>
    <w:rsid w:val="00272ADD"/>
    <w:rsid w:val="002739D3"/>
    <w:rsid w:val="00275123"/>
    <w:rsid w:val="002756C1"/>
    <w:rsid w:val="00277153"/>
    <w:rsid w:val="00277D8E"/>
    <w:rsid w:val="00280A76"/>
    <w:rsid w:val="00281A90"/>
    <w:rsid w:val="00282240"/>
    <w:rsid w:val="00282B01"/>
    <w:rsid w:val="0028359E"/>
    <w:rsid w:val="002835A4"/>
    <w:rsid w:val="00284357"/>
    <w:rsid w:val="00287536"/>
    <w:rsid w:val="0029057C"/>
    <w:rsid w:val="00290CA5"/>
    <w:rsid w:val="00291379"/>
    <w:rsid w:val="002928F2"/>
    <w:rsid w:val="00292C43"/>
    <w:rsid w:val="00293A1B"/>
    <w:rsid w:val="00293C3C"/>
    <w:rsid w:val="00294574"/>
    <w:rsid w:val="00294596"/>
    <w:rsid w:val="0029468D"/>
    <w:rsid w:val="002948AD"/>
    <w:rsid w:val="00294915"/>
    <w:rsid w:val="00296A2B"/>
    <w:rsid w:val="002A01CC"/>
    <w:rsid w:val="002A2939"/>
    <w:rsid w:val="002A29BF"/>
    <w:rsid w:val="002A3AAD"/>
    <w:rsid w:val="002A5D1D"/>
    <w:rsid w:val="002A61B1"/>
    <w:rsid w:val="002A663C"/>
    <w:rsid w:val="002A6D1E"/>
    <w:rsid w:val="002A6EC1"/>
    <w:rsid w:val="002B05D2"/>
    <w:rsid w:val="002B1003"/>
    <w:rsid w:val="002B31DA"/>
    <w:rsid w:val="002B444B"/>
    <w:rsid w:val="002B45B9"/>
    <w:rsid w:val="002B55BD"/>
    <w:rsid w:val="002B5887"/>
    <w:rsid w:val="002C028C"/>
    <w:rsid w:val="002C0C00"/>
    <w:rsid w:val="002C0E27"/>
    <w:rsid w:val="002C2C88"/>
    <w:rsid w:val="002C3040"/>
    <w:rsid w:val="002C41E7"/>
    <w:rsid w:val="002C508F"/>
    <w:rsid w:val="002C5D76"/>
    <w:rsid w:val="002C5DB3"/>
    <w:rsid w:val="002C7F5B"/>
    <w:rsid w:val="002D022D"/>
    <w:rsid w:val="002D067C"/>
    <w:rsid w:val="002D23B6"/>
    <w:rsid w:val="002D24BB"/>
    <w:rsid w:val="002D2C77"/>
    <w:rsid w:val="002D307B"/>
    <w:rsid w:val="002D37A4"/>
    <w:rsid w:val="002D4274"/>
    <w:rsid w:val="002D453E"/>
    <w:rsid w:val="002D5034"/>
    <w:rsid w:val="002D64FB"/>
    <w:rsid w:val="002E02CB"/>
    <w:rsid w:val="002E0C87"/>
    <w:rsid w:val="002E3AB2"/>
    <w:rsid w:val="002E663A"/>
    <w:rsid w:val="002E67CA"/>
    <w:rsid w:val="002E727D"/>
    <w:rsid w:val="002F1814"/>
    <w:rsid w:val="002F2AF7"/>
    <w:rsid w:val="002F3D98"/>
    <w:rsid w:val="002F4489"/>
    <w:rsid w:val="002F48BD"/>
    <w:rsid w:val="002F6DFA"/>
    <w:rsid w:val="002F7E1C"/>
    <w:rsid w:val="003002B0"/>
    <w:rsid w:val="00301A75"/>
    <w:rsid w:val="00302F70"/>
    <w:rsid w:val="0030336F"/>
    <w:rsid w:val="0030375E"/>
    <w:rsid w:val="00303D82"/>
    <w:rsid w:val="003069A0"/>
    <w:rsid w:val="00306F3E"/>
    <w:rsid w:val="00310E75"/>
    <w:rsid w:val="00310FE9"/>
    <w:rsid w:val="00311626"/>
    <w:rsid w:val="00312A30"/>
    <w:rsid w:val="00315D1F"/>
    <w:rsid w:val="00315D60"/>
    <w:rsid w:val="00315FE6"/>
    <w:rsid w:val="003161A6"/>
    <w:rsid w:val="003175BA"/>
    <w:rsid w:val="00317A30"/>
    <w:rsid w:val="00320F72"/>
    <w:rsid w:val="00321EA2"/>
    <w:rsid w:val="00324329"/>
    <w:rsid w:val="0032463E"/>
    <w:rsid w:val="003247CE"/>
    <w:rsid w:val="003252F0"/>
    <w:rsid w:val="003253AD"/>
    <w:rsid w:val="00326224"/>
    <w:rsid w:val="00326358"/>
    <w:rsid w:val="0033117E"/>
    <w:rsid w:val="00331AD7"/>
    <w:rsid w:val="00332320"/>
    <w:rsid w:val="003333FD"/>
    <w:rsid w:val="003352F8"/>
    <w:rsid w:val="00337EE4"/>
    <w:rsid w:val="00340313"/>
    <w:rsid w:val="00340677"/>
    <w:rsid w:val="00340FFD"/>
    <w:rsid w:val="003427DA"/>
    <w:rsid w:val="00343170"/>
    <w:rsid w:val="00343A99"/>
    <w:rsid w:val="00343FB0"/>
    <w:rsid w:val="003443AD"/>
    <w:rsid w:val="0034487B"/>
    <w:rsid w:val="00344EAE"/>
    <w:rsid w:val="003457C4"/>
    <w:rsid w:val="00347339"/>
    <w:rsid w:val="003506B1"/>
    <w:rsid w:val="00350D44"/>
    <w:rsid w:val="00351350"/>
    <w:rsid w:val="00354F8C"/>
    <w:rsid w:val="00356AC7"/>
    <w:rsid w:val="00360179"/>
    <w:rsid w:val="003609FA"/>
    <w:rsid w:val="00361AA3"/>
    <w:rsid w:val="0036223D"/>
    <w:rsid w:val="00362BB7"/>
    <w:rsid w:val="00362C6B"/>
    <w:rsid w:val="00362DA2"/>
    <w:rsid w:val="00364B62"/>
    <w:rsid w:val="003657EB"/>
    <w:rsid w:val="003710C8"/>
    <w:rsid w:val="00371E1C"/>
    <w:rsid w:val="003721E0"/>
    <w:rsid w:val="00373367"/>
    <w:rsid w:val="00373AE7"/>
    <w:rsid w:val="003750BE"/>
    <w:rsid w:val="00375EFF"/>
    <w:rsid w:val="0037650A"/>
    <w:rsid w:val="00376C30"/>
    <w:rsid w:val="003821EC"/>
    <w:rsid w:val="0038248C"/>
    <w:rsid w:val="00383402"/>
    <w:rsid w:val="00384D70"/>
    <w:rsid w:val="003851F1"/>
    <w:rsid w:val="003855E0"/>
    <w:rsid w:val="00386AA5"/>
    <w:rsid w:val="00387B9D"/>
    <w:rsid w:val="00390AD3"/>
    <w:rsid w:val="0039122E"/>
    <w:rsid w:val="00392141"/>
    <w:rsid w:val="0039339B"/>
    <w:rsid w:val="0039364F"/>
    <w:rsid w:val="00394D10"/>
    <w:rsid w:val="003962CD"/>
    <w:rsid w:val="00396686"/>
    <w:rsid w:val="0039767A"/>
    <w:rsid w:val="0039778E"/>
    <w:rsid w:val="003A0345"/>
    <w:rsid w:val="003A0580"/>
    <w:rsid w:val="003A08CB"/>
    <w:rsid w:val="003A11E7"/>
    <w:rsid w:val="003A218C"/>
    <w:rsid w:val="003A2683"/>
    <w:rsid w:val="003A389C"/>
    <w:rsid w:val="003A6E3D"/>
    <w:rsid w:val="003A71AA"/>
    <w:rsid w:val="003B1233"/>
    <w:rsid w:val="003B230F"/>
    <w:rsid w:val="003B257F"/>
    <w:rsid w:val="003B2814"/>
    <w:rsid w:val="003B3760"/>
    <w:rsid w:val="003B47FC"/>
    <w:rsid w:val="003B4941"/>
    <w:rsid w:val="003B647A"/>
    <w:rsid w:val="003C04D4"/>
    <w:rsid w:val="003C08E6"/>
    <w:rsid w:val="003C236F"/>
    <w:rsid w:val="003C2867"/>
    <w:rsid w:val="003C4ED3"/>
    <w:rsid w:val="003C517A"/>
    <w:rsid w:val="003C5714"/>
    <w:rsid w:val="003C5AE7"/>
    <w:rsid w:val="003C6B9F"/>
    <w:rsid w:val="003C6BD2"/>
    <w:rsid w:val="003C6E2A"/>
    <w:rsid w:val="003C79CB"/>
    <w:rsid w:val="003D0299"/>
    <w:rsid w:val="003D0B2B"/>
    <w:rsid w:val="003D1620"/>
    <w:rsid w:val="003D2943"/>
    <w:rsid w:val="003D6830"/>
    <w:rsid w:val="003E08A7"/>
    <w:rsid w:val="003E1874"/>
    <w:rsid w:val="003E2C02"/>
    <w:rsid w:val="003E605D"/>
    <w:rsid w:val="003E6D80"/>
    <w:rsid w:val="003F05FA"/>
    <w:rsid w:val="003F0D3C"/>
    <w:rsid w:val="003F2063"/>
    <w:rsid w:val="003F244A"/>
    <w:rsid w:val="003F30B8"/>
    <w:rsid w:val="003F45B8"/>
    <w:rsid w:val="003F4C45"/>
    <w:rsid w:val="003F4FE9"/>
    <w:rsid w:val="003F51E1"/>
    <w:rsid w:val="003F5923"/>
    <w:rsid w:val="003F5F7B"/>
    <w:rsid w:val="003F6B2D"/>
    <w:rsid w:val="003F6B30"/>
    <w:rsid w:val="003F7A24"/>
    <w:rsid w:val="003F7D64"/>
    <w:rsid w:val="004015C0"/>
    <w:rsid w:val="00402A2A"/>
    <w:rsid w:val="00404DD2"/>
    <w:rsid w:val="00404F20"/>
    <w:rsid w:val="00405F95"/>
    <w:rsid w:val="00407648"/>
    <w:rsid w:val="00410D9D"/>
    <w:rsid w:val="004138C0"/>
    <w:rsid w:val="00413A77"/>
    <w:rsid w:val="00414120"/>
    <w:rsid w:val="00414300"/>
    <w:rsid w:val="004147EA"/>
    <w:rsid w:val="00414C75"/>
    <w:rsid w:val="0041785F"/>
    <w:rsid w:val="00420CA5"/>
    <w:rsid w:val="0042126B"/>
    <w:rsid w:val="00423216"/>
    <w:rsid w:val="004252E0"/>
    <w:rsid w:val="00425C67"/>
    <w:rsid w:val="00425C9D"/>
    <w:rsid w:val="0042673D"/>
    <w:rsid w:val="00427E7A"/>
    <w:rsid w:val="00430202"/>
    <w:rsid w:val="004303A8"/>
    <w:rsid w:val="0043150F"/>
    <w:rsid w:val="00431615"/>
    <w:rsid w:val="004333FB"/>
    <w:rsid w:val="004338D2"/>
    <w:rsid w:val="004340A9"/>
    <w:rsid w:val="00434346"/>
    <w:rsid w:val="00434B16"/>
    <w:rsid w:val="00434EC4"/>
    <w:rsid w:val="0043549F"/>
    <w:rsid w:val="00436C49"/>
    <w:rsid w:val="004403CB"/>
    <w:rsid w:val="00440424"/>
    <w:rsid w:val="00441FE5"/>
    <w:rsid w:val="004449F2"/>
    <w:rsid w:val="00445366"/>
    <w:rsid w:val="004457A7"/>
    <w:rsid w:val="00446C22"/>
    <w:rsid w:val="00447F5B"/>
    <w:rsid w:val="0045067D"/>
    <w:rsid w:val="004541CE"/>
    <w:rsid w:val="004542A5"/>
    <w:rsid w:val="004576D4"/>
    <w:rsid w:val="0045793A"/>
    <w:rsid w:val="00457E9B"/>
    <w:rsid w:val="00460245"/>
    <w:rsid w:val="00461DB0"/>
    <w:rsid w:val="0046214D"/>
    <w:rsid w:val="00462D6C"/>
    <w:rsid w:val="00463926"/>
    <w:rsid w:val="00463B43"/>
    <w:rsid w:val="00464C9A"/>
    <w:rsid w:val="00464E3A"/>
    <w:rsid w:val="004677A5"/>
    <w:rsid w:val="0047037F"/>
    <w:rsid w:val="00472364"/>
    <w:rsid w:val="004741F5"/>
    <w:rsid w:val="00474239"/>
    <w:rsid w:val="00474ED7"/>
    <w:rsid w:val="00474F3D"/>
    <w:rsid w:val="004763E8"/>
    <w:rsid w:val="00477557"/>
    <w:rsid w:val="00477C64"/>
    <w:rsid w:val="00477E3A"/>
    <w:rsid w:val="0048183C"/>
    <w:rsid w:val="00483792"/>
    <w:rsid w:val="00483E5F"/>
    <w:rsid w:val="0048403B"/>
    <w:rsid w:val="0048417E"/>
    <w:rsid w:val="00485FF9"/>
    <w:rsid w:val="004862C3"/>
    <w:rsid w:val="004866E8"/>
    <w:rsid w:val="00486A4F"/>
    <w:rsid w:val="00490666"/>
    <w:rsid w:val="004907F0"/>
    <w:rsid w:val="00490C9E"/>
    <w:rsid w:val="0049140B"/>
    <w:rsid w:val="00491A6C"/>
    <w:rsid w:val="004923A5"/>
    <w:rsid w:val="00496BFB"/>
    <w:rsid w:val="004971CF"/>
    <w:rsid w:val="004A09FC"/>
    <w:rsid w:val="004A15C7"/>
    <w:rsid w:val="004A27CC"/>
    <w:rsid w:val="004A3CE3"/>
    <w:rsid w:val="004A417D"/>
    <w:rsid w:val="004A6B73"/>
    <w:rsid w:val="004A7D43"/>
    <w:rsid w:val="004B013B"/>
    <w:rsid w:val="004B0A39"/>
    <w:rsid w:val="004B112B"/>
    <w:rsid w:val="004B519B"/>
    <w:rsid w:val="004B634E"/>
    <w:rsid w:val="004B683E"/>
    <w:rsid w:val="004B69A5"/>
    <w:rsid w:val="004B7069"/>
    <w:rsid w:val="004B7E2F"/>
    <w:rsid w:val="004C01E4"/>
    <w:rsid w:val="004C086C"/>
    <w:rsid w:val="004C0B57"/>
    <w:rsid w:val="004C0DBB"/>
    <w:rsid w:val="004C1806"/>
    <w:rsid w:val="004C1C30"/>
    <w:rsid w:val="004C1F56"/>
    <w:rsid w:val="004C27BC"/>
    <w:rsid w:val="004C382B"/>
    <w:rsid w:val="004C429F"/>
    <w:rsid w:val="004C636D"/>
    <w:rsid w:val="004D0AA8"/>
    <w:rsid w:val="004D0E83"/>
    <w:rsid w:val="004D15F3"/>
    <w:rsid w:val="004D2B07"/>
    <w:rsid w:val="004D4657"/>
    <w:rsid w:val="004D475E"/>
    <w:rsid w:val="004D5311"/>
    <w:rsid w:val="004D5795"/>
    <w:rsid w:val="004D5DCC"/>
    <w:rsid w:val="004D68AC"/>
    <w:rsid w:val="004D6903"/>
    <w:rsid w:val="004D691F"/>
    <w:rsid w:val="004D70E1"/>
    <w:rsid w:val="004E04EB"/>
    <w:rsid w:val="004E163E"/>
    <w:rsid w:val="004E2C07"/>
    <w:rsid w:val="004E5B26"/>
    <w:rsid w:val="004E6713"/>
    <w:rsid w:val="004E67A1"/>
    <w:rsid w:val="004E7D62"/>
    <w:rsid w:val="004F02EC"/>
    <w:rsid w:val="004F0965"/>
    <w:rsid w:val="004F0FF1"/>
    <w:rsid w:val="004F10AF"/>
    <w:rsid w:val="004F11A4"/>
    <w:rsid w:val="004F1C4F"/>
    <w:rsid w:val="004F2389"/>
    <w:rsid w:val="004F2979"/>
    <w:rsid w:val="004F304D"/>
    <w:rsid w:val="004F51A3"/>
    <w:rsid w:val="004F61BE"/>
    <w:rsid w:val="004F66B1"/>
    <w:rsid w:val="004F7831"/>
    <w:rsid w:val="005029CE"/>
    <w:rsid w:val="005035B3"/>
    <w:rsid w:val="00505C78"/>
    <w:rsid w:val="00505E77"/>
    <w:rsid w:val="005063A0"/>
    <w:rsid w:val="005066CD"/>
    <w:rsid w:val="00507AB3"/>
    <w:rsid w:val="00511244"/>
    <w:rsid w:val="00511C07"/>
    <w:rsid w:val="0051529B"/>
    <w:rsid w:val="00515917"/>
    <w:rsid w:val="00516085"/>
    <w:rsid w:val="005169C7"/>
    <w:rsid w:val="00516B88"/>
    <w:rsid w:val="005173A6"/>
    <w:rsid w:val="0051756F"/>
    <w:rsid w:val="00517C27"/>
    <w:rsid w:val="00520964"/>
    <w:rsid w:val="00520BAA"/>
    <w:rsid w:val="00521C14"/>
    <w:rsid w:val="00522F68"/>
    <w:rsid w:val="00525208"/>
    <w:rsid w:val="005257A5"/>
    <w:rsid w:val="0052602A"/>
    <w:rsid w:val="005264C0"/>
    <w:rsid w:val="00526A8A"/>
    <w:rsid w:val="005278A2"/>
    <w:rsid w:val="00527D45"/>
    <w:rsid w:val="00531A99"/>
    <w:rsid w:val="00531DF2"/>
    <w:rsid w:val="00534606"/>
    <w:rsid w:val="00534D4E"/>
    <w:rsid w:val="00535B9E"/>
    <w:rsid w:val="005362B0"/>
    <w:rsid w:val="005408DE"/>
    <w:rsid w:val="00540AF7"/>
    <w:rsid w:val="005436A0"/>
    <w:rsid w:val="005442EE"/>
    <w:rsid w:val="00544404"/>
    <w:rsid w:val="00544AA4"/>
    <w:rsid w:val="00547083"/>
    <w:rsid w:val="00547353"/>
    <w:rsid w:val="005474E7"/>
    <w:rsid w:val="00550351"/>
    <w:rsid w:val="00550B94"/>
    <w:rsid w:val="005512A3"/>
    <w:rsid w:val="0055132B"/>
    <w:rsid w:val="0055175C"/>
    <w:rsid w:val="00551F86"/>
    <w:rsid w:val="00553E3F"/>
    <w:rsid w:val="0055537F"/>
    <w:rsid w:val="005578CE"/>
    <w:rsid w:val="00561D48"/>
    <w:rsid w:val="0056229E"/>
    <w:rsid w:val="00562517"/>
    <w:rsid w:val="00562781"/>
    <w:rsid w:val="00563149"/>
    <w:rsid w:val="00563636"/>
    <w:rsid w:val="00563BC4"/>
    <w:rsid w:val="005667A5"/>
    <w:rsid w:val="00566B51"/>
    <w:rsid w:val="00566E67"/>
    <w:rsid w:val="00567D47"/>
    <w:rsid w:val="00571D92"/>
    <w:rsid w:val="0057230E"/>
    <w:rsid w:val="0057271C"/>
    <w:rsid w:val="00572845"/>
    <w:rsid w:val="005731CC"/>
    <w:rsid w:val="00573A6F"/>
    <w:rsid w:val="00574C83"/>
    <w:rsid w:val="0057551F"/>
    <w:rsid w:val="00575B23"/>
    <w:rsid w:val="00577442"/>
    <w:rsid w:val="00580935"/>
    <w:rsid w:val="005822B5"/>
    <w:rsid w:val="0058494D"/>
    <w:rsid w:val="00587822"/>
    <w:rsid w:val="00590EF6"/>
    <w:rsid w:val="00592087"/>
    <w:rsid w:val="00592772"/>
    <w:rsid w:val="005937D8"/>
    <w:rsid w:val="00593DC4"/>
    <w:rsid w:val="0059467B"/>
    <w:rsid w:val="00594710"/>
    <w:rsid w:val="00595367"/>
    <w:rsid w:val="0059574A"/>
    <w:rsid w:val="00596468"/>
    <w:rsid w:val="005967CC"/>
    <w:rsid w:val="005A02CB"/>
    <w:rsid w:val="005A167A"/>
    <w:rsid w:val="005A1B9B"/>
    <w:rsid w:val="005A3372"/>
    <w:rsid w:val="005A5EEA"/>
    <w:rsid w:val="005A6484"/>
    <w:rsid w:val="005A6751"/>
    <w:rsid w:val="005A6D58"/>
    <w:rsid w:val="005B092E"/>
    <w:rsid w:val="005B152C"/>
    <w:rsid w:val="005B1781"/>
    <w:rsid w:val="005B1EE0"/>
    <w:rsid w:val="005B2B24"/>
    <w:rsid w:val="005B4425"/>
    <w:rsid w:val="005B4A9D"/>
    <w:rsid w:val="005B4B94"/>
    <w:rsid w:val="005B6EB9"/>
    <w:rsid w:val="005B7AB6"/>
    <w:rsid w:val="005C07E0"/>
    <w:rsid w:val="005C0DC2"/>
    <w:rsid w:val="005C0F8A"/>
    <w:rsid w:val="005C176A"/>
    <w:rsid w:val="005C216A"/>
    <w:rsid w:val="005C2AA3"/>
    <w:rsid w:val="005C2E92"/>
    <w:rsid w:val="005C3EE8"/>
    <w:rsid w:val="005C5D9F"/>
    <w:rsid w:val="005C703F"/>
    <w:rsid w:val="005C7148"/>
    <w:rsid w:val="005C7ACC"/>
    <w:rsid w:val="005D00D2"/>
    <w:rsid w:val="005D090E"/>
    <w:rsid w:val="005D1E9C"/>
    <w:rsid w:val="005D34F9"/>
    <w:rsid w:val="005D4190"/>
    <w:rsid w:val="005D4E63"/>
    <w:rsid w:val="005D5DBB"/>
    <w:rsid w:val="005D60BD"/>
    <w:rsid w:val="005D67A3"/>
    <w:rsid w:val="005E02CD"/>
    <w:rsid w:val="005E0AB8"/>
    <w:rsid w:val="005E28CC"/>
    <w:rsid w:val="005E2988"/>
    <w:rsid w:val="005E3085"/>
    <w:rsid w:val="005E3331"/>
    <w:rsid w:val="005E3412"/>
    <w:rsid w:val="005E37C6"/>
    <w:rsid w:val="005E3BEE"/>
    <w:rsid w:val="005E5584"/>
    <w:rsid w:val="005E5CF8"/>
    <w:rsid w:val="005E77D0"/>
    <w:rsid w:val="005F0989"/>
    <w:rsid w:val="005F0E08"/>
    <w:rsid w:val="005F17A6"/>
    <w:rsid w:val="005F18CA"/>
    <w:rsid w:val="005F24AF"/>
    <w:rsid w:val="005F2606"/>
    <w:rsid w:val="005F2D24"/>
    <w:rsid w:val="005F32FF"/>
    <w:rsid w:val="005F43E7"/>
    <w:rsid w:val="005F51E1"/>
    <w:rsid w:val="005F582A"/>
    <w:rsid w:val="005F627C"/>
    <w:rsid w:val="00600408"/>
    <w:rsid w:val="00601169"/>
    <w:rsid w:val="0060176B"/>
    <w:rsid w:val="00603BE4"/>
    <w:rsid w:val="00604D57"/>
    <w:rsid w:val="00605771"/>
    <w:rsid w:val="00611BCA"/>
    <w:rsid w:val="00611C80"/>
    <w:rsid w:val="00611C99"/>
    <w:rsid w:val="0061564C"/>
    <w:rsid w:val="00615AEE"/>
    <w:rsid w:val="006164CB"/>
    <w:rsid w:val="00617E0D"/>
    <w:rsid w:val="00620692"/>
    <w:rsid w:val="006206A0"/>
    <w:rsid w:val="0062097D"/>
    <w:rsid w:val="006211A3"/>
    <w:rsid w:val="0062170F"/>
    <w:rsid w:val="006242CA"/>
    <w:rsid w:val="00627507"/>
    <w:rsid w:val="006279D0"/>
    <w:rsid w:val="0063217B"/>
    <w:rsid w:val="00633717"/>
    <w:rsid w:val="00633C9C"/>
    <w:rsid w:val="006344E1"/>
    <w:rsid w:val="00635421"/>
    <w:rsid w:val="00635717"/>
    <w:rsid w:val="00635C6A"/>
    <w:rsid w:val="006410EA"/>
    <w:rsid w:val="00642289"/>
    <w:rsid w:val="0064265F"/>
    <w:rsid w:val="00644F7B"/>
    <w:rsid w:val="00646454"/>
    <w:rsid w:val="00646D3D"/>
    <w:rsid w:val="0064715C"/>
    <w:rsid w:val="00650F9C"/>
    <w:rsid w:val="006518CC"/>
    <w:rsid w:val="00652081"/>
    <w:rsid w:val="0065298D"/>
    <w:rsid w:val="006534DE"/>
    <w:rsid w:val="0065397E"/>
    <w:rsid w:val="006545C4"/>
    <w:rsid w:val="006564E0"/>
    <w:rsid w:val="0066106C"/>
    <w:rsid w:val="0066157F"/>
    <w:rsid w:val="00661971"/>
    <w:rsid w:val="00661B94"/>
    <w:rsid w:val="00661CE8"/>
    <w:rsid w:val="006623D9"/>
    <w:rsid w:val="0066241D"/>
    <w:rsid w:val="00662A96"/>
    <w:rsid w:val="0066550C"/>
    <w:rsid w:val="00667B26"/>
    <w:rsid w:val="00667EFE"/>
    <w:rsid w:val="0067080D"/>
    <w:rsid w:val="00670D3F"/>
    <w:rsid w:val="006716F2"/>
    <w:rsid w:val="00674226"/>
    <w:rsid w:val="00676EC2"/>
    <w:rsid w:val="00680718"/>
    <w:rsid w:val="00681912"/>
    <w:rsid w:val="00682742"/>
    <w:rsid w:val="00682BF2"/>
    <w:rsid w:val="0068482F"/>
    <w:rsid w:val="00684F4C"/>
    <w:rsid w:val="006859CE"/>
    <w:rsid w:val="006866BA"/>
    <w:rsid w:val="00686C5C"/>
    <w:rsid w:val="00690604"/>
    <w:rsid w:val="00690CA4"/>
    <w:rsid w:val="00691270"/>
    <w:rsid w:val="00694A2E"/>
    <w:rsid w:val="00694BA8"/>
    <w:rsid w:val="00695B5C"/>
    <w:rsid w:val="00695E56"/>
    <w:rsid w:val="006961AB"/>
    <w:rsid w:val="00697002"/>
    <w:rsid w:val="006A037C"/>
    <w:rsid w:val="006A0A48"/>
    <w:rsid w:val="006A0E9D"/>
    <w:rsid w:val="006A1B77"/>
    <w:rsid w:val="006A1CE1"/>
    <w:rsid w:val="006A26F3"/>
    <w:rsid w:val="006A36F4"/>
    <w:rsid w:val="006A406F"/>
    <w:rsid w:val="006A5B8B"/>
    <w:rsid w:val="006A5D3A"/>
    <w:rsid w:val="006B1313"/>
    <w:rsid w:val="006B1353"/>
    <w:rsid w:val="006B2653"/>
    <w:rsid w:val="006B37BE"/>
    <w:rsid w:val="006B3A5C"/>
    <w:rsid w:val="006B3C5D"/>
    <w:rsid w:val="006B5A7B"/>
    <w:rsid w:val="006B6570"/>
    <w:rsid w:val="006B6C23"/>
    <w:rsid w:val="006C1BCB"/>
    <w:rsid w:val="006C2262"/>
    <w:rsid w:val="006C23D4"/>
    <w:rsid w:val="006C2EDA"/>
    <w:rsid w:val="006C3230"/>
    <w:rsid w:val="006C3332"/>
    <w:rsid w:val="006C5865"/>
    <w:rsid w:val="006C64BE"/>
    <w:rsid w:val="006C7BB0"/>
    <w:rsid w:val="006D14D1"/>
    <w:rsid w:val="006D1854"/>
    <w:rsid w:val="006D27F3"/>
    <w:rsid w:val="006D2CFB"/>
    <w:rsid w:val="006D3237"/>
    <w:rsid w:val="006D40CB"/>
    <w:rsid w:val="006D4473"/>
    <w:rsid w:val="006D4964"/>
    <w:rsid w:val="006D6364"/>
    <w:rsid w:val="006D7AA5"/>
    <w:rsid w:val="006D7C6F"/>
    <w:rsid w:val="006E2C2D"/>
    <w:rsid w:val="006E2E37"/>
    <w:rsid w:val="006E311A"/>
    <w:rsid w:val="006E3CF1"/>
    <w:rsid w:val="006E4182"/>
    <w:rsid w:val="006E7E80"/>
    <w:rsid w:val="006E7EC9"/>
    <w:rsid w:val="006F1E4B"/>
    <w:rsid w:val="006F3052"/>
    <w:rsid w:val="006F48CA"/>
    <w:rsid w:val="006F4E29"/>
    <w:rsid w:val="006F64DD"/>
    <w:rsid w:val="006F6BA3"/>
    <w:rsid w:val="006F721E"/>
    <w:rsid w:val="00701764"/>
    <w:rsid w:val="0070235F"/>
    <w:rsid w:val="00703796"/>
    <w:rsid w:val="007048E4"/>
    <w:rsid w:val="00704C3B"/>
    <w:rsid w:val="007051EC"/>
    <w:rsid w:val="00707D87"/>
    <w:rsid w:val="00710420"/>
    <w:rsid w:val="00711224"/>
    <w:rsid w:val="00711B9F"/>
    <w:rsid w:val="00713B9F"/>
    <w:rsid w:val="00714866"/>
    <w:rsid w:val="00714D99"/>
    <w:rsid w:val="00714DCA"/>
    <w:rsid w:val="0071510A"/>
    <w:rsid w:val="00715127"/>
    <w:rsid w:val="00715E8E"/>
    <w:rsid w:val="0071679F"/>
    <w:rsid w:val="007172C4"/>
    <w:rsid w:val="0071762A"/>
    <w:rsid w:val="00720B40"/>
    <w:rsid w:val="007217FB"/>
    <w:rsid w:val="00721AE4"/>
    <w:rsid w:val="007227AB"/>
    <w:rsid w:val="0072317C"/>
    <w:rsid w:val="0072326C"/>
    <w:rsid w:val="00723580"/>
    <w:rsid w:val="00723755"/>
    <w:rsid w:val="007247BC"/>
    <w:rsid w:val="00725F26"/>
    <w:rsid w:val="007263DD"/>
    <w:rsid w:val="0073136C"/>
    <w:rsid w:val="00731A01"/>
    <w:rsid w:val="00731F0F"/>
    <w:rsid w:val="00733250"/>
    <w:rsid w:val="0073483E"/>
    <w:rsid w:val="007349AD"/>
    <w:rsid w:val="00736703"/>
    <w:rsid w:val="0074047C"/>
    <w:rsid w:val="00741372"/>
    <w:rsid w:val="00741404"/>
    <w:rsid w:val="00741A61"/>
    <w:rsid w:val="00742553"/>
    <w:rsid w:val="007449E5"/>
    <w:rsid w:val="00744F07"/>
    <w:rsid w:val="0074522E"/>
    <w:rsid w:val="00745EF3"/>
    <w:rsid w:val="00746137"/>
    <w:rsid w:val="00747196"/>
    <w:rsid w:val="00747C6E"/>
    <w:rsid w:val="00747FF0"/>
    <w:rsid w:val="0075041D"/>
    <w:rsid w:val="00750A1B"/>
    <w:rsid w:val="00751259"/>
    <w:rsid w:val="007513B3"/>
    <w:rsid w:val="00751657"/>
    <w:rsid w:val="007518E2"/>
    <w:rsid w:val="00751AD5"/>
    <w:rsid w:val="007529EF"/>
    <w:rsid w:val="007536CC"/>
    <w:rsid w:val="00754C07"/>
    <w:rsid w:val="0075518E"/>
    <w:rsid w:val="00755715"/>
    <w:rsid w:val="007569C5"/>
    <w:rsid w:val="007633BF"/>
    <w:rsid w:val="00763455"/>
    <w:rsid w:val="00763B2B"/>
    <w:rsid w:val="00763EEB"/>
    <w:rsid w:val="00764D4E"/>
    <w:rsid w:val="00765A1F"/>
    <w:rsid w:val="00766588"/>
    <w:rsid w:val="00766E94"/>
    <w:rsid w:val="007670EF"/>
    <w:rsid w:val="00767278"/>
    <w:rsid w:val="007677C2"/>
    <w:rsid w:val="00767908"/>
    <w:rsid w:val="00767EAA"/>
    <w:rsid w:val="00775B6D"/>
    <w:rsid w:val="00776D68"/>
    <w:rsid w:val="00777B18"/>
    <w:rsid w:val="00777F9B"/>
    <w:rsid w:val="007805D8"/>
    <w:rsid w:val="00780A6E"/>
    <w:rsid w:val="00781399"/>
    <w:rsid w:val="00782FCD"/>
    <w:rsid w:val="007850EE"/>
    <w:rsid w:val="0078576E"/>
    <w:rsid w:val="00785B95"/>
    <w:rsid w:val="00787830"/>
    <w:rsid w:val="00790E96"/>
    <w:rsid w:val="00793366"/>
    <w:rsid w:val="007952DA"/>
    <w:rsid w:val="007975EE"/>
    <w:rsid w:val="00797A41"/>
    <w:rsid w:val="00797CC4"/>
    <w:rsid w:val="007A0725"/>
    <w:rsid w:val="007A1848"/>
    <w:rsid w:val="007A2381"/>
    <w:rsid w:val="007A5239"/>
    <w:rsid w:val="007A5981"/>
    <w:rsid w:val="007A716F"/>
    <w:rsid w:val="007A7563"/>
    <w:rsid w:val="007B270A"/>
    <w:rsid w:val="007B284C"/>
    <w:rsid w:val="007B367C"/>
    <w:rsid w:val="007B3E3A"/>
    <w:rsid w:val="007B4B56"/>
    <w:rsid w:val="007C0695"/>
    <w:rsid w:val="007C13B2"/>
    <w:rsid w:val="007C19E6"/>
    <w:rsid w:val="007C1C7F"/>
    <w:rsid w:val="007C3055"/>
    <w:rsid w:val="007C3623"/>
    <w:rsid w:val="007C419A"/>
    <w:rsid w:val="007C460F"/>
    <w:rsid w:val="007C4CC8"/>
    <w:rsid w:val="007C5300"/>
    <w:rsid w:val="007C5426"/>
    <w:rsid w:val="007C5798"/>
    <w:rsid w:val="007D0386"/>
    <w:rsid w:val="007D160E"/>
    <w:rsid w:val="007D1A2A"/>
    <w:rsid w:val="007D1B86"/>
    <w:rsid w:val="007D2496"/>
    <w:rsid w:val="007D3C54"/>
    <w:rsid w:val="007D4832"/>
    <w:rsid w:val="007D5554"/>
    <w:rsid w:val="007E0E25"/>
    <w:rsid w:val="007E21B2"/>
    <w:rsid w:val="007E2C4E"/>
    <w:rsid w:val="007E38B9"/>
    <w:rsid w:val="007E3960"/>
    <w:rsid w:val="007E3ED4"/>
    <w:rsid w:val="007E4059"/>
    <w:rsid w:val="007E42E1"/>
    <w:rsid w:val="007E44B5"/>
    <w:rsid w:val="007E463F"/>
    <w:rsid w:val="007E48C2"/>
    <w:rsid w:val="007E48CB"/>
    <w:rsid w:val="007E48DE"/>
    <w:rsid w:val="007E5D38"/>
    <w:rsid w:val="007E5FBE"/>
    <w:rsid w:val="007F0E5E"/>
    <w:rsid w:val="007F12DD"/>
    <w:rsid w:val="007F1905"/>
    <w:rsid w:val="007F3869"/>
    <w:rsid w:val="007F4F51"/>
    <w:rsid w:val="007F5099"/>
    <w:rsid w:val="007F50AE"/>
    <w:rsid w:val="00801300"/>
    <w:rsid w:val="00802254"/>
    <w:rsid w:val="00802C64"/>
    <w:rsid w:val="00805E52"/>
    <w:rsid w:val="008061D0"/>
    <w:rsid w:val="00810B38"/>
    <w:rsid w:val="00814A3C"/>
    <w:rsid w:val="008168E7"/>
    <w:rsid w:val="00816E15"/>
    <w:rsid w:val="008170F1"/>
    <w:rsid w:val="00817A25"/>
    <w:rsid w:val="00820376"/>
    <w:rsid w:val="008204C7"/>
    <w:rsid w:val="00820992"/>
    <w:rsid w:val="00821364"/>
    <w:rsid w:val="00823602"/>
    <w:rsid w:val="008239FB"/>
    <w:rsid w:val="00823A47"/>
    <w:rsid w:val="00824342"/>
    <w:rsid w:val="008255F5"/>
    <w:rsid w:val="0083014E"/>
    <w:rsid w:val="0083214A"/>
    <w:rsid w:val="008323C4"/>
    <w:rsid w:val="00833CA5"/>
    <w:rsid w:val="00834220"/>
    <w:rsid w:val="00834788"/>
    <w:rsid w:val="008405C2"/>
    <w:rsid w:val="00842C35"/>
    <w:rsid w:val="008431B8"/>
    <w:rsid w:val="0084351A"/>
    <w:rsid w:val="00844C8F"/>
    <w:rsid w:val="00845400"/>
    <w:rsid w:val="00845723"/>
    <w:rsid w:val="00846A85"/>
    <w:rsid w:val="008501C6"/>
    <w:rsid w:val="00850858"/>
    <w:rsid w:val="008515D8"/>
    <w:rsid w:val="00851EF9"/>
    <w:rsid w:val="00852493"/>
    <w:rsid w:val="00852496"/>
    <w:rsid w:val="008548E9"/>
    <w:rsid w:val="00855F10"/>
    <w:rsid w:val="008577FD"/>
    <w:rsid w:val="00857E57"/>
    <w:rsid w:val="008609D8"/>
    <w:rsid w:val="00860B03"/>
    <w:rsid w:val="00860CE7"/>
    <w:rsid w:val="0086497A"/>
    <w:rsid w:val="00864BBC"/>
    <w:rsid w:val="00864D5F"/>
    <w:rsid w:val="0086768A"/>
    <w:rsid w:val="00870974"/>
    <w:rsid w:val="008713A1"/>
    <w:rsid w:val="0087173E"/>
    <w:rsid w:val="00873B7E"/>
    <w:rsid w:val="008754AB"/>
    <w:rsid w:val="00875AB3"/>
    <w:rsid w:val="00876B27"/>
    <w:rsid w:val="0088060C"/>
    <w:rsid w:val="00880B5D"/>
    <w:rsid w:val="0088303D"/>
    <w:rsid w:val="008851E6"/>
    <w:rsid w:val="008852A7"/>
    <w:rsid w:val="00887130"/>
    <w:rsid w:val="008871DB"/>
    <w:rsid w:val="008909B9"/>
    <w:rsid w:val="00893576"/>
    <w:rsid w:val="00893E73"/>
    <w:rsid w:val="0089491E"/>
    <w:rsid w:val="00894F5E"/>
    <w:rsid w:val="00895610"/>
    <w:rsid w:val="008957A8"/>
    <w:rsid w:val="00897226"/>
    <w:rsid w:val="008A2B6F"/>
    <w:rsid w:val="008A347B"/>
    <w:rsid w:val="008A4FE8"/>
    <w:rsid w:val="008A5202"/>
    <w:rsid w:val="008A5498"/>
    <w:rsid w:val="008A63F5"/>
    <w:rsid w:val="008A7198"/>
    <w:rsid w:val="008A79F9"/>
    <w:rsid w:val="008B02DC"/>
    <w:rsid w:val="008B04A5"/>
    <w:rsid w:val="008B0855"/>
    <w:rsid w:val="008B1D26"/>
    <w:rsid w:val="008B2690"/>
    <w:rsid w:val="008B29FF"/>
    <w:rsid w:val="008B2FA4"/>
    <w:rsid w:val="008B3593"/>
    <w:rsid w:val="008B578B"/>
    <w:rsid w:val="008B57CE"/>
    <w:rsid w:val="008B619F"/>
    <w:rsid w:val="008B6E08"/>
    <w:rsid w:val="008B779F"/>
    <w:rsid w:val="008C0E98"/>
    <w:rsid w:val="008C26DE"/>
    <w:rsid w:val="008C2E08"/>
    <w:rsid w:val="008C4F17"/>
    <w:rsid w:val="008C6A48"/>
    <w:rsid w:val="008C7766"/>
    <w:rsid w:val="008C7B14"/>
    <w:rsid w:val="008D0087"/>
    <w:rsid w:val="008D033C"/>
    <w:rsid w:val="008D13C4"/>
    <w:rsid w:val="008D17FD"/>
    <w:rsid w:val="008D2225"/>
    <w:rsid w:val="008D4752"/>
    <w:rsid w:val="008D56A8"/>
    <w:rsid w:val="008D63DD"/>
    <w:rsid w:val="008D7298"/>
    <w:rsid w:val="008E1357"/>
    <w:rsid w:val="008E1450"/>
    <w:rsid w:val="008E25DD"/>
    <w:rsid w:val="008E271C"/>
    <w:rsid w:val="008E35E6"/>
    <w:rsid w:val="008E3BDD"/>
    <w:rsid w:val="008E418E"/>
    <w:rsid w:val="008E5BC6"/>
    <w:rsid w:val="008E6A25"/>
    <w:rsid w:val="008E6E6D"/>
    <w:rsid w:val="008E72AC"/>
    <w:rsid w:val="008F0B57"/>
    <w:rsid w:val="008F1943"/>
    <w:rsid w:val="008F25D2"/>
    <w:rsid w:val="008F2E37"/>
    <w:rsid w:val="008F3888"/>
    <w:rsid w:val="008F3B09"/>
    <w:rsid w:val="008F5193"/>
    <w:rsid w:val="008F51BC"/>
    <w:rsid w:val="008F5762"/>
    <w:rsid w:val="008F7820"/>
    <w:rsid w:val="009001E2"/>
    <w:rsid w:val="009013A7"/>
    <w:rsid w:val="009017FB"/>
    <w:rsid w:val="009017FC"/>
    <w:rsid w:val="00903E4E"/>
    <w:rsid w:val="009042E3"/>
    <w:rsid w:val="0090506B"/>
    <w:rsid w:val="009050C9"/>
    <w:rsid w:val="00906232"/>
    <w:rsid w:val="00906547"/>
    <w:rsid w:val="009066FC"/>
    <w:rsid w:val="009070EA"/>
    <w:rsid w:val="00907391"/>
    <w:rsid w:val="00907E06"/>
    <w:rsid w:val="00907E98"/>
    <w:rsid w:val="00911A26"/>
    <w:rsid w:val="00912942"/>
    <w:rsid w:val="009140A3"/>
    <w:rsid w:val="009144A2"/>
    <w:rsid w:val="009144AB"/>
    <w:rsid w:val="009148A8"/>
    <w:rsid w:val="0091510C"/>
    <w:rsid w:val="00915286"/>
    <w:rsid w:val="00915B5B"/>
    <w:rsid w:val="0091763D"/>
    <w:rsid w:val="00917712"/>
    <w:rsid w:val="00917E16"/>
    <w:rsid w:val="009213DA"/>
    <w:rsid w:val="00923BFE"/>
    <w:rsid w:val="0092410D"/>
    <w:rsid w:val="009251CF"/>
    <w:rsid w:val="009259AC"/>
    <w:rsid w:val="00926AD5"/>
    <w:rsid w:val="00926F38"/>
    <w:rsid w:val="00930CB2"/>
    <w:rsid w:val="00930EED"/>
    <w:rsid w:val="00931457"/>
    <w:rsid w:val="009321B8"/>
    <w:rsid w:val="00932CA5"/>
    <w:rsid w:val="0093367A"/>
    <w:rsid w:val="00933CFA"/>
    <w:rsid w:val="00934301"/>
    <w:rsid w:val="0093471C"/>
    <w:rsid w:val="00934F31"/>
    <w:rsid w:val="009361E1"/>
    <w:rsid w:val="0093661C"/>
    <w:rsid w:val="00936B19"/>
    <w:rsid w:val="00936C2D"/>
    <w:rsid w:val="00936CD1"/>
    <w:rsid w:val="0093743F"/>
    <w:rsid w:val="009416ED"/>
    <w:rsid w:val="00941747"/>
    <w:rsid w:val="00941EFB"/>
    <w:rsid w:val="00942146"/>
    <w:rsid w:val="00944EA6"/>
    <w:rsid w:val="00945308"/>
    <w:rsid w:val="0094563E"/>
    <w:rsid w:val="00946808"/>
    <w:rsid w:val="009473D6"/>
    <w:rsid w:val="009474D6"/>
    <w:rsid w:val="00947AFB"/>
    <w:rsid w:val="00951D7D"/>
    <w:rsid w:val="00951F46"/>
    <w:rsid w:val="0095653F"/>
    <w:rsid w:val="00956736"/>
    <w:rsid w:val="00961469"/>
    <w:rsid w:val="00961BCA"/>
    <w:rsid w:val="00962963"/>
    <w:rsid w:val="009630C7"/>
    <w:rsid w:val="0096359F"/>
    <w:rsid w:val="009635FE"/>
    <w:rsid w:val="00965397"/>
    <w:rsid w:val="00965EEC"/>
    <w:rsid w:val="009677B6"/>
    <w:rsid w:val="0097087D"/>
    <w:rsid w:val="009712F0"/>
    <w:rsid w:val="009717DB"/>
    <w:rsid w:val="009725E6"/>
    <w:rsid w:val="00972B55"/>
    <w:rsid w:val="009743B7"/>
    <w:rsid w:val="009776A2"/>
    <w:rsid w:val="009777E6"/>
    <w:rsid w:val="00977B13"/>
    <w:rsid w:val="009807CE"/>
    <w:rsid w:val="00982192"/>
    <w:rsid w:val="0098228B"/>
    <w:rsid w:val="009828DA"/>
    <w:rsid w:val="009835E5"/>
    <w:rsid w:val="009839A1"/>
    <w:rsid w:val="00983C7D"/>
    <w:rsid w:val="0098466B"/>
    <w:rsid w:val="0098506E"/>
    <w:rsid w:val="00985BAB"/>
    <w:rsid w:val="00991638"/>
    <w:rsid w:val="00993AAC"/>
    <w:rsid w:val="00993CA5"/>
    <w:rsid w:val="009956C5"/>
    <w:rsid w:val="00997531"/>
    <w:rsid w:val="009A0F8C"/>
    <w:rsid w:val="009A1B94"/>
    <w:rsid w:val="009A236E"/>
    <w:rsid w:val="009A796F"/>
    <w:rsid w:val="009B02AA"/>
    <w:rsid w:val="009B1308"/>
    <w:rsid w:val="009B1B5F"/>
    <w:rsid w:val="009B2A3A"/>
    <w:rsid w:val="009B4A66"/>
    <w:rsid w:val="009B6673"/>
    <w:rsid w:val="009B7E68"/>
    <w:rsid w:val="009C18B3"/>
    <w:rsid w:val="009C18E7"/>
    <w:rsid w:val="009C191B"/>
    <w:rsid w:val="009C1F1B"/>
    <w:rsid w:val="009C2BD6"/>
    <w:rsid w:val="009C33C3"/>
    <w:rsid w:val="009C3F1D"/>
    <w:rsid w:val="009C5881"/>
    <w:rsid w:val="009C644B"/>
    <w:rsid w:val="009D16B0"/>
    <w:rsid w:val="009D1C3D"/>
    <w:rsid w:val="009D2371"/>
    <w:rsid w:val="009D2912"/>
    <w:rsid w:val="009E00EC"/>
    <w:rsid w:val="009E1F32"/>
    <w:rsid w:val="009E1F5B"/>
    <w:rsid w:val="009E3A26"/>
    <w:rsid w:val="009E45CB"/>
    <w:rsid w:val="009E76B7"/>
    <w:rsid w:val="009E776C"/>
    <w:rsid w:val="009F0737"/>
    <w:rsid w:val="009F1EAF"/>
    <w:rsid w:val="009F1FA7"/>
    <w:rsid w:val="009F316F"/>
    <w:rsid w:val="009F4BC5"/>
    <w:rsid w:val="00A000BB"/>
    <w:rsid w:val="00A00144"/>
    <w:rsid w:val="00A03FD9"/>
    <w:rsid w:val="00A053B3"/>
    <w:rsid w:val="00A05D5F"/>
    <w:rsid w:val="00A0651A"/>
    <w:rsid w:val="00A06DFC"/>
    <w:rsid w:val="00A078E4"/>
    <w:rsid w:val="00A07D66"/>
    <w:rsid w:val="00A10874"/>
    <w:rsid w:val="00A10AE7"/>
    <w:rsid w:val="00A12CB9"/>
    <w:rsid w:val="00A1726E"/>
    <w:rsid w:val="00A204CF"/>
    <w:rsid w:val="00A21B14"/>
    <w:rsid w:val="00A2222A"/>
    <w:rsid w:val="00A23420"/>
    <w:rsid w:val="00A23D49"/>
    <w:rsid w:val="00A250C7"/>
    <w:rsid w:val="00A27004"/>
    <w:rsid w:val="00A271C6"/>
    <w:rsid w:val="00A27A09"/>
    <w:rsid w:val="00A30741"/>
    <w:rsid w:val="00A30C29"/>
    <w:rsid w:val="00A30E64"/>
    <w:rsid w:val="00A31A42"/>
    <w:rsid w:val="00A32320"/>
    <w:rsid w:val="00A33742"/>
    <w:rsid w:val="00A34DD6"/>
    <w:rsid w:val="00A34E7E"/>
    <w:rsid w:val="00A36819"/>
    <w:rsid w:val="00A36989"/>
    <w:rsid w:val="00A400CD"/>
    <w:rsid w:val="00A43308"/>
    <w:rsid w:val="00A43628"/>
    <w:rsid w:val="00A43680"/>
    <w:rsid w:val="00A441E7"/>
    <w:rsid w:val="00A442E6"/>
    <w:rsid w:val="00A454F9"/>
    <w:rsid w:val="00A475C1"/>
    <w:rsid w:val="00A50CAC"/>
    <w:rsid w:val="00A52386"/>
    <w:rsid w:val="00A53C0B"/>
    <w:rsid w:val="00A54192"/>
    <w:rsid w:val="00A543B6"/>
    <w:rsid w:val="00A544BC"/>
    <w:rsid w:val="00A564D6"/>
    <w:rsid w:val="00A6035E"/>
    <w:rsid w:val="00A6144C"/>
    <w:rsid w:val="00A62707"/>
    <w:rsid w:val="00A627AD"/>
    <w:rsid w:val="00A6381E"/>
    <w:rsid w:val="00A64345"/>
    <w:rsid w:val="00A64D9F"/>
    <w:rsid w:val="00A64DFA"/>
    <w:rsid w:val="00A66617"/>
    <w:rsid w:val="00A671F8"/>
    <w:rsid w:val="00A673A4"/>
    <w:rsid w:val="00A67531"/>
    <w:rsid w:val="00A67FC8"/>
    <w:rsid w:val="00A7212B"/>
    <w:rsid w:val="00A724AE"/>
    <w:rsid w:val="00A73329"/>
    <w:rsid w:val="00A735C8"/>
    <w:rsid w:val="00A73A4D"/>
    <w:rsid w:val="00A74BA5"/>
    <w:rsid w:val="00A74BC1"/>
    <w:rsid w:val="00A75E1E"/>
    <w:rsid w:val="00A76234"/>
    <w:rsid w:val="00A76741"/>
    <w:rsid w:val="00A8101D"/>
    <w:rsid w:val="00A81308"/>
    <w:rsid w:val="00A814C9"/>
    <w:rsid w:val="00A82359"/>
    <w:rsid w:val="00A83DC6"/>
    <w:rsid w:val="00A843A3"/>
    <w:rsid w:val="00A8486D"/>
    <w:rsid w:val="00A85B81"/>
    <w:rsid w:val="00A865D2"/>
    <w:rsid w:val="00A86793"/>
    <w:rsid w:val="00A90AB3"/>
    <w:rsid w:val="00A910B5"/>
    <w:rsid w:val="00A93869"/>
    <w:rsid w:val="00A93C26"/>
    <w:rsid w:val="00A94C20"/>
    <w:rsid w:val="00A963B6"/>
    <w:rsid w:val="00A967ED"/>
    <w:rsid w:val="00A969E0"/>
    <w:rsid w:val="00A97093"/>
    <w:rsid w:val="00AA01B3"/>
    <w:rsid w:val="00AA01C9"/>
    <w:rsid w:val="00AA227F"/>
    <w:rsid w:val="00AA3BC7"/>
    <w:rsid w:val="00AA5ED9"/>
    <w:rsid w:val="00AA754A"/>
    <w:rsid w:val="00AA755B"/>
    <w:rsid w:val="00AA7B50"/>
    <w:rsid w:val="00AB099E"/>
    <w:rsid w:val="00AB1B0D"/>
    <w:rsid w:val="00AB2281"/>
    <w:rsid w:val="00AB4328"/>
    <w:rsid w:val="00AB71BE"/>
    <w:rsid w:val="00AB7A73"/>
    <w:rsid w:val="00AC06EE"/>
    <w:rsid w:val="00AC0824"/>
    <w:rsid w:val="00AC1384"/>
    <w:rsid w:val="00AC4421"/>
    <w:rsid w:val="00AC4EBF"/>
    <w:rsid w:val="00AC6779"/>
    <w:rsid w:val="00AD026B"/>
    <w:rsid w:val="00AD1BE0"/>
    <w:rsid w:val="00AD1DC2"/>
    <w:rsid w:val="00AD34D8"/>
    <w:rsid w:val="00AD412E"/>
    <w:rsid w:val="00AD6994"/>
    <w:rsid w:val="00AE06AC"/>
    <w:rsid w:val="00AE0A2E"/>
    <w:rsid w:val="00AE19A8"/>
    <w:rsid w:val="00AE3234"/>
    <w:rsid w:val="00AE354C"/>
    <w:rsid w:val="00AE7766"/>
    <w:rsid w:val="00AE7C01"/>
    <w:rsid w:val="00AF0504"/>
    <w:rsid w:val="00AF276A"/>
    <w:rsid w:val="00AF4B07"/>
    <w:rsid w:val="00AF5391"/>
    <w:rsid w:val="00AF53A0"/>
    <w:rsid w:val="00AF5CC8"/>
    <w:rsid w:val="00AF6186"/>
    <w:rsid w:val="00AF6FB1"/>
    <w:rsid w:val="00AF758A"/>
    <w:rsid w:val="00AF7720"/>
    <w:rsid w:val="00AF7A3A"/>
    <w:rsid w:val="00B0167F"/>
    <w:rsid w:val="00B01893"/>
    <w:rsid w:val="00B027DB"/>
    <w:rsid w:val="00B061C4"/>
    <w:rsid w:val="00B0749C"/>
    <w:rsid w:val="00B13806"/>
    <w:rsid w:val="00B141BF"/>
    <w:rsid w:val="00B14976"/>
    <w:rsid w:val="00B152B9"/>
    <w:rsid w:val="00B15846"/>
    <w:rsid w:val="00B160DB"/>
    <w:rsid w:val="00B17EF1"/>
    <w:rsid w:val="00B20836"/>
    <w:rsid w:val="00B20F5C"/>
    <w:rsid w:val="00B212C5"/>
    <w:rsid w:val="00B224FD"/>
    <w:rsid w:val="00B235BB"/>
    <w:rsid w:val="00B23B79"/>
    <w:rsid w:val="00B25153"/>
    <w:rsid w:val="00B25A92"/>
    <w:rsid w:val="00B27A44"/>
    <w:rsid w:val="00B305AA"/>
    <w:rsid w:val="00B30BBF"/>
    <w:rsid w:val="00B33707"/>
    <w:rsid w:val="00B33C03"/>
    <w:rsid w:val="00B33C5F"/>
    <w:rsid w:val="00B35298"/>
    <w:rsid w:val="00B366A6"/>
    <w:rsid w:val="00B37407"/>
    <w:rsid w:val="00B4140A"/>
    <w:rsid w:val="00B43566"/>
    <w:rsid w:val="00B437BF"/>
    <w:rsid w:val="00B43CFE"/>
    <w:rsid w:val="00B44E56"/>
    <w:rsid w:val="00B46543"/>
    <w:rsid w:val="00B46B45"/>
    <w:rsid w:val="00B47D33"/>
    <w:rsid w:val="00B5099C"/>
    <w:rsid w:val="00B5149E"/>
    <w:rsid w:val="00B514F3"/>
    <w:rsid w:val="00B52BE0"/>
    <w:rsid w:val="00B54133"/>
    <w:rsid w:val="00B55894"/>
    <w:rsid w:val="00B56338"/>
    <w:rsid w:val="00B57F66"/>
    <w:rsid w:val="00B61736"/>
    <w:rsid w:val="00B62099"/>
    <w:rsid w:val="00B62C2B"/>
    <w:rsid w:val="00B658D3"/>
    <w:rsid w:val="00B66ACA"/>
    <w:rsid w:val="00B701ED"/>
    <w:rsid w:val="00B73992"/>
    <w:rsid w:val="00B757BA"/>
    <w:rsid w:val="00B8086C"/>
    <w:rsid w:val="00B8122B"/>
    <w:rsid w:val="00B8145E"/>
    <w:rsid w:val="00B83AB4"/>
    <w:rsid w:val="00B84363"/>
    <w:rsid w:val="00B84D8B"/>
    <w:rsid w:val="00B84F1B"/>
    <w:rsid w:val="00B858B4"/>
    <w:rsid w:val="00B85A04"/>
    <w:rsid w:val="00B861B4"/>
    <w:rsid w:val="00B86296"/>
    <w:rsid w:val="00B86D71"/>
    <w:rsid w:val="00B86DFE"/>
    <w:rsid w:val="00B90990"/>
    <w:rsid w:val="00B922FF"/>
    <w:rsid w:val="00B9281E"/>
    <w:rsid w:val="00B931CE"/>
    <w:rsid w:val="00B9343A"/>
    <w:rsid w:val="00B93925"/>
    <w:rsid w:val="00B93ECF"/>
    <w:rsid w:val="00B94BB8"/>
    <w:rsid w:val="00B95187"/>
    <w:rsid w:val="00B9529B"/>
    <w:rsid w:val="00B95D91"/>
    <w:rsid w:val="00B9776F"/>
    <w:rsid w:val="00BA2D55"/>
    <w:rsid w:val="00BA44B7"/>
    <w:rsid w:val="00BA69D1"/>
    <w:rsid w:val="00BA71B1"/>
    <w:rsid w:val="00BB0637"/>
    <w:rsid w:val="00BB1CC8"/>
    <w:rsid w:val="00BB2E56"/>
    <w:rsid w:val="00BB345F"/>
    <w:rsid w:val="00BB4273"/>
    <w:rsid w:val="00BB4438"/>
    <w:rsid w:val="00BB49F4"/>
    <w:rsid w:val="00BB68EA"/>
    <w:rsid w:val="00BB7163"/>
    <w:rsid w:val="00BB7C90"/>
    <w:rsid w:val="00BC03FF"/>
    <w:rsid w:val="00BC1477"/>
    <w:rsid w:val="00BC1649"/>
    <w:rsid w:val="00BC1C27"/>
    <w:rsid w:val="00BC2807"/>
    <w:rsid w:val="00BC414B"/>
    <w:rsid w:val="00BC47F6"/>
    <w:rsid w:val="00BC4A8F"/>
    <w:rsid w:val="00BC4AAE"/>
    <w:rsid w:val="00BC4FFD"/>
    <w:rsid w:val="00BC66C4"/>
    <w:rsid w:val="00BC6BBF"/>
    <w:rsid w:val="00BC72B2"/>
    <w:rsid w:val="00BD0653"/>
    <w:rsid w:val="00BD0AC4"/>
    <w:rsid w:val="00BD1572"/>
    <w:rsid w:val="00BD30FD"/>
    <w:rsid w:val="00BD4870"/>
    <w:rsid w:val="00BD4CA7"/>
    <w:rsid w:val="00BD4D34"/>
    <w:rsid w:val="00BD4D5C"/>
    <w:rsid w:val="00BD7189"/>
    <w:rsid w:val="00BE0C79"/>
    <w:rsid w:val="00BE14E3"/>
    <w:rsid w:val="00BE1A3E"/>
    <w:rsid w:val="00BE2868"/>
    <w:rsid w:val="00BE2D9A"/>
    <w:rsid w:val="00BE3774"/>
    <w:rsid w:val="00BE3C85"/>
    <w:rsid w:val="00BE3FFA"/>
    <w:rsid w:val="00BE41E5"/>
    <w:rsid w:val="00BE4267"/>
    <w:rsid w:val="00BE4519"/>
    <w:rsid w:val="00BE517A"/>
    <w:rsid w:val="00BE6928"/>
    <w:rsid w:val="00BF1297"/>
    <w:rsid w:val="00BF1A06"/>
    <w:rsid w:val="00BF40A3"/>
    <w:rsid w:val="00BF4109"/>
    <w:rsid w:val="00BF4CC3"/>
    <w:rsid w:val="00BF69EE"/>
    <w:rsid w:val="00C003F8"/>
    <w:rsid w:val="00C0081C"/>
    <w:rsid w:val="00C01CEE"/>
    <w:rsid w:val="00C0234F"/>
    <w:rsid w:val="00C0237B"/>
    <w:rsid w:val="00C03576"/>
    <w:rsid w:val="00C054C7"/>
    <w:rsid w:val="00C057B5"/>
    <w:rsid w:val="00C06619"/>
    <w:rsid w:val="00C06E15"/>
    <w:rsid w:val="00C1262B"/>
    <w:rsid w:val="00C12DEF"/>
    <w:rsid w:val="00C217D6"/>
    <w:rsid w:val="00C221D3"/>
    <w:rsid w:val="00C222AC"/>
    <w:rsid w:val="00C22687"/>
    <w:rsid w:val="00C230B6"/>
    <w:rsid w:val="00C24185"/>
    <w:rsid w:val="00C25EB3"/>
    <w:rsid w:val="00C26DA7"/>
    <w:rsid w:val="00C2740C"/>
    <w:rsid w:val="00C3150D"/>
    <w:rsid w:val="00C3265C"/>
    <w:rsid w:val="00C32ADD"/>
    <w:rsid w:val="00C32E4D"/>
    <w:rsid w:val="00C333A0"/>
    <w:rsid w:val="00C34304"/>
    <w:rsid w:val="00C34EA1"/>
    <w:rsid w:val="00C359C7"/>
    <w:rsid w:val="00C36408"/>
    <w:rsid w:val="00C36A81"/>
    <w:rsid w:val="00C37063"/>
    <w:rsid w:val="00C40D55"/>
    <w:rsid w:val="00C41566"/>
    <w:rsid w:val="00C4194D"/>
    <w:rsid w:val="00C41974"/>
    <w:rsid w:val="00C46807"/>
    <w:rsid w:val="00C47A2C"/>
    <w:rsid w:val="00C50857"/>
    <w:rsid w:val="00C508B4"/>
    <w:rsid w:val="00C50D96"/>
    <w:rsid w:val="00C511F2"/>
    <w:rsid w:val="00C53498"/>
    <w:rsid w:val="00C53F4A"/>
    <w:rsid w:val="00C54125"/>
    <w:rsid w:val="00C55B54"/>
    <w:rsid w:val="00C55D21"/>
    <w:rsid w:val="00C57812"/>
    <w:rsid w:val="00C6098E"/>
    <w:rsid w:val="00C611D8"/>
    <w:rsid w:val="00C6152C"/>
    <w:rsid w:val="00C6180B"/>
    <w:rsid w:val="00C63990"/>
    <w:rsid w:val="00C6428D"/>
    <w:rsid w:val="00C64EF6"/>
    <w:rsid w:val="00C65050"/>
    <w:rsid w:val="00C6581F"/>
    <w:rsid w:val="00C65E3A"/>
    <w:rsid w:val="00C666FA"/>
    <w:rsid w:val="00C7179D"/>
    <w:rsid w:val="00C71EFA"/>
    <w:rsid w:val="00C7256B"/>
    <w:rsid w:val="00C72972"/>
    <w:rsid w:val="00C72A25"/>
    <w:rsid w:val="00C73241"/>
    <w:rsid w:val="00C74810"/>
    <w:rsid w:val="00C75DED"/>
    <w:rsid w:val="00C80A5C"/>
    <w:rsid w:val="00C81EBD"/>
    <w:rsid w:val="00C85897"/>
    <w:rsid w:val="00C87305"/>
    <w:rsid w:val="00C876E9"/>
    <w:rsid w:val="00C901EB"/>
    <w:rsid w:val="00C90D68"/>
    <w:rsid w:val="00C90E79"/>
    <w:rsid w:val="00C9155C"/>
    <w:rsid w:val="00C91601"/>
    <w:rsid w:val="00C91AAE"/>
    <w:rsid w:val="00C939FE"/>
    <w:rsid w:val="00C9493A"/>
    <w:rsid w:val="00C96213"/>
    <w:rsid w:val="00C96D54"/>
    <w:rsid w:val="00C978C0"/>
    <w:rsid w:val="00CA104E"/>
    <w:rsid w:val="00CA194A"/>
    <w:rsid w:val="00CA1A59"/>
    <w:rsid w:val="00CA3485"/>
    <w:rsid w:val="00CA4234"/>
    <w:rsid w:val="00CA45DF"/>
    <w:rsid w:val="00CA4BDA"/>
    <w:rsid w:val="00CA5AAB"/>
    <w:rsid w:val="00CA6D08"/>
    <w:rsid w:val="00CA75BA"/>
    <w:rsid w:val="00CB0B24"/>
    <w:rsid w:val="00CB1F66"/>
    <w:rsid w:val="00CB2951"/>
    <w:rsid w:val="00CB3AF6"/>
    <w:rsid w:val="00CB467C"/>
    <w:rsid w:val="00CB6282"/>
    <w:rsid w:val="00CC03C0"/>
    <w:rsid w:val="00CC083E"/>
    <w:rsid w:val="00CC09E7"/>
    <w:rsid w:val="00CC3FE5"/>
    <w:rsid w:val="00CC5957"/>
    <w:rsid w:val="00CC61B6"/>
    <w:rsid w:val="00CC71E6"/>
    <w:rsid w:val="00CC7681"/>
    <w:rsid w:val="00CC76E7"/>
    <w:rsid w:val="00CD16F8"/>
    <w:rsid w:val="00CD282B"/>
    <w:rsid w:val="00CD3862"/>
    <w:rsid w:val="00CD43BE"/>
    <w:rsid w:val="00CD4C35"/>
    <w:rsid w:val="00CD5BEE"/>
    <w:rsid w:val="00CD6017"/>
    <w:rsid w:val="00CD6148"/>
    <w:rsid w:val="00CD6C35"/>
    <w:rsid w:val="00CD7369"/>
    <w:rsid w:val="00CD770A"/>
    <w:rsid w:val="00CD79C0"/>
    <w:rsid w:val="00CE0B0E"/>
    <w:rsid w:val="00CE1D79"/>
    <w:rsid w:val="00CE21E9"/>
    <w:rsid w:val="00CE3831"/>
    <w:rsid w:val="00CE3BC3"/>
    <w:rsid w:val="00CE42C1"/>
    <w:rsid w:val="00CE58D4"/>
    <w:rsid w:val="00CE6227"/>
    <w:rsid w:val="00CE7400"/>
    <w:rsid w:val="00CF0C42"/>
    <w:rsid w:val="00CF17BC"/>
    <w:rsid w:val="00CF3F24"/>
    <w:rsid w:val="00CF6B66"/>
    <w:rsid w:val="00CF6FC2"/>
    <w:rsid w:val="00CF7E2C"/>
    <w:rsid w:val="00D00ABB"/>
    <w:rsid w:val="00D01751"/>
    <w:rsid w:val="00D02EEC"/>
    <w:rsid w:val="00D03289"/>
    <w:rsid w:val="00D0348E"/>
    <w:rsid w:val="00D03551"/>
    <w:rsid w:val="00D036D3"/>
    <w:rsid w:val="00D06A63"/>
    <w:rsid w:val="00D07E0E"/>
    <w:rsid w:val="00D1124F"/>
    <w:rsid w:val="00D11478"/>
    <w:rsid w:val="00D11F29"/>
    <w:rsid w:val="00D14483"/>
    <w:rsid w:val="00D15ED0"/>
    <w:rsid w:val="00D164C2"/>
    <w:rsid w:val="00D16BD6"/>
    <w:rsid w:val="00D20D7A"/>
    <w:rsid w:val="00D21253"/>
    <w:rsid w:val="00D21B3E"/>
    <w:rsid w:val="00D21D30"/>
    <w:rsid w:val="00D21FED"/>
    <w:rsid w:val="00D229A8"/>
    <w:rsid w:val="00D22F86"/>
    <w:rsid w:val="00D23097"/>
    <w:rsid w:val="00D238E8"/>
    <w:rsid w:val="00D24251"/>
    <w:rsid w:val="00D250D7"/>
    <w:rsid w:val="00D27121"/>
    <w:rsid w:val="00D304E0"/>
    <w:rsid w:val="00D343E2"/>
    <w:rsid w:val="00D34A96"/>
    <w:rsid w:val="00D34FB1"/>
    <w:rsid w:val="00D361A2"/>
    <w:rsid w:val="00D37C1F"/>
    <w:rsid w:val="00D4235F"/>
    <w:rsid w:val="00D42AFF"/>
    <w:rsid w:val="00D44A63"/>
    <w:rsid w:val="00D44C2E"/>
    <w:rsid w:val="00D45414"/>
    <w:rsid w:val="00D45B6C"/>
    <w:rsid w:val="00D47AC4"/>
    <w:rsid w:val="00D47B0F"/>
    <w:rsid w:val="00D54642"/>
    <w:rsid w:val="00D563EA"/>
    <w:rsid w:val="00D566BD"/>
    <w:rsid w:val="00D573BA"/>
    <w:rsid w:val="00D576CF"/>
    <w:rsid w:val="00D577E3"/>
    <w:rsid w:val="00D57A4D"/>
    <w:rsid w:val="00D60AA7"/>
    <w:rsid w:val="00D61495"/>
    <w:rsid w:val="00D621DE"/>
    <w:rsid w:val="00D636A2"/>
    <w:rsid w:val="00D6421D"/>
    <w:rsid w:val="00D6435F"/>
    <w:rsid w:val="00D6495B"/>
    <w:rsid w:val="00D649AB"/>
    <w:rsid w:val="00D65C90"/>
    <w:rsid w:val="00D7187A"/>
    <w:rsid w:val="00D71D30"/>
    <w:rsid w:val="00D726ED"/>
    <w:rsid w:val="00D74668"/>
    <w:rsid w:val="00D7535B"/>
    <w:rsid w:val="00D75E28"/>
    <w:rsid w:val="00D75F46"/>
    <w:rsid w:val="00D767CD"/>
    <w:rsid w:val="00D772C2"/>
    <w:rsid w:val="00D77B3F"/>
    <w:rsid w:val="00D8008E"/>
    <w:rsid w:val="00D8174F"/>
    <w:rsid w:val="00D819DD"/>
    <w:rsid w:val="00D82C45"/>
    <w:rsid w:val="00D8384A"/>
    <w:rsid w:val="00D8478D"/>
    <w:rsid w:val="00D84A76"/>
    <w:rsid w:val="00D908A8"/>
    <w:rsid w:val="00D91DC6"/>
    <w:rsid w:val="00D91E61"/>
    <w:rsid w:val="00D9282D"/>
    <w:rsid w:val="00D93A2D"/>
    <w:rsid w:val="00D9409E"/>
    <w:rsid w:val="00D9738D"/>
    <w:rsid w:val="00D977B6"/>
    <w:rsid w:val="00DA0081"/>
    <w:rsid w:val="00DA0D29"/>
    <w:rsid w:val="00DA1370"/>
    <w:rsid w:val="00DA1490"/>
    <w:rsid w:val="00DA2DE6"/>
    <w:rsid w:val="00DA4A31"/>
    <w:rsid w:val="00DA58C0"/>
    <w:rsid w:val="00DA5F5B"/>
    <w:rsid w:val="00DA7646"/>
    <w:rsid w:val="00DA7B04"/>
    <w:rsid w:val="00DB06F3"/>
    <w:rsid w:val="00DB1446"/>
    <w:rsid w:val="00DB17FF"/>
    <w:rsid w:val="00DB1F98"/>
    <w:rsid w:val="00DB36C2"/>
    <w:rsid w:val="00DB3AAF"/>
    <w:rsid w:val="00DB5257"/>
    <w:rsid w:val="00DC05BA"/>
    <w:rsid w:val="00DC071E"/>
    <w:rsid w:val="00DC0D86"/>
    <w:rsid w:val="00DC0FCA"/>
    <w:rsid w:val="00DC169B"/>
    <w:rsid w:val="00DC2873"/>
    <w:rsid w:val="00DC2AB9"/>
    <w:rsid w:val="00DC3B57"/>
    <w:rsid w:val="00DC3B5E"/>
    <w:rsid w:val="00DC3CC0"/>
    <w:rsid w:val="00DC6135"/>
    <w:rsid w:val="00DC63F0"/>
    <w:rsid w:val="00DD1223"/>
    <w:rsid w:val="00DD15E4"/>
    <w:rsid w:val="00DD2B48"/>
    <w:rsid w:val="00DD419A"/>
    <w:rsid w:val="00DD4AAB"/>
    <w:rsid w:val="00DD5146"/>
    <w:rsid w:val="00DD59A9"/>
    <w:rsid w:val="00DD6EE5"/>
    <w:rsid w:val="00DE011B"/>
    <w:rsid w:val="00DE0CDA"/>
    <w:rsid w:val="00DE131A"/>
    <w:rsid w:val="00DE3193"/>
    <w:rsid w:val="00DE386C"/>
    <w:rsid w:val="00DE4467"/>
    <w:rsid w:val="00DE4D35"/>
    <w:rsid w:val="00DE572F"/>
    <w:rsid w:val="00DE661C"/>
    <w:rsid w:val="00DE66C3"/>
    <w:rsid w:val="00DE67E7"/>
    <w:rsid w:val="00DE73C6"/>
    <w:rsid w:val="00DE7C2C"/>
    <w:rsid w:val="00DF05A9"/>
    <w:rsid w:val="00DF098B"/>
    <w:rsid w:val="00DF0E5B"/>
    <w:rsid w:val="00DF0FCA"/>
    <w:rsid w:val="00DF11C4"/>
    <w:rsid w:val="00DF168C"/>
    <w:rsid w:val="00DF210C"/>
    <w:rsid w:val="00DF24D6"/>
    <w:rsid w:val="00DF2607"/>
    <w:rsid w:val="00DF360D"/>
    <w:rsid w:val="00DF4B6A"/>
    <w:rsid w:val="00DF4E6E"/>
    <w:rsid w:val="00DF69A6"/>
    <w:rsid w:val="00DF7478"/>
    <w:rsid w:val="00DF7A7A"/>
    <w:rsid w:val="00E00193"/>
    <w:rsid w:val="00E01021"/>
    <w:rsid w:val="00E018A4"/>
    <w:rsid w:val="00E01E65"/>
    <w:rsid w:val="00E02C09"/>
    <w:rsid w:val="00E030B9"/>
    <w:rsid w:val="00E0400A"/>
    <w:rsid w:val="00E0449D"/>
    <w:rsid w:val="00E04D59"/>
    <w:rsid w:val="00E0676C"/>
    <w:rsid w:val="00E07DA1"/>
    <w:rsid w:val="00E1046A"/>
    <w:rsid w:val="00E118AF"/>
    <w:rsid w:val="00E123CB"/>
    <w:rsid w:val="00E13D7B"/>
    <w:rsid w:val="00E177B5"/>
    <w:rsid w:val="00E17933"/>
    <w:rsid w:val="00E2098A"/>
    <w:rsid w:val="00E20E13"/>
    <w:rsid w:val="00E2151A"/>
    <w:rsid w:val="00E21DBC"/>
    <w:rsid w:val="00E229AB"/>
    <w:rsid w:val="00E231B1"/>
    <w:rsid w:val="00E24411"/>
    <w:rsid w:val="00E25874"/>
    <w:rsid w:val="00E25C5E"/>
    <w:rsid w:val="00E26241"/>
    <w:rsid w:val="00E275D7"/>
    <w:rsid w:val="00E27DBE"/>
    <w:rsid w:val="00E310E5"/>
    <w:rsid w:val="00E31471"/>
    <w:rsid w:val="00E32AB1"/>
    <w:rsid w:val="00E33F9C"/>
    <w:rsid w:val="00E34D51"/>
    <w:rsid w:val="00E36C71"/>
    <w:rsid w:val="00E371FA"/>
    <w:rsid w:val="00E373F5"/>
    <w:rsid w:val="00E3752C"/>
    <w:rsid w:val="00E37C32"/>
    <w:rsid w:val="00E40404"/>
    <w:rsid w:val="00E4040D"/>
    <w:rsid w:val="00E40595"/>
    <w:rsid w:val="00E4086A"/>
    <w:rsid w:val="00E422B5"/>
    <w:rsid w:val="00E42A64"/>
    <w:rsid w:val="00E4529A"/>
    <w:rsid w:val="00E459C6"/>
    <w:rsid w:val="00E46A24"/>
    <w:rsid w:val="00E47589"/>
    <w:rsid w:val="00E47AED"/>
    <w:rsid w:val="00E50AE4"/>
    <w:rsid w:val="00E51BB2"/>
    <w:rsid w:val="00E53469"/>
    <w:rsid w:val="00E638FE"/>
    <w:rsid w:val="00E64915"/>
    <w:rsid w:val="00E6540E"/>
    <w:rsid w:val="00E65647"/>
    <w:rsid w:val="00E656C8"/>
    <w:rsid w:val="00E661D4"/>
    <w:rsid w:val="00E70091"/>
    <w:rsid w:val="00E71071"/>
    <w:rsid w:val="00E720F5"/>
    <w:rsid w:val="00E72397"/>
    <w:rsid w:val="00E738BA"/>
    <w:rsid w:val="00E74456"/>
    <w:rsid w:val="00E76824"/>
    <w:rsid w:val="00E76D47"/>
    <w:rsid w:val="00E77CB3"/>
    <w:rsid w:val="00E8110D"/>
    <w:rsid w:val="00E849F7"/>
    <w:rsid w:val="00E8678C"/>
    <w:rsid w:val="00E86D06"/>
    <w:rsid w:val="00E9009B"/>
    <w:rsid w:val="00E90302"/>
    <w:rsid w:val="00E9032A"/>
    <w:rsid w:val="00E91169"/>
    <w:rsid w:val="00E913F8"/>
    <w:rsid w:val="00E91C3C"/>
    <w:rsid w:val="00E92D68"/>
    <w:rsid w:val="00E930FC"/>
    <w:rsid w:val="00E93C3E"/>
    <w:rsid w:val="00E93CE1"/>
    <w:rsid w:val="00E97396"/>
    <w:rsid w:val="00EA174B"/>
    <w:rsid w:val="00EA185E"/>
    <w:rsid w:val="00EA1E3E"/>
    <w:rsid w:val="00EA2267"/>
    <w:rsid w:val="00EA26E7"/>
    <w:rsid w:val="00EA38A1"/>
    <w:rsid w:val="00EA3BC2"/>
    <w:rsid w:val="00EA3D97"/>
    <w:rsid w:val="00EA3DD7"/>
    <w:rsid w:val="00EA4E4C"/>
    <w:rsid w:val="00EA51A9"/>
    <w:rsid w:val="00EA592A"/>
    <w:rsid w:val="00EA63C1"/>
    <w:rsid w:val="00EB113A"/>
    <w:rsid w:val="00EB14E4"/>
    <w:rsid w:val="00EB17A9"/>
    <w:rsid w:val="00EB32A5"/>
    <w:rsid w:val="00EB34ED"/>
    <w:rsid w:val="00EB624A"/>
    <w:rsid w:val="00EB6D38"/>
    <w:rsid w:val="00EB7BE0"/>
    <w:rsid w:val="00EB7E63"/>
    <w:rsid w:val="00EC163E"/>
    <w:rsid w:val="00EC315E"/>
    <w:rsid w:val="00EC344E"/>
    <w:rsid w:val="00EC4821"/>
    <w:rsid w:val="00EC4FBE"/>
    <w:rsid w:val="00EC5103"/>
    <w:rsid w:val="00EC5404"/>
    <w:rsid w:val="00EC5D40"/>
    <w:rsid w:val="00EC6609"/>
    <w:rsid w:val="00ED077C"/>
    <w:rsid w:val="00ED1190"/>
    <w:rsid w:val="00ED20A6"/>
    <w:rsid w:val="00ED3721"/>
    <w:rsid w:val="00ED4230"/>
    <w:rsid w:val="00ED44CB"/>
    <w:rsid w:val="00ED61E3"/>
    <w:rsid w:val="00ED6544"/>
    <w:rsid w:val="00EE0277"/>
    <w:rsid w:val="00EE0FAB"/>
    <w:rsid w:val="00EE1BDD"/>
    <w:rsid w:val="00EE3E00"/>
    <w:rsid w:val="00EE4468"/>
    <w:rsid w:val="00EE4B84"/>
    <w:rsid w:val="00EE5132"/>
    <w:rsid w:val="00EE5DD2"/>
    <w:rsid w:val="00EE76FA"/>
    <w:rsid w:val="00EF0A2E"/>
    <w:rsid w:val="00EF16AD"/>
    <w:rsid w:val="00EF25DF"/>
    <w:rsid w:val="00EF29F7"/>
    <w:rsid w:val="00EF3C8C"/>
    <w:rsid w:val="00EF5B5B"/>
    <w:rsid w:val="00EF63C2"/>
    <w:rsid w:val="00EF75B5"/>
    <w:rsid w:val="00F00A79"/>
    <w:rsid w:val="00F00E86"/>
    <w:rsid w:val="00F02161"/>
    <w:rsid w:val="00F057A5"/>
    <w:rsid w:val="00F0580E"/>
    <w:rsid w:val="00F06693"/>
    <w:rsid w:val="00F06C8E"/>
    <w:rsid w:val="00F06D42"/>
    <w:rsid w:val="00F06D50"/>
    <w:rsid w:val="00F07C1E"/>
    <w:rsid w:val="00F105DB"/>
    <w:rsid w:val="00F11008"/>
    <w:rsid w:val="00F132BC"/>
    <w:rsid w:val="00F1358E"/>
    <w:rsid w:val="00F13D80"/>
    <w:rsid w:val="00F13EDC"/>
    <w:rsid w:val="00F14509"/>
    <w:rsid w:val="00F146C4"/>
    <w:rsid w:val="00F16AAA"/>
    <w:rsid w:val="00F1772E"/>
    <w:rsid w:val="00F179F6"/>
    <w:rsid w:val="00F21161"/>
    <w:rsid w:val="00F218EF"/>
    <w:rsid w:val="00F21BC7"/>
    <w:rsid w:val="00F2215B"/>
    <w:rsid w:val="00F2280E"/>
    <w:rsid w:val="00F234C8"/>
    <w:rsid w:val="00F24510"/>
    <w:rsid w:val="00F24815"/>
    <w:rsid w:val="00F266A2"/>
    <w:rsid w:val="00F27450"/>
    <w:rsid w:val="00F30997"/>
    <w:rsid w:val="00F313BD"/>
    <w:rsid w:val="00F32269"/>
    <w:rsid w:val="00F33B81"/>
    <w:rsid w:val="00F36BA2"/>
    <w:rsid w:val="00F4048D"/>
    <w:rsid w:val="00F40930"/>
    <w:rsid w:val="00F40A8B"/>
    <w:rsid w:val="00F40CBC"/>
    <w:rsid w:val="00F45F1E"/>
    <w:rsid w:val="00F4678B"/>
    <w:rsid w:val="00F5063D"/>
    <w:rsid w:val="00F5078B"/>
    <w:rsid w:val="00F5243E"/>
    <w:rsid w:val="00F54E33"/>
    <w:rsid w:val="00F55817"/>
    <w:rsid w:val="00F56243"/>
    <w:rsid w:val="00F5674D"/>
    <w:rsid w:val="00F56A6F"/>
    <w:rsid w:val="00F5709C"/>
    <w:rsid w:val="00F61333"/>
    <w:rsid w:val="00F614C5"/>
    <w:rsid w:val="00F61686"/>
    <w:rsid w:val="00F64340"/>
    <w:rsid w:val="00F64EF1"/>
    <w:rsid w:val="00F656AC"/>
    <w:rsid w:val="00F71FA1"/>
    <w:rsid w:val="00F724AD"/>
    <w:rsid w:val="00F72EE3"/>
    <w:rsid w:val="00F73802"/>
    <w:rsid w:val="00F73C13"/>
    <w:rsid w:val="00F74090"/>
    <w:rsid w:val="00F742E9"/>
    <w:rsid w:val="00F75E6F"/>
    <w:rsid w:val="00F7740F"/>
    <w:rsid w:val="00F8765F"/>
    <w:rsid w:val="00F8794E"/>
    <w:rsid w:val="00F90767"/>
    <w:rsid w:val="00F915B5"/>
    <w:rsid w:val="00F91B16"/>
    <w:rsid w:val="00F9346B"/>
    <w:rsid w:val="00F93FDF"/>
    <w:rsid w:val="00F95F6A"/>
    <w:rsid w:val="00F97FE5"/>
    <w:rsid w:val="00FA18F2"/>
    <w:rsid w:val="00FA1EC8"/>
    <w:rsid w:val="00FA2251"/>
    <w:rsid w:val="00FA3C96"/>
    <w:rsid w:val="00FA4989"/>
    <w:rsid w:val="00FA6026"/>
    <w:rsid w:val="00FA61B5"/>
    <w:rsid w:val="00FA685B"/>
    <w:rsid w:val="00FA7B1E"/>
    <w:rsid w:val="00FB0071"/>
    <w:rsid w:val="00FB0C01"/>
    <w:rsid w:val="00FB13FB"/>
    <w:rsid w:val="00FB16FF"/>
    <w:rsid w:val="00FB1FDC"/>
    <w:rsid w:val="00FB2B45"/>
    <w:rsid w:val="00FB2E02"/>
    <w:rsid w:val="00FB32E0"/>
    <w:rsid w:val="00FB3A2A"/>
    <w:rsid w:val="00FB3B9C"/>
    <w:rsid w:val="00FB4884"/>
    <w:rsid w:val="00FB5115"/>
    <w:rsid w:val="00FB58BC"/>
    <w:rsid w:val="00FB59F6"/>
    <w:rsid w:val="00FB71D1"/>
    <w:rsid w:val="00FC0FD1"/>
    <w:rsid w:val="00FC18F2"/>
    <w:rsid w:val="00FC1D66"/>
    <w:rsid w:val="00FC2E0D"/>
    <w:rsid w:val="00FC39E5"/>
    <w:rsid w:val="00FC3A78"/>
    <w:rsid w:val="00FC53FF"/>
    <w:rsid w:val="00FC54B8"/>
    <w:rsid w:val="00FC57B3"/>
    <w:rsid w:val="00FC5DC8"/>
    <w:rsid w:val="00FC70DC"/>
    <w:rsid w:val="00FC7F80"/>
    <w:rsid w:val="00FD0A70"/>
    <w:rsid w:val="00FD1005"/>
    <w:rsid w:val="00FD1723"/>
    <w:rsid w:val="00FD2795"/>
    <w:rsid w:val="00FD428B"/>
    <w:rsid w:val="00FD43FA"/>
    <w:rsid w:val="00FD4672"/>
    <w:rsid w:val="00FD4F35"/>
    <w:rsid w:val="00FD5ADE"/>
    <w:rsid w:val="00FD6C75"/>
    <w:rsid w:val="00FE1F75"/>
    <w:rsid w:val="00FE2FEB"/>
    <w:rsid w:val="00FE3DCC"/>
    <w:rsid w:val="00FE5703"/>
    <w:rsid w:val="00FE5B24"/>
    <w:rsid w:val="00FE7051"/>
    <w:rsid w:val="00FE71B3"/>
    <w:rsid w:val="00FE72D0"/>
    <w:rsid w:val="00FF07E8"/>
    <w:rsid w:val="00FF1000"/>
    <w:rsid w:val="00FF245F"/>
    <w:rsid w:val="00FF3D76"/>
    <w:rsid w:val="00FF42C5"/>
    <w:rsid w:val="00FF497D"/>
    <w:rsid w:val="00FF5FBB"/>
    <w:rsid w:val="00FF6E56"/>
    <w:rsid w:val="00FF70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3C2867"/>
    <w:rPr>
      <w:rFonts w:eastAsiaTheme="minorEastAsia"/>
      <w:sz w:val="24"/>
      <w:lang w:val="fr-FR"/>
    </w:rPr>
  </w:style>
  <w:style w:type="paragraph" w:styleId="1">
    <w:name w:val="heading 1"/>
    <w:basedOn w:val="a2"/>
    <w:next w:val="a2"/>
    <w:link w:val="10"/>
    <w:uiPriority w:val="99"/>
    <w:semiHidden/>
    <w:rsid w:val="003C2867"/>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3C2867"/>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3C2867"/>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3C2867"/>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3C2867"/>
    <w:p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3C28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3C2867"/>
    <w:pPr>
      <w:outlineLvl w:val="6"/>
    </w:pPr>
    <w:rPr>
      <w:rFonts w:asciiTheme="majorHAnsi" w:eastAsiaTheme="majorEastAsia" w:hAnsiTheme="majorHAnsi" w:cstheme="majorBidi"/>
      <w:i/>
      <w:iCs/>
      <w:lang w:bidi="en-US"/>
    </w:rPr>
  </w:style>
  <w:style w:type="paragraph" w:styleId="8">
    <w:name w:val="heading 8"/>
    <w:basedOn w:val="a2"/>
    <w:next w:val="a2"/>
    <w:link w:val="80"/>
    <w:uiPriority w:val="99"/>
    <w:semiHidden/>
    <w:qFormat/>
    <w:rsid w:val="003C2867"/>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3C2867"/>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3C2867"/>
    <w:rPr>
      <w:rFonts w:ascii="Tahoma" w:hAnsi="Tahoma" w:cs="Tahoma"/>
      <w:sz w:val="16"/>
      <w:szCs w:val="16"/>
    </w:rPr>
  </w:style>
  <w:style w:type="character" w:customStyle="1" w:styleId="a7">
    <w:name w:val="Текст выноски Знак"/>
    <w:basedOn w:val="a3"/>
    <w:link w:val="a6"/>
    <w:uiPriority w:val="99"/>
    <w:semiHidden/>
    <w:rsid w:val="003C2867"/>
    <w:rPr>
      <w:rFonts w:ascii="Tahoma" w:eastAsiaTheme="minorEastAsia" w:hAnsi="Tahoma" w:cs="Tahoma"/>
      <w:sz w:val="16"/>
      <w:szCs w:val="16"/>
      <w:lang w:val="fr-FR"/>
    </w:rPr>
  </w:style>
  <w:style w:type="character" w:styleId="a8">
    <w:name w:val="Book Title"/>
    <w:uiPriority w:val="99"/>
    <w:semiHidden/>
    <w:qFormat/>
    <w:rsid w:val="003C2867"/>
    <w:rPr>
      <w:i/>
      <w:iCs/>
      <w:smallCaps/>
      <w:spacing w:val="5"/>
    </w:rPr>
  </w:style>
  <w:style w:type="paragraph" w:customStyle="1" w:styleId="JuHeader">
    <w:name w:val="Ju_Header"/>
    <w:aliases w:val="_Header"/>
    <w:basedOn w:val="a9"/>
    <w:uiPriority w:val="29"/>
    <w:qFormat/>
    <w:rsid w:val="003C2867"/>
    <w:pPr>
      <w:tabs>
        <w:tab w:val="clear" w:pos="4536"/>
        <w:tab w:val="clear" w:pos="9072"/>
        <w:tab w:val="center" w:pos="3686"/>
        <w:tab w:val="right" w:pos="7371"/>
      </w:tabs>
    </w:pPr>
    <w:rPr>
      <w:sz w:val="18"/>
    </w:rPr>
  </w:style>
  <w:style w:type="paragraph" w:customStyle="1" w:styleId="ECHRFooter">
    <w:name w:val="ECHR_Footer"/>
    <w:aliases w:val="Footer_ECHR"/>
    <w:basedOn w:val="aa"/>
    <w:uiPriority w:val="57"/>
    <w:semiHidden/>
    <w:rsid w:val="00595367"/>
    <w:rPr>
      <w:sz w:val="8"/>
    </w:rPr>
  </w:style>
  <w:style w:type="character" w:styleId="ab">
    <w:name w:val="Strong"/>
    <w:uiPriority w:val="99"/>
    <w:semiHidden/>
    <w:qFormat/>
    <w:rsid w:val="003C2867"/>
    <w:rPr>
      <w:b/>
      <w:bCs/>
    </w:rPr>
  </w:style>
  <w:style w:type="paragraph" w:styleId="ac">
    <w:name w:val="No Spacing"/>
    <w:basedOn w:val="a2"/>
    <w:link w:val="ad"/>
    <w:semiHidden/>
    <w:qFormat/>
    <w:rsid w:val="003C2867"/>
  </w:style>
  <w:style w:type="character" w:customStyle="1" w:styleId="ad">
    <w:name w:val="Без интервала Знак"/>
    <w:basedOn w:val="a3"/>
    <w:link w:val="ac"/>
    <w:semiHidden/>
    <w:rsid w:val="003C2867"/>
    <w:rPr>
      <w:rFonts w:eastAsiaTheme="minorEastAsia"/>
      <w:sz w:val="24"/>
      <w:lang w:val="fr-FR"/>
    </w:rPr>
  </w:style>
  <w:style w:type="paragraph" w:customStyle="1" w:styleId="FooterLine">
    <w:name w:val="_Footer_Line"/>
    <w:aliases w:val="Footer_Line"/>
    <w:basedOn w:val="a2"/>
    <w:next w:val="Footer"/>
    <w:uiPriority w:val="57"/>
    <w:semiHidden/>
    <w:rsid w:val="003C2867"/>
    <w:pPr>
      <w:pBdr>
        <w:top w:val="single" w:sz="6" w:space="1" w:color="5F5F5F"/>
      </w:pBdr>
      <w:tabs>
        <w:tab w:val="center" w:pos="4536"/>
        <w:tab w:val="right" w:pos="9696"/>
      </w:tabs>
      <w:ind w:left="-680" w:right="-680"/>
    </w:pPr>
    <w:rPr>
      <w:color w:val="5F5F5F"/>
    </w:rPr>
  </w:style>
  <w:style w:type="paragraph" w:customStyle="1" w:styleId="DecList">
    <w:name w:val="Dec_List"/>
    <w:aliases w:val="_List"/>
    <w:basedOn w:val="JuList"/>
    <w:uiPriority w:val="22"/>
    <w:rsid w:val="003C2867"/>
    <w:pPr>
      <w:numPr>
        <w:numId w:val="0"/>
      </w:numPr>
      <w:ind w:left="340"/>
    </w:pPr>
  </w:style>
  <w:style w:type="paragraph" w:customStyle="1" w:styleId="NormalJustified">
    <w:name w:val="Normal_Justified"/>
    <w:basedOn w:val="a2"/>
    <w:semiHidden/>
    <w:rsid w:val="003C2867"/>
    <w:pPr>
      <w:jc w:val="both"/>
    </w:pPr>
  </w:style>
  <w:style w:type="paragraph" w:customStyle="1" w:styleId="Title4">
    <w:name w:val="_Title_4"/>
    <w:basedOn w:val="JuPara"/>
    <w:next w:val="JuPara"/>
    <w:uiPriority w:val="35"/>
    <w:qFormat/>
    <w:rsid w:val="003C2867"/>
    <w:pPr>
      <w:keepNext/>
      <w:keepLines/>
      <w:tabs>
        <w:tab w:val="right" w:pos="7938"/>
      </w:tabs>
      <w:ind w:firstLine="0"/>
      <w:jc w:val="center"/>
    </w:pPr>
    <w:rPr>
      <w:rFonts w:eastAsiaTheme="minorHAnsi"/>
      <w:i/>
    </w:rPr>
  </w:style>
  <w:style w:type="paragraph" w:customStyle="1" w:styleId="JuHArticle">
    <w:name w:val="Ju_H_Article"/>
    <w:aliases w:val="_Title_Quote"/>
    <w:basedOn w:val="a2"/>
    <w:next w:val="JuQuot"/>
    <w:uiPriority w:val="20"/>
    <w:qFormat/>
    <w:rsid w:val="003C2867"/>
    <w:pPr>
      <w:keepNext/>
      <w:spacing w:before="100" w:beforeAutospacing="1" w:after="120"/>
      <w:contextualSpacing/>
      <w:jc w:val="center"/>
    </w:pPr>
    <w:rPr>
      <w:rFonts w:eastAsiaTheme="minorHAnsi"/>
      <w:b/>
      <w:sz w:val="20"/>
    </w:rPr>
  </w:style>
  <w:style w:type="numbering" w:customStyle="1" w:styleId="ECHRA1StyleBulletedSquare">
    <w:name w:val="ECHR_A1_Style_Bulleted_Square"/>
    <w:basedOn w:val="a5"/>
    <w:rsid w:val="003C2867"/>
    <w:pPr>
      <w:numPr>
        <w:numId w:val="6"/>
      </w:numPr>
    </w:pPr>
  </w:style>
  <w:style w:type="numbering" w:customStyle="1" w:styleId="ECHRA1StyleList">
    <w:name w:val="ECHR_A1_Style_List"/>
    <w:basedOn w:val="a5"/>
    <w:uiPriority w:val="99"/>
    <w:rsid w:val="003C2867"/>
    <w:pPr>
      <w:numPr>
        <w:numId w:val="7"/>
      </w:numPr>
    </w:pPr>
  </w:style>
  <w:style w:type="numbering" w:customStyle="1" w:styleId="ECHRA1StyleNumberedList">
    <w:name w:val="ECHR_A1_Style_Numbered_List"/>
    <w:basedOn w:val="a5"/>
    <w:rsid w:val="003C2867"/>
    <w:pPr>
      <w:numPr>
        <w:numId w:val="8"/>
      </w:numPr>
    </w:pPr>
  </w:style>
  <w:style w:type="table" w:customStyle="1" w:styleId="ECHRTable2019">
    <w:name w:val="ECHR_Table_2019"/>
    <w:basedOn w:val="a4"/>
    <w:uiPriority w:val="99"/>
    <w:rsid w:val="003C2867"/>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DecHCase">
    <w:name w:val="Dec_H_Case"/>
    <w:aliases w:val="_Title_3"/>
    <w:basedOn w:val="JuPara"/>
    <w:next w:val="JuPara"/>
    <w:uiPriority w:val="35"/>
    <w:qFormat/>
    <w:rsid w:val="003C2867"/>
    <w:pPr>
      <w:keepNext/>
      <w:keepLines/>
      <w:spacing w:after="280"/>
      <w:ind w:firstLine="0"/>
      <w:jc w:val="center"/>
    </w:pPr>
    <w:rPr>
      <w:rFonts w:asciiTheme="majorHAnsi" w:hAnsiTheme="majorHAnsi"/>
    </w:rPr>
  </w:style>
  <w:style w:type="paragraph" w:customStyle="1" w:styleId="JuTitle">
    <w:name w:val="Ju_Title"/>
    <w:aliases w:val="_Title_2"/>
    <w:basedOn w:val="a2"/>
    <w:next w:val="JuPara"/>
    <w:uiPriority w:val="35"/>
    <w:qFormat/>
    <w:rsid w:val="003C2867"/>
    <w:pPr>
      <w:keepNext/>
      <w:keepLines/>
      <w:spacing w:before="1320" w:after="280"/>
      <w:contextualSpacing/>
      <w:jc w:val="center"/>
    </w:pPr>
    <w:rPr>
      <w:rFonts w:eastAsiaTheme="minorHAnsi"/>
      <w:b/>
    </w:rPr>
  </w:style>
  <w:style w:type="paragraph" w:styleId="ae">
    <w:name w:val="Title"/>
    <w:basedOn w:val="a2"/>
    <w:next w:val="a2"/>
    <w:link w:val="af"/>
    <w:uiPriority w:val="99"/>
    <w:semiHidden/>
    <w:qFormat/>
    <w:rsid w:val="003C286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f">
    <w:name w:val="Заголовок Знак"/>
    <w:basedOn w:val="a3"/>
    <w:link w:val="ae"/>
    <w:uiPriority w:val="99"/>
    <w:semiHidden/>
    <w:rsid w:val="003C2867"/>
    <w:rPr>
      <w:rFonts w:asciiTheme="majorHAnsi" w:eastAsiaTheme="majorEastAsia" w:hAnsiTheme="majorHAnsi" w:cstheme="majorBidi"/>
      <w:spacing w:val="5"/>
      <w:sz w:val="52"/>
      <w:szCs w:val="52"/>
      <w:lang w:val="fr-FR" w:bidi="en-US"/>
    </w:rPr>
  </w:style>
  <w:style w:type="paragraph" w:customStyle="1" w:styleId="JuH1">
    <w:name w:val="Ju_H_1."/>
    <w:aliases w:val="_Head_4"/>
    <w:basedOn w:val="a2"/>
    <w:next w:val="JuPara"/>
    <w:uiPriority w:val="19"/>
    <w:rsid w:val="003C2867"/>
    <w:pPr>
      <w:keepNext/>
      <w:keepLines/>
      <w:numPr>
        <w:ilvl w:val="3"/>
        <w:numId w:val="1"/>
      </w:numPr>
      <w:spacing w:before="100" w:beforeAutospacing="1" w:after="120"/>
      <w:jc w:val="both"/>
      <w:outlineLvl w:val="3"/>
    </w:pPr>
    <w:rPr>
      <w:i/>
    </w:rPr>
  </w:style>
  <w:style w:type="paragraph" w:customStyle="1" w:styleId="JuHa0">
    <w:name w:val="Ju_H_a"/>
    <w:aliases w:val="_Head_5"/>
    <w:basedOn w:val="a2"/>
    <w:next w:val="JuPara"/>
    <w:link w:val="JuHaChar"/>
    <w:uiPriority w:val="19"/>
    <w:rsid w:val="003C2867"/>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a2"/>
    <w:next w:val="JuPara"/>
    <w:uiPriority w:val="19"/>
    <w:rsid w:val="003C2867"/>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a2"/>
    <w:next w:val="JuPara"/>
    <w:uiPriority w:val="19"/>
    <w:rsid w:val="00594710"/>
    <w:pPr>
      <w:keepNext/>
      <w:keepLines/>
      <w:numPr>
        <w:ilvl w:val="6"/>
        <w:numId w:val="21"/>
      </w:numPr>
      <w:spacing w:before="100" w:beforeAutospacing="1" w:after="120"/>
      <w:jc w:val="both"/>
      <w:outlineLvl w:val="6"/>
    </w:pPr>
    <w:rPr>
      <w:sz w:val="20"/>
      <w:lang w:val="en-GB"/>
    </w:rPr>
  </w:style>
  <w:style w:type="paragraph" w:customStyle="1" w:styleId="JuH">
    <w:name w:val="Ju_H_–"/>
    <w:aliases w:val="_Head_8"/>
    <w:basedOn w:val="a2"/>
    <w:next w:val="JuPara"/>
    <w:uiPriority w:val="19"/>
    <w:rsid w:val="003C2867"/>
    <w:pPr>
      <w:keepNext/>
      <w:keepLines/>
      <w:numPr>
        <w:ilvl w:val="7"/>
        <w:numId w:val="1"/>
      </w:numPr>
      <w:spacing w:before="100" w:beforeAutospacing="1" w:after="120"/>
      <w:jc w:val="both"/>
      <w:outlineLvl w:val="7"/>
    </w:pPr>
    <w:rPr>
      <w:i/>
      <w:sz w:val="20"/>
    </w:rPr>
  </w:style>
  <w:style w:type="paragraph" w:customStyle="1" w:styleId="Footer">
    <w:name w:val="_Footer"/>
    <w:aliases w:val="Footer_"/>
    <w:basedOn w:val="aa"/>
    <w:uiPriority w:val="57"/>
    <w:semiHidden/>
    <w:rsid w:val="003C2867"/>
    <w:rPr>
      <w:sz w:val="8"/>
    </w:rPr>
  </w:style>
  <w:style w:type="paragraph" w:customStyle="1" w:styleId="JuInitialled">
    <w:name w:val="Ju_Initialled"/>
    <w:aliases w:val="_Right"/>
    <w:basedOn w:val="a2"/>
    <w:uiPriority w:val="30"/>
    <w:qFormat/>
    <w:rsid w:val="003C2867"/>
    <w:pPr>
      <w:tabs>
        <w:tab w:val="center" w:pos="6407"/>
      </w:tabs>
      <w:spacing w:before="720"/>
      <w:jc w:val="right"/>
    </w:pPr>
  </w:style>
  <w:style w:type="paragraph" w:styleId="a9">
    <w:name w:val="header"/>
    <w:basedOn w:val="a2"/>
    <w:link w:val="af0"/>
    <w:uiPriority w:val="57"/>
    <w:semiHidden/>
    <w:rsid w:val="003C2867"/>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3C2867"/>
    <w:rPr>
      <w:sz w:val="24"/>
      <w:lang w:val="fr-FR"/>
    </w:rPr>
  </w:style>
  <w:style w:type="character" w:customStyle="1" w:styleId="10">
    <w:name w:val="Заголовок 1 Знак"/>
    <w:basedOn w:val="a3"/>
    <w:link w:val="1"/>
    <w:uiPriority w:val="99"/>
    <w:semiHidden/>
    <w:rsid w:val="003C2867"/>
    <w:rPr>
      <w:rFonts w:asciiTheme="majorHAnsi" w:eastAsiaTheme="majorEastAsia" w:hAnsiTheme="majorHAnsi" w:cstheme="majorBidi"/>
      <w:b/>
      <w:bCs/>
      <w:color w:val="333333"/>
      <w:sz w:val="28"/>
      <w:szCs w:val="28"/>
      <w:lang w:val="fr-FR"/>
    </w:rPr>
  </w:style>
  <w:style w:type="paragraph" w:customStyle="1" w:styleId="JuHIRoman">
    <w:name w:val="Ju_H_I_Roman"/>
    <w:aliases w:val="_Head_2"/>
    <w:basedOn w:val="a2"/>
    <w:next w:val="JuPara"/>
    <w:uiPriority w:val="19"/>
    <w:qFormat/>
    <w:rsid w:val="003C2867"/>
    <w:pPr>
      <w:keepNext/>
      <w:keepLines/>
      <w:numPr>
        <w:ilvl w:val="1"/>
        <w:numId w:val="1"/>
      </w:numPr>
      <w:spacing w:before="100" w:beforeAutospacing="1" w:after="240"/>
      <w:jc w:val="both"/>
      <w:outlineLvl w:val="1"/>
    </w:pPr>
    <w:rPr>
      <w:caps/>
    </w:rPr>
  </w:style>
  <w:style w:type="paragraph" w:customStyle="1" w:styleId="JuHA">
    <w:name w:val="Ju_H_A"/>
    <w:aliases w:val="_Head_3"/>
    <w:basedOn w:val="a2"/>
    <w:next w:val="JuPara"/>
    <w:uiPriority w:val="19"/>
    <w:qFormat/>
    <w:rsid w:val="003C2867"/>
    <w:pPr>
      <w:keepNext/>
      <w:keepLines/>
      <w:numPr>
        <w:ilvl w:val="2"/>
        <w:numId w:val="1"/>
      </w:numPr>
      <w:spacing w:before="100" w:beforeAutospacing="1" w:after="240"/>
      <w:jc w:val="both"/>
      <w:outlineLvl w:val="2"/>
    </w:pPr>
    <w:rPr>
      <w:b/>
    </w:rPr>
  </w:style>
  <w:style w:type="character" w:customStyle="1" w:styleId="22">
    <w:name w:val="Заголовок 2 Знак"/>
    <w:basedOn w:val="a3"/>
    <w:link w:val="21"/>
    <w:uiPriority w:val="99"/>
    <w:semiHidden/>
    <w:rsid w:val="003C2867"/>
    <w:rPr>
      <w:rFonts w:asciiTheme="majorHAnsi" w:eastAsiaTheme="majorEastAsia" w:hAnsiTheme="majorHAnsi" w:cstheme="majorBidi"/>
      <w:b/>
      <w:bCs/>
      <w:color w:val="4D4D4D"/>
      <w:sz w:val="26"/>
      <w:szCs w:val="26"/>
      <w:lang w:val="fr-FR"/>
    </w:rPr>
  </w:style>
  <w:style w:type="character" w:customStyle="1" w:styleId="JUNAMES">
    <w:name w:val="JU_NAMES"/>
    <w:uiPriority w:val="34"/>
    <w:qFormat/>
    <w:rsid w:val="003C2867"/>
    <w:rPr>
      <w:caps w:val="0"/>
      <w:smallCaps/>
    </w:rPr>
  </w:style>
  <w:style w:type="paragraph" w:customStyle="1" w:styleId="JuJudges">
    <w:name w:val="Ju_Judges"/>
    <w:basedOn w:val="a2"/>
    <w:uiPriority w:val="31"/>
    <w:qFormat/>
    <w:rsid w:val="003C2867"/>
    <w:pPr>
      <w:tabs>
        <w:tab w:val="left" w:pos="567"/>
        <w:tab w:val="left" w:pos="1134"/>
      </w:tabs>
    </w:pPr>
  </w:style>
  <w:style w:type="character" w:customStyle="1" w:styleId="32">
    <w:name w:val="Заголовок 3 Знак"/>
    <w:basedOn w:val="a3"/>
    <w:link w:val="31"/>
    <w:uiPriority w:val="99"/>
    <w:semiHidden/>
    <w:rsid w:val="003C2867"/>
    <w:rPr>
      <w:rFonts w:asciiTheme="majorHAnsi" w:eastAsiaTheme="majorEastAsia" w:hAnsiTheme="majorHAnsi" w:cstheme="majorBidi"/>
      <w:b/>
      <w:bCs/>
      <w:color w:val="5F5F5F"/>
      <w:sz w:val="24"/>
      <w:lang w:val="fr-FR"/>
    </w:rPr>
  </w:style>
  <w:style w:type="paragraph" w:customStyle="1" w:styleId="JuPara">
    <w:name w:val="Ju_Para"/>
    <w:aliases w:val="_Para"/>
    <w:basedOn w:val="NormalJustified"/>
    <w:link w:val="JuParaChar"/>
    <w:uiPriority w:val="8"/>
    <w:qFormat/>
    <w:rsid w:val="003C2867"/>
    <w:pPr>
      <w:ind w:firstLine="284"/>
    </w:pPr>
  </w:style>
  <w:style w:type="character" w:customStyle="1" w:styleId="42">
    <w:name w:val="Заголовок 4 Знак"/>
    <w:basedOn w:val="a3"/>
    <w:link w:val="41"/>
    <w:uiPriority w:val="99"/>
    <w:semiHidden/>
    <w:rsid w:val="003C2867"/>
    <w:rPr>
      <w:rFonts w:asciiTheme="majorHAnsi" w:eastAsiaTheme="majorEastAsia" w:hAnsiTheme="majorHAnsi" w:cstheme="majorBidi"/>
      <w:b/>
      <w:bCs/>
      <w:i/>
      <w:iCs/>
      <w:color w:val="777777"/>
      <w:sz w:val="24"/>
      <w:lang w:val="fr-FR"/>
    </w:rPr>
  </w:style>
  <w:style w:type="character" w:customStyle="1" w:styleId="52">
    <w:name w:val="Заголовок 5 Знак"/>
    <w:basedOn w:val="a3"/>
    <w:link w:val="51"/>
    <w:uiPriority w:val="99"/>
    <w:semiHidden/>
    <w:rsid w:val="003C2867"/>
    <w:rPr>
      <w:rFonts w:asciiTheme="majorHAnsi" w:eastAsiaTheme="majorEastAsia" w:hAnsiTheme="majorHAnsi" w:cstheme="majorBidi"/>
      <w:b/>
      <w:bCs/>
      <w:color w:val="808080"/>
      <w:sz w:val="24"/>
      <w:lang w:val="fr-FR"/>
    </w:rPr>
  </w:style>
  <w:style w:type="character" w:styleId="af1">
    <w:name w:val="Subtle Emphasis"/>
    <w:uiPriority w:val="99"/>
    <w:semiHidden/>
    <w:qFormat/>
    <w:rsid w:val="003C2867"/>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3C286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HHead">
    <w:name w:val="Ju_H_Head"/>
    <w:aliases w:val="_Head_1"/>
    <w:basedOn w:val="a2"/>
    <w:next w:val="JuPara"/>
    <w:uiPriority w:val="19"/>
    <w:qFormat/>
    <w:rsid w:val="003C2867"/>
    <w:pPr>
      <w:keepNext/>
      <w:keepLines/>
      <w:numPr>
        <w:numId w:val="1"/>
      </w:numPr>
      <w:spacing w:before="100" w:beforeAutospacing="1" w:after="240"/>
      <w:jc w:val="both"/>
      <w:outlineLvl w:val="0"/>
    </w:pPr>
    <w:rPr>
      <w:caps/>
      <w:sz w:val="28"/>
    </w:rPr>
  </w:style>
  <w:style w:type="character" w:styleId="af2">
    <w:name w:val="Emphasis"/>
    <w:uiPriority w:val="99"/>
    <w:semiHidden/>
    <w:qFormat/>
    <w:rsid w:val="003C2867"/>
    <w:rPr>
      <w:b/>
      <w:bCs/>
      <w:i/>
      <w:iCs/>
      <w:spacing w:val="10"/>
      <w:bdr w:val="none" w:sz="0" w:space="0" w:color="auto"/>
      <w:shd w:val="clear" w:color="auto" w:fill="auto"/>
    </w:rPr>
  </w:style>
  <w:style w:type="paragraph" w:styleId="aa">
    <w:name w:val="footer"/>
    <w:basedOn w:val="a2"/>
    <w:link w:val="af3"/>
    <w:uiPriority w:val="57"/>
    <w:semiHidden/>
    <w:rsid w:val="003C2867"/>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3C2867"/>
    <w:rPr>
      <w:sz w:val="24"/>
      <w:lang w:val="fr-FR"/>
    </w:rPr>
  </w:style>
  <w:style w:type="character" w:styleId="af4">
    <w:name w:val="footnote reference"/>
    <w:basedOn w:val="a3"/>
    <w:uiPriority w:val="99"/>
    <w:semiHidden/>
    <w:rsid w:val="003C2867"/>
    <w:rPr>
      <w:vertAlign w:val="superscript"/>
    </w:rPr>
  </w:style>
  <w:style w:type="paragraph" w:styleId="af5">
    <w:name w:val="footnote text"/>
    <w:basedOn w:val="a2"/>
    <w:link w:val="af6"/>
    <w:uiPriority w:val="99"/>
    <w:semiHidden/>
    <w:rsid w:val="003C2867"/>
    <w:rPr>
      <w:sz w:val="20"/>
      <w:szCs w:val="20"/>
    </w:rPr>
  </w:style>
  <w:style w:type="character" w:customStyle="1" w:styleId="af6">
    <w:name w:val="Текст сноски Знак"/>
    <w:basedOn w:val="a3"/>
    <w:link w:val="af5"/>
    <w:uiPriority w:val="99"/>
    <w:semiHidden/>
    <w:rsid w:val="003C2867"/>
    <w:rPr>
      <w:rFonts w:eastAsiaTheme="minorEastAsia"/>
      <w:sz w:val="20"/>
      <w:szCs w:val="20"/>
      <w:lang w:val="fr-FR"/>
    </w:rPr>
  </w:style>
  <w:style w:type="character" w:customStyle="1" w:styleId="60">
    <w:name w:val="Заголовок 6 Знак"/>
    <w:basedOn w:val="a3"/>
    <w:link w:val="6"/>
    <w:uiPriority w:val="99"/>
    <w:semiHidden/>
    <w:rsid w:val="003C2867"/>
    <w:rPr>
      <w:rFonts w:asciiTheme="majorHAnsi" w:eastAsiaTheme="majorEastAsia" w:hAnsiTheme="majorHAnsi" w:cstheme="majorBidi"/>
      <w:b/>
      <w:bCs/>
      <w:i/>
      <w:iCs/>
      <w:color w:val="7F7F7F" w:themeColor="text1" w:themeTint="80"/>
      <w:sz w:val="24"/>
      <w:lang w:val="fr-FR" w:bidi="en-US"/>
    </w:rPr>
  </w:style>
  <w:style w:type="character" w:customStyle="1" w:styleId="70">
    <w:name w:val="Заголовок 7 Знак"/>
    <w:basedOn w:val="a3"/>
    <w:link w:val="7"/>
    <w:uiPriority w:val="99"/>
    <w:semiHidden/>
    <w:rsid w:val="003C2867"/>
    <w:rPr>
      <w:rFonts w:asciiTheme="majorHAnsi" w:eastAsiaTheme="majorEastAsia" w:hAnsiTheme="majorHAnsi" w:cstheme="majorBidi"/>
      <w:i/>
      <w:iCs/>
      <w:sz w:val="24"/>
      <w:lang w:val="fr-FR" w:bidi="en-US"/>
    </w:rPr>
  </w:style>
  <w:style w:type="character" w:customStyle="1" w:styleId="80">
    <w:name w:val="Заголовок 8 Знак"/>
    <w:basedOn w:val="a3"/>
    <w:link w:val="8"/>
    <w:uiPriority w:val="99"/>
    <w:semiHidden/>
    <w:rsid w:val="003C2867"/>
    <w:rPr>
      <w:rFonts w:asciiTheme="majorHAnsi" w:eastAsiaTheme="majorEastAsia" w:hAnsiTheme="majorHAnsi" w:cstheme="majorBidi"/>
      <w:sz w:val="20"/>
      <w:szCs w:val="20"/>
      <w:lang w:val="fr-FR" w:bidi="en-US"/>
    </w:rPr>
  </w:style>
  <w:style w:type="character" w:customStyle="1" w:styleId="90">
    <w:name w:val="Заголовок 9 Знак"/>
    <w:basedOn w:val="a3"/>
    <w:link w:val="9"/>
    <w:uiPriority w:val="99"/>
    <w:semiHidden/>
    <w:rsid w:val="003C2867"/>
    <w:rPr>
      <w:rFonts w:asciiTheme="majorHAnsi" w:eastAsiaTheme="majorEastAsia" w:hAnsiTheme="majorHAnsi" w:cstheme="majorBidi"/>
      <w:i/>
      <w:iCs/>
      <w:spacing w:val="5"/>
      <w:sz w:val="20"/>
      <w:szCs w:val="20"/>
      <w:lang w:val="fr-FR" w:bidi="en-US"/>
    </w:rPr>
  </w:style>
  <w:style w:type="character" w:styleId="af7">
    <w:name w:val="Hyperlink"/>
    <w:basedOn w:val="a3"/>
    <w:uiPriority w:val="99"/>
    <w:semiHidden/>
    <w:rsid w:val="003C2867"/>
    <w:rPr>
      <w:color w:val="0072BC" w:themeColor="hyperlink"/>
      <w:u w:val="single"/>
    </w:rPr>
  </w:style>
  <w:style w:type="character" w:styleId="af8">
    <w:name w:val="Intense Emphasis"/>
    <w:uiPriority w:val="99"/>
    <w:semiHidden/>
    <w:qFormat/>
    <w:rsid w:val="003C2867"/>
    <w:rPr>
      <w:b/>
      <w:bCs/>
    </w:rPr>
  </w:style>
  <w:style w:type="paragraph" w:styleId="af9">
    <w:name w:val="Intense Quote"/>
    <w:basedOn w:val="a2"/>
    <w:next w:val="a2"/>
    <w:link w:val="afa"/>
    <w:uiPriority w:val="99"/>
    <w:semiHidden/>
    <w:qFormat/>
    <w:rsid w:val="003C2867"/>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9"/>
    <w:semiHidden/>
    <w:rsid w:val="003C2867"/>
    <w:rPr>
      <w:rFonts w:eastAsiaTheme="minorEastAsia"/>
      <w:b/>
      <w:bCs/>
      <w:i/>
      <w:iCs/>
      <w:sz w:val="24"/>
      <w:lang w:val="fr-FR" w:bidi="en-US"/>
    </w:rPr>
  </w:style>
  <w:style w:type="character" w:styleId="afb">
    <w:name w:val="Intense Reference"/>
    <w:uiPriority w:val="99"/>
    <w:semiHidden/>
    <w:qFormat/>
    <w:rsid w:val="003C2867"/>
    <w:rPr>
      <w:smallCaps/>
      <w:spacing w:val="5"/>
      <w:u w:val="single"/>
    </w:rPr>
  </w:style>
  <w:style w:type="paragraph" w:styleId="afc">
    <w:name w:val="List Paragraph"/>
    <w:basedOn w:val="a2"/>
    <w:uiPriority w:val="99"/>
    <w:semiHidden/>
    <w:qFormat/>
    <w:rsid w:val="003C2867"/>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3C2867"/>
    <w:pPr>
      <w:spacing w:before="200"/>
      <w:ind w:left="360" w:right="360"/>
    </w:pPr>
    <w:rPr>
      <w:i/>
      <w:iCs/>
      <w:lang w:bidi="en-US"/>
    </w:rPr>
  </w:style>
  <w:style w:type="character" w:customStyle="1" w:styleId="24">
    <w:name w:val="Цитата 2 Знак"/>
    <w:basedOn w:val="a3"/>
    <w:link w:val="23"/>
    <w:uiPriority w:val="99"/>
    <w:semiHidden/>
    <w:rsid w:val="003C2867"/>
    <w:rPr>
      <w:rFonts w:eastAsiaTheme="minorEastAsia"/>
      <w:i/>
      <w:iCs/>
      <w:sz w:val="24"/>
      <w:lang w:val="fr-FR" w:bidi="en-US"/>
    </w:rPr>
  </w:style>
  <w:style w:type="character" w:styleId="afd">
    <w:name w:val="Subtle Reference"/>
    <w:uiPriority w:val="99"/>
    <w:semiHidden/>
    <w:qFormat/>
    <w:rsid w:val="003C2867"/>
    <w:rPr>
      <w:smallCaps/>
    </w:rPr>
  </w:style>
  <w:style w:type="table" w:styleId="afe">
    <w:name w:val="Table Grid"/>
    <w:basedOn w:val="a4"/>
    <w:uiPriority w:val="59"/>
    <w:semiHidden/>
    <w:rsid w:val="003C286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3C2867"/>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3C2867"/>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3C2867"/>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3C2867"/>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3C2867"/>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3C286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3C286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3C286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3C286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3C286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Quot">
    <w:name w:val="Ju_Quot"/>
    <w:aliases w:val="_Quote"/>
    <w:basedOn w:val="NormalJustified"/>
    <w:uiPriority w:val="21"/>
    <w:qFormat/>
    <w:rsid w:val="003C2867"/>
    <w:pPr>
      <w:spacing w:before="120" w:after="120"/>
      <w:ind w:left="425" w:firstLine="142"/>
    </w:pPr>
    <w:rPr>
      <w:sz w:val="20"/>
    </w:rPr>
  </w:style>
  <w:style w:type="table" w:customStyle="1" w:styleId="ECHRTableSimpleBox">
    <w:name w:val="ECHR_Table_Simple_Box"/>
    <w:basedOn w:val="a4"/>
    <w:uiPriority w:val="99"/>
    <w:rsid w:val="003C286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3C286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3C286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5953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3C286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a4"/>
    <w:uiPriority w:val="99"/>
    <w:rsid w:val="003C2867"/>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aliases w:val="_Signature"/>
    <w:basedOn w:val="a2"/>
    <w:next w:val="JuPara"/>
    <w:uiPriority w:val="30"/>
    <w:qFormat/>
    <w:rsid w:val="003C2867"/>
    <w:pPr>
      <w:tabs>
        <w:tab w:val="center" w:pos="851"/>
        <w:tab w:val="center" w:pos="6407"/>
      </w:tabs>
      <w:spacing w:before="720"/>
    </w:pPr>
  </w:style>
  <w:style w:type="paragraph" w:customStyle="1" w:styleId="JuParaLast">
    <w:name w:val="Ju_Para_Last"/>
    <w:aliases w:val="_Para_Spaced"/>
    <w:basedOn w:val="NormalJustified"/>
    <w:uiPriority w:val="9"/>
    <w:qFormat/>
    <w:rsid w:val="003C2867"/>
    <w:pPr>
      <w:keepNext/>
      <w:keepLines/>
      <w:spacing w:before="240" w:after="240"/>
      <w:ind w:firstLine="284"/>
    </w:pPr>
    <w:rPr>
      <w:rFonts w:eastAsiaTheme="minorHAnsi"/>
    </w:rPr>
  </w:style>
  <w:style w:type="paragraph" w:customStyle="1" w:styleId="JuCase">
    <w:name w:val="Ju_Case"/>
    <w:basedOn w:val="a2"/>
    <w:next w:val="JuPara"/>
    <w:uiPriority w:val="31"/>
    <w:rsid w:val="003C2867"/>
    <w:pPr>
      <w:ind w:firstLine="284"/>
    </w:pPr>
    <w:rPr>
      <w:b/>
    </w:rPr>
  </w:style>
  <w:style w:type="paragraph" w:customStyle="1" w:styleId="JuList">
    <w:name w:val="Ju_List"/>
    <w:aliases w:val="_List_1"/>
    <w:basedOn w:val="NormalJustified"/>
    <w:uiPriority w:val="23"/>
    <w:qFormat/>
    <w:rsid w:val="003C2867"/>
    <w:pPr>
      <w:numPr>
        <w:numId w:val="2"/>
      </w:numPr>
      <w:spacing w:before="280" w:after="60"/>
    </w:pPr>
    <w:rPr>
      <w:rFonts w:eastAsiaTheme="minorHAnsi"/>
    </w:rPr>
  </w:style>
  <w:style w:type="character" w:styleId="aff1">
    <w:name w:val="page number"/>
    <w:uiPriority w:val="99"/>
    <w:semiHidden/>
    <w:rsid w:val="003C2867"/>
    <w:rPr>
      <w:sz w:val="18"/>
    </w:rPr>
  </w:style>
  <w:style w:type="paragraph" w:customStyle="1" w:styleId="JuLista">
    <w:name w:val="Ju_List_a"/>
    <w:aliases w:val="_List_2"/>
    <w:basedOn w:val="NormalJustified"/>
    <w:uiPriority w:val="23"/>
    <w:rsid w:val="003C2867"/>
    <w:pPr>
      <w:numPr>
        <w:ilvl w:val="1"/>
        <w:numId w:val="2"/>
      </w:numPr>
    </w:pPr>
  </w:style>
  <w:style w:type="paragraph" w:customStyle="1" w:styleId="JuListi">
    <w:name w:val="Ju_List_i"/>
    <w:aliases w:val="_List_3"/>
    <w:basedOn w:val="NormalJustified"/>
    <w:uiPriority w:val="23"/>
    <w:rsid w:val="003C2867"/>
    <w:pPr>
      <w:numPr>
        <w:ilvl w:val="2"/>
        <w:numId w:val="2"/>
      </w:numPr>
    </w:pPr>
  </w:style>
  <w:style w:type="character" w:styleId="aff2">
    <w:name w:val="annotation reference"/>
    <w:basedOn w:val="a3"/>
    <w:uiPriority w:val="99"/>
    <w:semiHidden/>
    <w:rsid w:val="003C2867"/>
    <w:rPr>
      <w:sz w:val="16"/>
      <w:szCs w:val="16"/>
    </w:rPr>
  </w:style>
  <w:style w:type="paragraph" w:styleId="aff3">
    <w:name w:val="annotation text"/>
    <w:basedOn w:val="a2"/>
    <w:link w:val="aff4"/>
    <w:semiHidden/>
    <w:rsid w:val="003C2867"/>
    <w:rPr>
      <w:sz w:val="20"/>
      <w:szCs w:val="20"/>
    </w:rPr>
  </w:style>
  <w:style w:type="character" w:customStyle="1" w:styleId="aff4">
    <w:name w:val="Текст примечания Знак"/>
    <w:basedOn w:val="a3"/>
    <w:link w:val="aff3"/>
    <w:semiHidden/>
    <w:rsid w:val="003C2867"/>
    <w:rPr>
      <w:rFonts w:eastAsiaTheme="minorEastAsia"/>
      <w:sz w:val="20"/>
      <w:szCs w:val="20"/>
      <w:lang w:val="fr-FR"/>
    </w:rPr>
  </w:style>
  <w:style w:type="character" w:styleId="aff5">
    <w:name w:val="endnote reference"/>
    <w:basedOn w:val="a3"/>
    <w:uiPriority w:val="99"/>
    <w:semiHidden/>
    <w:rsid w:val="003C2867"/>
    <w:rPr>
      <w:vertAlign w:val="superscript"/>
    </w:rPr>
  </w:style>
  <w:style w:type="paragraph" w:styleId="aff6">
    <w:name w:val="endnote text"/>
    <w:basedOn w:val="a2"/>
    <w:link w:val="aff7"/>
    <w:uiPriority w:val="99"/>
    <w:semiHidden/>
    <w:rsid w:val="003C2867"/>
    <w:rPr>
      <w:sz w:val="20"/>
      <w:szCs w:val="20"/>
    </w:rPr>
  </w:style>
  <w:style w:type="character" w:customStyle="1" w:styleId="aff7">
    <w:name w:val="Текст концевой сноски Знак"/>
    <w:basedOn w:val="a3"/>
    <w:link w:val="aff6"/>
    <w:uiPriority w:val="99"/>
    <w:semiHidden/>
    <w:rsid w:val="003C2867"/>
    <w:rPr>
      <w:rFonts w:eastAsiaTheme="minorEastAsia"/>
      <w:sz w:val="20"/>
      <w:szCs w:val="20"/>
      <w:lang w:val="fr-FR"/>
    </w:rPr>
  </w:style>
  <w:style w:type="character" w:styleId="aff8">
    <w:name w:val="FollowedHyperlink"/>
    <w:basedOn w:val="a3"/>
    <w:uiPriority w:val="99"/>
    <w:semiHidden/>
    <w:rsid w:val="003C2867"/>
    <w:rPr>
      <w:color w:val="7030A0" w:themeColor="followedHyperlink"/>
      <w:u w:val="single"/>
    </w:rPr>
  </w:style>
  <w:style w:type="paragraph" w:styleId="a1">
    <w:name w:val="List Bullet"/>
    <w:basedOn w:val="a2"/>
    <w:uiPriority w:val="99"/>
    <w:semiHidden/>
    <w:rsid w:val="003C2867"/>
    <w:pPr>
      <w:numPr>
        <w:numId w:val="9"/>
      </w:numPr>
    </w:pPr>
  </w:style>
  <w:style w:type="character" w:customStyle="1" w:styleId="JuNames0">
    <w:name w:val="Ju_Names"/>
    <w:rsid w:val="00E77CB3"/>
    <w:rPr>
      <w:rFonts w:ascii="Times New Roman" w:hAnsi="Times New Roman" w:cs="Times New Roman"/>
      <w:smallCaps/>
    </w:rPr>
  </w:style>
  <w:style w:type="paragraph" w:styleId="aff9">
    <w:name w:val="annotation subject"/>
    <w:basedOn w:val="aff3"/>
    <w:next w:val="aff3"/>
    <w:link w:val="affa"/>
    <w:uiPriority w:val="99"/>
    <w:semiHidden/>
    <w:rsid w:val="003C2867"/>
    <w:rPr>
      <w:b/>
      <w:bCs/>
    </w:rPr>
  </w:style>
  <w:style w:type="character" w:customStyle="1" w:styleId="affa">
    <w:name w:val="Тема примечания Знак"/>
    <w:basedOn w:val="aff4"/>
    <w:link w:val="aff9"/>
    <w:uiPriority w:val="99"/>
    <w:semiHidden/>
    <w:rsid w:val="003C2867"/>
    <w:rPr>
      <w:rFonts w:eastAsiaTheme="minorEastAsia"/>
      <w:b/>
      <w:bCs/>
      <w:sz w:val="20"/>
      <w:szCs w:val="20"/>
      <w:lang w:val="fr-FR"/>
    </w:rPr>
  </w:style>
  <w:style w:type="paragraph" w:styleId="affb">
    <w:name w:val="Document Map"/>
    <w:basedOn w:val="a2"/>
    <w:link w:val="affc"/>
    <w:uiPriority w:val="99"/>
    <w:semiHidden/>
    <w:rsid w:val="003C2867"/>
    <w:rPr>
      <w:rFonts w:ascii="Tahoma" w:hAnsi="Tahoma" w:cs="Tahoma"/>
      <w:sz w:val="16"/>
      <w:szCs w:val="16"/>
    </w:rPr>
  </w:style>
  <w:style w:type="character" w:customStyle="1" w:styleId="affc">
    <w:name w:val="Схема документа Знак"/>
    <w:basedOn w:val="a3"/>
    <w:link w:val="affb"/>
    <w:uiPriority w:val="99"/>
    <w:semiHidden/>
    <w:rsid w:val="003C2867"/>
    <w:rPr>
      <w:rFonts w:ascii="Tahoma" w:eastAsiaTheme="minorEastAsia" w:hAnsi="Tahoma" w:cs="Tahoma"/>
      <w:sz w:val="16"/>
      <w:szCs w:val="16"/>
      <w:lang w:val="fr-FR"/>
    </w:rPr>
  </w:style>
  <w:style w:type="character" w:customStyle="1" w:styleId="JuITMark">
    <w:name w:val="Ju_ITMark"/>
    <w:basedOn w:val="a3"/>
    <w:uiPriority w:val="38"/>
    <w:qFormat/>
    <w:rsid w:val="003C2867"/>
    <w:rPr>
      <w:vanish w:val="0"/>
      <w:color w:val="auto"/>
      <w:sz w:val="14"/>
      <w:bdr w:val="none" w:sz="0" w:space="0" w:color="auto"/>
      <w:shd w:val="clear" w:color="auto" w:fill="BEE5FF" w:themeFill="background1" w:themeFillTint="33"/>
    </w:rPr>
  </w:style>
  <w:style w:type="paragraph" w:styleId="affd">
    <w:name w:val="Subtitle"/>
    <w:basedOn w:val="a2"/>
    <w:next w:val="a2"/>
    <w:link w:val="affe"/>
    <w:uiPriority w:val="99"/>
    <w:semiHidden/>
    <w:qFormat/>
    <w:rsid w:val="003C2867"/>
    <w:pPr>
      <w:spacing w:after="600"/>
    </w:pPr>
    <w:rPr>
      <w:rFonts w:asciiTheme="majorHAnsi" w:eastAsiaTheme="majorEastAsia" w:hAnsiTheme="majorHAnsi" w:cstheme="majorBidi"/>
      <w:i/>
      <w:iCs/>
      <w:spacing w:val="13"/>
      <w:szCs w:val="24"/>
      <w:lang w:bidi="en-US"/>
    </w:rPr>
  </w:style>
  <w:style w:type="character" w:customStyle="1" w:styleId="affe">
    <w:name w:val="Подзаголовок Знак"/>
    <w:basedOn w:val="a3"/>
    <w:link w:val="affd"/>
    <w:uiPriority w:val="99"/>
    <w:semiHidden/>
    <w:rsid w:val="003C2867"/>
    <w:rPr>
      <w:rFonts w:asciiTheme="majorHAnsi" w:eastAsiaTheme="majorEastAsia" w:hAnsiTheme="majorHAnsi" w:cstheme="majorBidi"/>
      <w:i/>
      <w:iCs/>
      <w:spacing w:val="13"/>
      <w:sz w:val="24"/>
      <w:szCs w:val="24"/>
      <w:lang w:val="fr-FR" w:bidi="en-US"/>
    </w:rPr>
  </w:style>
  <w:style w:type="numbering" w:styleId="111111">
    <w:name w:val="Outline List 2"/>
    <w:basedOn w:val="a5"/>
    <w:uiPriority w:val="99"/>
    <w:semiHidden/>
    <w:unhideWhenUsed/>
    <w:rsid w:val="003C2867"/>
    <w:pPr>
      <w:numPr>
        <w:numId w:val="3"/>
      </w:numPr>
    </w:pPr>
  </w:style>
  <w:style w:type="numbering" w:styleId="1ai">
    <w:name w:val="Outline List 1"/>
    <w:basedOn w:val="a5"/>
    <w:uiPriority w:val="99"/>
    <w:semiHidden/>
    <w:unhideWhenUsed/>
    <w:rsid w:val="003C2867"/>
    <w:pPr>
      <w:numPr>
        <w:numId w:val="4"/>
      </w:numPr>
    </w:pPr>
  </w:style>
  <w:style w:type="numbering" w:styleId="a0">
    <w:name w:val="Outline List 3"/>
    <w:basedOn w:val="a5"/>
    <w:uiPriority w:val="99"/>
    <w:semiHidden/>
    <w:unhideWhenUsed/>
    <w:rsid w:val="003C2867"/>
    <w:pPr>
      <w:numPr>
        <w:numId w:val="5"/>
      </w:numPr>
    </w:pPr>
  </w:style>
  <w:style w:type="paragraph" w:styleId="afff">
    <w:name w:val="Bibliography"/>
    <w:basedOn w:val="a2"/>
    <w:next w:val="a2"/>
    <w:uiPriority w:val="99"/>
    <w:semiHidden/>
    <w:rsid w:val="003C2867"/>
  </w:style>
  <w:style w:type="paragraph" w:styleId="afff0">
    <w:name w:val="Block Text"/>
    <w:basedOn w:val="a2"/>
    <w:uiPriority w:val="99"/>
    <w:semiHidden/>
    <w:rsid w:val="003C2867"/>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3C2867"/>
    <w:pPr>
      <w:spacing w:after="120"/>
    </w:pPr>
  </w:style>
  <w:style w:type="character" w:customStyle="1" w:styleId="afff2">
    <w:name w:val="Основной текст Знак"/>
    <w:basedOn w:val="a3"/>
    <w:link w:val="afff1"/>
    <w:uiPriority w:val="99"/>
    <w:semiHidden/>
    <w:rsid w:val="003C2867"/>
    <w:rPr>
      <w:rFonts w:eastAsiaTheme="minorEastAsia"/>
      <w:sz w:val="24"/>
      <w:lang w:val="fr-FR"/>
    </w:rPr>
  </w:style>
  <w:style w:type="paragraph" w:styleId="26">
    <w:name w:val="Body Text 2"/>
    <w:basedOn w:val="a2"/>
    <w:link w:val="27"/>
    <w:uiPriority w:val="99"/>
    <w:semiHidden/>
    <w:rsid w:val="003C2867"/>
    <w:pPr>
      <w:spacing w:after="120" w:line="480" w:lineRule="auto"/>
    </w:pPr>
  </w:style>
  <w:style w:type="character" w:customStyle="1" w:styleId="27">
    <w:name w:val="Основной текст 2 Знак"/>
    <w:basedOn w:val="a3"/>
    <w:link w:val="26"/>
    <w:uiPriority w:val="99"/>
    <w:semiHidden/>
    <w:rsid w:val="003C2867"/>
    <w:rPr>
      <w:rFonts w:eastAsiaTheme="minorEastAsia"/>
      <w:sz w:val="24"/>
      <w:lang w:val="fr-FR"/>
    </w:rPr>
  </w:style>
  <w:style w:type="paragraph" w:styleId="34">
    <w:name w:val="Body Text 3"/>
    <w:basedOn w:val="a2"/>
    <w:link w:val="35"/>
    <w:uiPriority w:val="99"/>
    <w:semiHidden/>
    <w:rsid w:val="003C2867"/>
    <w:pPr>
      <w:spacing w:after="120"/>
    </w:pPr>
    <w:rPr>
      <w:sz w:val="16"/>
      <w:szCs w:val="16"/>
    </w:rPr>
  </w:style>
  <w:style w:type="character" w:customStyle="1" w:styleId="35">
    <w:name w:val="Основной текст 3 Знак"/>
    <w:basedOn w:val="a3"/>
    <w:link w:val="34"/>
    <w:uiPriority w:val="99"/>
    <w:semiHidden/>
    <w:rsid w:val="003C2867"/>
    <w:rPr>
      <w:rFonts w:eastAsiaTheme="minorEastAsia"/>
      <w:sz w:val="16"/>
      <w:szCs w:val="16"/>
      <w:lang w:val="fr-FR"/>
    </w:rPr>
  </w:style>
  <w:style w:type="paragraph" w:styleId="afff3">
    <w:name w:val="Body Text First Indent"/>
    <w:basedOn w:val="afff1"/>
    <w:link w:val="afff4"/>
    <w:uiPriority w:val="99"/>
    <w:semiHidden/>
    <w:rsid w:val="003C2867"/>
    <w:pPr>
      <w:spacing w:after="0"/>
      <w:ind w:firstLine="360"/>
    </w:pPr>
  </w:style>
  <w:style w:type="character" w:customStyle="1" w:styleId="afff4">
    <w:name w:val="Красная строка Знак"/>
    <w:basedOn w:val="afff2"/>
    <w:link w:val="afff3"/>
    <w:uiPriority w:val="99"/>
    <w:semiHidden/>
    <w:rsid w:val="003C2867"/>
    <w:rPr>
      <w:rFonts w:eastAsiaTheme="minorEastAsia"/>
      <w:sz w:val="24"/>
      <w:lang w:val="fr-FR"/>
    </w:rPr>
  </w:style>
  <w:style w:type="paragraph" w:styleId="afff5">
    <w:name w:val="Body Text Indent"/>
    <w:basedOn w:val="a2"/>
    <w:link w:val="afff6"/>
    <w:uiPriority w:val="99"/>
    <w:semiHidden/>
    <w:rsid w:val="003C2867"/>
    <w:pPr>
      <w:spacing w:after="120"/>
      <w:ind w:left="283"/>
    </w:pPr>
  </w:style>
  <w:style w:type="character" w:customStyle="1" w:styleId="afff6">
    <w:name w:val="Основной текст с отступом Знак"/>
    <w:basedOn w:val="a3"/>
    <w:link w:val="afff5"/>
    <w:uiPriority w:val="99"/>
    <w:semiHidden/>
    <w:rsid w:val="003C2867"/>
    <w:rPr>
      <w:rFonts w:eastAsiaTheme="minorEastAsia"/>
      <w:sz w:val="24"/>
      <w:lang w:val="fr-FR"/>
    </w:rPr>
  </w:style>
  <w:style w:type="paragraph" w:styleId="28">
    <w:name w:val="Body Text First Indent 2"/>
    <w:basedOn w:val="afff5"/>
    <w:link w:val="29"/>
    <w:uiPriority w:val="99"/>
    <w:semiHidden/>
    <w:rsid w:val="003C2867"/>
    <w:pPr>
      <w:spacing w:after="0"/>
      <w:ind w:left="360" w:firstLine="360"/>
    </w:pPr>
  </w:style>
  <w:style w:type="character" w:customStyle="1" w:styleId="29">
    <w:name w:val="Красная строка 2 Знак"/>
    <w:basedOn w:val="afff6"/>
    <w:link w:val="28"/>
    <w:uiPriority w:val="99"/>
    <w:semiHidden/>
    <w:rsid w:val="003C2867"/>
    <w:rPr>
      <w:rFonts w:eastAsiaTheme="minorEastAsia"/>
      <w:sz w:val="24"/>
      <w:lang w:val="fr-FR"/>
    </w:rPr>
  </w:style>
  <w:style w:type="paragraph" w:styleId="2a">
    <w:name w:val="Body Text Indent 2"/>
    <w:basedOn w:val="a2"/>
    <w:link w:val="2b"/>
    <w:uiPriority w:val="99"/>
    <w:semiHidden/>
    <w:rsid w:val="003C2867"/>
    <w:pPr>
      <w:spacing w:after="120" w:line="480" w:lineRule="auto"/>
      <w:ind w:left="283"/>
    </w:pPr>
  </w:style>
  <w:style w:type="character" w:customStyle="1" w:styleId="2b">
    <w:name w:val="Основной текст с отступом 2 Знак"/>
    <w:basedOn w:val="a3"/>
    <w:link w:val="2a"/>
    <w:uiPriority w:val="99"/>
    <w:semiHidden/>
    <w:rsid w:val="003C2867"/>
    <w:rPr>
      <w:rFonts w:eastAsiaTheme="minorEastAsia"/>
      <w:sz w:val="24"/>
      <w:lang w:val="fr-FR"/>
    </w:rPr>
  </w:style>
  <w:style w:type="paragraph" w:styleId="36">
    <w:name w:val="Body Text Indent 3"/>
    <w:basedOn w:val="a2"/>
    <w:link w:val="37"/>
    <w:uiPriority w:val="99"/>
    <w:semiHidden/>
    <w:rsid w:val="003C2867"/>
    <w:pPr>
      <w:spacing w:after="120"/>
      <w:ind w:left="283"/>
    </w:pPr>
    <w:rPr>
      <w:sz w:val="16"/>
      <w:szCs w:val="16"/>
    </w:rPr>
  </w:style>
  <w:style w:type="character" w:customStyle="1" w:styleId="37">
    <w:name w:val="Основной текст с отступом 3 Знак"/>
    <w:basedOn w:val="a3"/>
    <w:link w:val="36"/>
    <w:uiPriority w:val="99"/>
    <w:semiHidden/>
    <w:rsid w:val="003C2867"/>
    <w:rPr>
      <w:rFonts w:eastAsiaTheme="minorEastAsia"/>
      <w:sz w:val="16"/>
      <w:szCs w:val="16"/>
      <w:lang w:val="fr-FR"/>
    </w:rPr>
  </w:style>
  <w:style w:type="paragraph" w:styleId="afff7">
    <w:name w:val="caption"/>
    <w:basedOn w:val="a2"/>
    <w:next w:val="a2"/>
    <w:uiPriority w:val="99"/>
    <w:semiHidden/>
    <w:qFormat/>
    <w:rsid w:val="003C2867"/>
    <w:pPr>
      <w:spacing w:after="200"/>
    </w:pPr>
    <w:rPr>
      <w:b/>
      <w:bCs/>
      <w:color w:val="0072BC" w:themeColor="accent1"/>
      <w:sz w:val="18"/>
      <w:szCs w:val="18"/>
    </w:rPr>
  </w:style>
  <w:style w:type="paragraph" w:styleId="afff8">
    <w:name w:val="Closing"/>
    <w:basedOn w:val="a2"/>
    <w:link w:val="afff9"/>
    <w:uiPriority w:val="99"/>
    <w:semiHidden/>
    <w:rsid w:val="003C2867"/>
    <w:pPr>
      <w:ind w:left="4252"/>
    </w:pPr>
  </w:style>
  <w:style w:type="character" w:customStyle="1" w:styleId="afff9">
    <w:name w:val="Прощание Знак"/>
    <w:basedOn w:val="a3"/>
    <w:link w:val="afff8"/>
    <w:uiPriority w:val="99"/>
    <w:semiHidden/>
    <w:rsid w:val="003C2867"/>
    <w:rPr>
      <w:rFonts w:eastAsiaTheme="minorEastAsia"/>
      <w:sz w:val="24"/>
      <w:lang w:val="fr-FR"/>
    </w:rPr>
  </w:style>
  <w:style w:type="table" w:styleId="afffa">
    <w:name w:val="Colorful Grid"/>
    <w:basedOn w:val="a4"/>
    <w:uiPriority w:val="73"/>
    <w:semiHidden/>
    <w:rsid w:val="003C286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3C286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3C286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3C286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3C286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3C286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3C286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72"/>
    <w:semiHidden/>
    <w:rsid w:val="003C286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3C286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3C286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3C286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3C286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3C286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3C286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71"/>
    <w:semiHidden/>
    <w:rsid w:val="003C286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3C286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3C286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3C286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3C286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3C286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3C286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70"/>
    <w:semiHidden/>
    <w:rsid w:val="003C286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3C286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3C286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3C286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3C286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3C286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3C286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3C2867"/>
  </w:style>
  <w:style w:type="character" w:customStyle="1" w:styleId="affff">
    <w:name w:val="Дата Знак"/>
    <w:basedOn w:val="a3"/>
    <w:link w:val="afffe"/>
    <w:uiPriority w:val="99"/>
    <w:semiHidden/>
    <w:rsid w:val="003C2867"/>
    <w:rPr>
      <w:rFonts w:eastAsiaTheme="minorEastAsia"/>
      <w:sz w:val="24"/>
      <w:lang w:val="fr-FR"/>
    </w:rPr>
  </w:style>
  <w:style w:type="paragraph" w:styleId="affff0">
    <w:name w:val="E-mail Signature"/>
    <w:basedOn w:val="a2"/>
    <w:link w:val="affff1"/>
    <w:uiPriority w:val="99"/>
    <w:semiHidden/>
    <w:rsid w:val="003C2867"/>
  </w:style>
  <w:style w:type="character" w:customStyle="1" w:styleId="affff1">
    <w:name w:val="Электронная подпись Знак"/>
    <w:basedOn w:val="a3"/>
    <w:link w:val="affff0"/>
    <w:uiPriority w:val="99"/>
    <w:semiHidden/>
    <w:rsid w:val="003C2867"/>
    <w:rPr>
      <w:rFonts w:eastAsiaTheme="minorEastAsia"/>
      <w:sz w:val="24"/>
      <w:lang w:val="fr-FR"/>
    </w:rPr>
  </w:style>
  <w:style w:type="paragraph" w:styleId="affff2">
    <w:name w:val="envelope address"/>
    <w:basedOn w:val="a2"/>
    <w:uiPriority w:val="99"/>
    <w:semiHidden/>
    <w:rsid w:val="003C2867"/>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3C2867"/>
    <w:rPr>
      <w:rFonts w:asciiTheme="majorHAnsi" w:eastAsiaTheme="majorEastAsia" w:hAnsiTheme="majorHAnsi" w:cstheme="majorBidi"/>
      <w:sz w:val="20"/>
      <w:szCs w:val="20"/>
    </w:rPr>
  </w:style>
  <w:style w:type="character" w:styleId="HTML">
    <w:name w:val="HTML Acronym"/>
    <w:basedOn w:val="a3"/>
    <w:uiPriority w:val="99"/>
    <w:semiHidden/>
    <w:rsid w:val="003C2867"/>
  </w:style>
  <w:style w:type="paragraph" w:styleId="HTML0">
    <w:name w:val="HTML Address"/>
    <w:basedOn w:val="a2"/>
    <w:link w:val="HTML1"/>
    <w:uiPriority w:val="99"/>
    <w:semiHidden/>
    <w:rsid w:val="003C2867"/>
    <w:rPr>
      <w:i/>
      <w:iCs/>
    </w:rPr>
  </w:style>
  <w:style w:type="character" w:customStyle="1" w:styleId="HTML1">
    <w:name w:val="Адрес HTML Знак"/>
    <w:basedOn w:val="a3"/>
    <w:link w:val="HTML0"/>
    <w:uiPriority w:val="99"/>
    <w:semiHidden/>
    <w:rsid w:val="003C2867"/>
    <w:rPr>
      <w:rFonts w:eastAsiaTheme="minorEastAsia"/>
      <w:i/>
      <w:iCs/>
      <w:sz w:val="24"/>
      <w:lang w:val="fr-FR"/>
    </w:rPr>
  </w:style>
  <w:style w:type="character" w:styleId="HTML2">
    <w:name w:val="HTML Cite"/>
    <w:basedOn w:val="a3"/>
    <w:uiPriority w:val="99"/>
    <w:semiHidden/>
    <w:rsid w:val="003C2867"/>
    <w:rPr>
      <w:i/>
      <w:iCs/>
    </w:rPr>
  </w:style>
  <w:style w:type="character" w:styleId="HTML3">
    <w:name w:val="HTML Code"/>
    <w:basedOn w:val="a3"/>
    <w:uiPriority w:val="99"/>
    <w:semiHidden/>
    <w:rsid w:val="003C2867"/>
    <w:rPr>
      <w:rFonts w:ascii="Consolas" w:hAnsi="Consolas" w:cs="Consolas"/>
      <w:sz w:val="20"/>
      <w:szCs w:val="20"/>
    </w:rPr>
  </w:style>
  <w:style w:type="character" w:styleId="HTML4">
    <w:name w:val="HTML Definition"/>
    <w:basedOn w:val="a3"/>
    <w:uiPriority w:val="99"/>
    <w:semiHidden/>
    <w:rsid w:val="003C2867"/>
    <w:rPr>
      <w:i/>
      <w:iCs/>
    </w:rPr>
  </w:style>
  <w:style w:type="character" w:styleId="HTML5">
    <w:name w:val="HTML Keyboard"/>
    <w:basedOn w:val="a3"/>
    <w:uiPriority w:val="99"/>
    <w:semiHidden/>
    <w:rsid w:val="003C2867"/>
    <w:rPr>
      <w:rFonts w:ascii="Consolas" w:hAnsi="Consolas" w:cs="Consolas"/>
      <w:sz w:val="20"/>
      <w:szCs w:val="20"/>
    </w:rPr>
  </w:style>
  <w:style w:type="paragraph" w:styleId="HTML6">
    <w:name w:val="HTML Preformatted"/>
    <w:basedOn w:val="a2"/>
    <w:link w:val="HTML7"/>
    <w:uiPriority w:val="99"/>
    <w:semiHidden/>
    <w:rsid w:val="003C2867"/>
    <w:rPr>
      <w:rFonts w:ascii="Consolas" w:hAnsi="Consolas" w:cs="Consolas"/>
      <w:sz w:val="20"/>
      <w:szCs w:val="20"/>
    </w:rPr>
  </w:style>
  <w:style w:type="character" w:customStyle="1" w:styleId="HTML7">
    <w:name w:val="Стандартный HTML Знак"/>
    <w:basedOn w:val="a3"/>
    <w:link w:val="HTML6"/>
    <w:uiPriority w:val="99"/>
    <w:semiHidden/>
    <w:rsid w:val="003C2867"/>
    <w:rPr>
      <w:rFonts w:ascii="Consolas" w:eastAsiaTheme="minorEastAsia" w:hAnsi="Consolas" w:cs="Consolas"/>
      <w:sz w:val="20"/>
      <w:szCs w:val="20"/>
      <w:lang w:val="fr-FR"/>
    </w:rPr>
  </w:style>
  <w:style w:type="character" w:styleId="HTML8">
    <w:name w:val="HTML Sample"/>
    <w:basedOn w:val="a3"/>
    <w:uiPriority w:val="99"/>
    <w:semiHidden/>
    <w:rsid w:val="003C2867"/>
    <w:rPr>
      <w:rFonts w:ascii="Consolas" w:hAnsi="Consolas" w:cs="Consolas"/>
      <w:sz w:val="24"/>
      <w:szCs w:val="24"/>
    </w:rPr>
  </w:style>
  <w:style w:type="character" w:styleId="HTML9">
    <w:name w:val="HTML Typewriter"/>
    <w:basedOn w:val="a3"/>
    <w:uiPriority w:val="99"/>
    <w:semiHidden/>
    <w:rsid w:val="003C2867"/>
    <w:rPr>
      <w:rFonts w:ascii="Consolas" w:hAnsi="Consolas" w:cs="Consolas"/>
      <w:sz w:val="20"/>
      <w:szCs w:val="20"/>
    </w:rPr>
  </w:style>
  <w:style w:type="character" w:styleId="HTMLa">
    <w:name w:val="HTML Variable"/>
    <w:basedOn w:val="a3"/>
    <w:uiPriority w:val="99"/>
    <w:semiHidden/>
    <w:rsid w:val="003C2867"/>
    <w:rPr>
      <w:i/>
      <w:iCs/>
    </w:rPr>
  </w:style>
  <w:style w:type="paragraph" w:styleId="12">
    <w:name w:val="index 1"/>
    <w:basedOn w:val="a2"/>
    <w:next w:val="a2"/>
    <w:autoRedefine/>
    <w:uiPriority w:val="99"/>
    <w:semiHidden/>
    <w:rsid w:val="003C2867"/>
    <w:pPr>
      <w:ind w:left="240" w:hanging="240"/>
    </w:pPr>
  </w:style>
  <w:style w:type="paragraph" w:styleId="2d">
    <w:name w:val="index 2"/>
    <w:basedOn w:val="a2"/>
    <w:next w:val="a2"/>
    <w:autoRedefine/>
    <w:uiPriority w:val="99"/>
    <w:semiHidden/>
    <w:rsid w:val="003C2867"/>
    <w:pPr>
      <w:ind w:left="480" w:hanging="240"/>
    </w:pPr>
  </w:style>
  <w:style w:type="paragraph" w:styleId="38">
    <w:name w:val="index 3"/>
    <w:basedOn w:val="a2"/>
    <w:next w:val="a2"/>
    <w:autoRedefine/>
    <w:uiPriority w:val="99"/>
    <w:semiHidden/>
    <w:rsid w:val="003C2867"/>
    <w:pPr>
      <w:ind w:left="720" w:hanging="240"/>
    </w:pPr>
  </w:style>
  <w:style w:type="paragraph" w:styleId="44">
    <w:name w:val="index 4"/>
    <w:basedOn w:val="a2"/>
    <w:next w:val="a2"/>
    <w:autoRedefine/>
    <w:uiPriority w:val="99"/>
    <w:semiHidden/>
    <w:rsid w:val="003C2867"/>
    <w:pPr>
      <w:ind w:left="960" w:hanging="240"/>
    </w:pPr>
  </w:style>
  <w:style w:type="paragraph" w:styleId="54">
    <w:name w:val="index 5"/>
    <w:basedOn w:val="a2"/>
    <w:next w:val="a2"/>
    <w:autoRedefine/>
    <w:uiPriority w:val="99"/>
    <w:semiHidden/>
    <w:rsid w:val="003C2867"/>
    <w:pPr>
      <w:ind w:left="1200" w:hanging="240"/>
    </w:pPr>
  </w:style>
  <w:style w:type="paragraph" w:styleId="61">
    <w:name w:val="index 6"/>
    <w:basedOn w:val="a2"/>
    <w:next w:val="a2"/>
    <w:autoRedefine/>
    <w:uiPriority w:val="99"/>
    <w:semiHidden/>
    <w:rsid w:val="003C2867"/>
    <w:pPr>
      <w:ind w:left="1440" w:hanging="240"/>
    </w:pPr>
  </w:style>
  <w:style w:type="paragraph" w:styleId="71">
    <w:name w:val="index 7"/>
    <w:basedOn w:val="a2"/>
    <w:next w:val="a2"/>
    <w:autoRedefine/>
    <w:uiPriority w:val="99"/>
    <w:semiHidden/>
    <w:rsid w:val="003C2867"/>
    <w:pPr>
      <w:ind w:left="1680" w:hanging="240"/>
    </w:pPr>
  </w:style>
  <w:style w:type="paragraph" w:styleId="81">
    <w:name w:val="index 8"/>
    <w:basedOn w:val="a2"/>
    <w:next w:val="a2"/>
    <w:autoRedefine/>
    <w:uiPriority w:val="99"/>
    <w:semiHidden/>
    <w:rsid w:val="003C2867"/>
    <w:pPr>
      <w:ind w:left="1920" w:hanging="240"/>
    </w:pPr>
  </w:style>
  <w:style w:type="paragraph" w:styleId="91">
    <w:name w:val="index 9"/>
    <w:basedOn w:val="a2"/>
    <w:next w:val="a2"/>
    <w:autoRedefine/>
    <w:uiPriority w:val="99"/>
    <w:semiHidden/>
    <w:rsid w:val="003C2867"/>
    <w:pPr>
      <w:ind w:left="2160" w:hanging="240"/>
    </w:pPr>
  </w:style>
  <w:style w:type="paragraph" w:styleId="affff3">
    <w:name w:val="index heading"/>
    <w:basedOn w:val="a2"/>
    <w:next w:val="12"/>
    <w:uiPriority w:val="99"/>
    <w:semiHidden/>
    <w:rsid w:val="003C2867"/>
    <w:rPr>
      <w:rFonts w:asciiTheme="majorHAnsi" w:eastAsiaTheme="majorEastAsia" w:hAnsiTheme="majorHAnsi" w:cstheme="majorBidi"/>
      <w:b/>
      <w:bCs/>
    </w:rPr>
  </w:style>
  <w:style w:type="table" w:styleId="affff4">
    <w:name w:val="Light Grid"/>
    <w:basedOn w:val="a4"/>
    <w:uiPriority w:val="62"/>
    <w:semiHidden/>
    <w:rsid w:val="003C28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3C286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3C286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3C286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3C286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3C286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3C286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3C28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3C286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3C286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3C286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3C286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3C286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3C286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3C28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3C286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3C286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3C286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3C286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3C286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3C286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3C2867"/>
  </w:style>
  <w:style w:type="paragraph" w:styleId="affff8">
    <w:name w:val="List"/>
    <w:basedOn w:val="a2"/>
    <w:uiPriority w:val="99"/>
    <w:semiHidden/>
    <w:rsid w:val="003C2867"/>
    <w:pPr>
      <w:ind w:left="283" w:hanging="283"/>
      <w:contextualSpacing/>
    </w:pPr>
  </w:style>
  <w:style w:type="paragraph" w:styleId="2e">
    <w:name w:val="List 2"/>
    <w:basedOn w:val="a2"/>
    <w:uiPriority w:val="99"/>
    <w:semiHidden/>
    <w:rsid w:val="003C2867"/>
    <w:pPr>
      <w:ind w:left="566" w:hanging="283"/>
      <w:contextualSpacing/>
    </w:pPr>
  </w:style>
  <w:style w:type="paragraph" w:styleId="39">
    <w:name w:val="List 3"/>
    <w:basedOn w:val="a2"/>
    <w:uiPriority w:val="99"/>
    <w:semiHidden/>
    <w:rsid w:val="003C2867"/>
    <w:pPr>
      <w:ind w:left="849" w:hanging="283"/>
      <w:contextualSpacing/>
    </w:pPr>
  </w:style>
  <w:style w:type="paragraph" w:styleId="45">
    <w:name w:val="List 4"/>
    <w:basedOn w:val="a2"/>
    <w:uiPriority w:val="99"/>
    <w:semiHidden/>
    <w:rsid w:val="003C2867"/>
    <w:pPr>
      <w:ind w:left="1132" w:hanging="283"/>
      <w:contextualSpacing/>
    </w:pPr>
  </w:style>
  <w:style w:type="paragraph" w:styleId="55">
    <w:name w:val="List 5"/>
    <w:basedOn w:val="a2"/>
    <w:uiPriority w:val="99"/>
    <w:semiHidden/>
    <w:rsid w:val="003C2867"/>
    <w:pPr>
      <w:ind w:left="1415" w:hanging="283"/>
      <w:contextualSpacing/>
    </w:pPr>
  </w:style>
  <w:style w:type="paragraph" w:styleId="20">
    <w:name w:val="List Bullet 2"/>
    <w:basedOn w:val="a2"/>
    <w:uiPriority w:val="99"/>
    <w:semiHidden/>
    <w:rsid w:val="003C2867"/>
    <w:pPr>
      <w:numPr>
        <w:numId w:val="10"/>
      </w:numPr>
      <w:contextualSpacing/>
    </w:pPr>
  </w:style>
  <w:style w:type="paragraph" w:styleId="30">
    <w:name w:val="List Bullet 3"/>
    <w:basedOn w:val="a2"/>
    <w:uiPriority w:val="99"/>
    <w:semiHidden/>
    <w:rsid w:val="003C2867"/>
    <w:pPr>
      <w:numPr>
        <w:numId w:val="11"/>
      </w:numPr>
      <w:contextualSpacing/>
    </w:pPr>
  </w:style>
  <w:style w:type="paragraph" w:styleId="40">
    <w:name w:val="List Bullet 4"/>
    <w:basedOn w:val="a2"/>
    <w:uiPriority w:val="99"/>
    <w:semiHidden/>
    <w:rsid w:val="003C2867"/>
    <w:pPr>
      <w:numPr>
        <w:numId w:val="12"/>
      </w:numPr>
      <w:contextualSpacing/>
    </w:pPr>
  </w:style>
  <w:style w:type="paragraph" w:styleId="50">
    <w:name w:val="List Bullet 5"/>
    <w:basedOn w:val="a2"/>
    <w:uiPriority w:val="99"/>
    <w:semiHidden/>
    <w:rsid w:val="003C2867"/>
    <w:pPr>
      <w:numPr>
        <w:numId w:val="13"/>
      </w:numPr>
      <w:contextualSpacing/>
    </w:pPr>
  </w:style>
  <w:style w:type="paragraph" w:styleId="affff9">
    <w:name w:val="List Continue"/>
    <w:basedOn w:val="a2"/>
    <w:uiPriority w:val="99"/>
    <w:semiHidden/>
    <w:rsid w:val="003C2867"/>
    <w:pPr>
      <w:spacing w:after="120"/>
      <w:ind w:left="283"/>
      <w:contextualSpacing/>
    </w:pPr>
  </w:style>
  <w:style w:type="paragraph" w:styleId="2f">
    <w:name w:val="List Continue 2"/>
    <w:basedOn w:val="a2"/>
    <w:uiPriority w:val="99"/>
    <w:semiHidden/>
    <w:rsid w:val="003C2867"/>
    <w:pPr>
      <w:spacing w:after="120"/>
      <w:ind w:left="566"/>
      <w:contextualSpacing/>
    </w:pPr>
  </w:style>
  <w:style w:type="paragraph" w:styleId="3a">
    <w:name w:val="List Continue 3"/>
    <w:basedOn w:val="a2"/>
    <w:uiPriority w:val="99"/>
    <w:semiHidden/>
    <w:rsid w:val="003C2867"/>
    <w:pPr>
      <w:spacing w:after="120"/>
      <w:ind w:left="849"/>
      <w:contextualSpacing/>
    </w:pPr>
  </w:style>
  <w:style w:type="paragraph" w:styleId="46">
    <w:name w:val="List Continue 4"/>
    <w:basedOn w:val="a2"/>
    <w:uiPriority w:val="99"/>
    <w:semiHidden/>
    <w:rsid w:val="003C2867"/>
    <w:pPr>
      <w:spacing w:after="120"/>
      <w:ind w:left="1132"/>
      <w:contextualSpacing/>
    </w:pPr>
  </w:style>
  <w:style w:type="paragraph" w:styleId="56">
    <w:name w:val="List Continue 5"/>
    <w:basedOn w:val="a2"/>
    <w:uiPriority w:val="99"/>
    <w:semiHidden/>
    <w:rsid w:val="003C2867"/>
    <w:pPr>
      <w:spacing w:after="120"/>
      <w:ind w:left="1415"/>
      <w:contextualSpacing/>
    </w:pPr>
  </w:style>
  <w:style w:type="paragraph" w:styleId="a">
    <w:name w:val="List Number"/>
    <w:basedOn w:val="a2"/>
    <w:uiPriority w:val="99"/>
    <w:semiHidden/>
    <w:rsid w:val="003C2867"/>
    <w:pPr>
      <w:numPr>
        <w:numId w:val="14"/>
      </w:numPr>
      <w:contextualSpacing/>
    </w:pPr>
  </w:style>
  <w:style w:type="paragraph" w:styleId="2">
    <w:name w:val="List Number 2"/>
    <w:basedOn w:val="a2"/>
    <w:uiPriority w:val="99"/>
    <w:semiHidden/>
    <w:rsid w:val="003C2867"/>
    <w:pPr>
      <w:numPr>
        <w:numId w:val="15"/>
      </w:numPr>
      <w:contextualSpacing/>
    </w:pPr>
  </w:style>
  <w:style w:type="paragraph" w:styleId="3">
    <w:name w:val="List Number 3"/>
    <w:basedOn w:val="a2"/>
    <w:uiPriority w:val="99"/>
    <w:semiHidden/>
    <w:rsid w:val="003C2867"/>
    <w:pPr>
      <w:numPr>
        <w:numId w:val="16"/>
      </w:numPr>
      <w:contextualSpacing/>
    </w:pPr>
  </w:style>
  <w:style w:type="paragraph" w:styleId="4">
    <w:name w:val="List Number 4"/>
    <w:basedOn w:val="a2"/>
    <w:uiPriority w:val="99"/>
    <w:semiHidden/>
    <w:rsid w:val="003C2867"/>
    <w:pPr>
      <w:numPr>
        <w:numId w:val="17"/>
      </w:numPr>
      <w:contextualSpacing/>
    </w:pPr>
  </w:style>
  <w:style w:type="paragraph" w:styleId="5">
    <w:name w:val="List Number 5"/>
    <w:basedOn w:val="a2"/>
    <w:uiPriority w:val="99"/>
    <w:semiHidden/>
    <w:rsid w:val="003C2867"/>
    <w:pPr>
      <w:numPr>
        <w:numId w:val="18"/>
      </w:numPr>
      <w:contextualSpacing/>
    </w:pPr>
  </w:style>
  <w:style w:type="paragraph" w:styleId="affffa">
    <w:name w:val="macro"/>
    <w:link w:val="affffb"/>
    <w:uiPriority w:val="99"/>
    <w:semiHidden/>
    <w:rsid w:val="003C286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3C2867"/>
    <w:rPr>
      <w:rFonts w:ascii="Consolas" w:eastAsiaTheme="minorEastAsia" w:hAnsi="Consolas" w:cs="Consolas"/>
      <w:sz w:val="20"/>
      <w:szCs w:val="20"/>
    </w:rPr>
  </w:style>
  <w:style w:type="table" w:styleId="13">
    <w:name w:val="Medium Grid 1"/>
    <w:basedOn w:val="a4"/>
    <w:uiPriority w:val="67"/>
    <w:semiHidden/>
    <w:rsid w:val="003C28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3C286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3C286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3C286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3C286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3C286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3C286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3C28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3C286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3C286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3C286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3C286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3C286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3C286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3C286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3C286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3C286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3C286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3C286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3C286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3C286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3C28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3C286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3C286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3C286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3C286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3C286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3C286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3C28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3C286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3C286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3C286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3C286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3C286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3C286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3C28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3C286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3C286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3C286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3C286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3C286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3C286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3C28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3C28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3C28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3C28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3C28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3C28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3C28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3C28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3C2867"/>
    <w:rPr>
      <w:rFonts w:asciiTheme="majorHAnsi" w:eastAsiaTheme="majorEastAsia" w:hAnsiTheme="majorHAnsi" w:cstheme="majorBidi"/>
      <w:sz w:val="24"/>
      <w:szCs w:val="24"/>
      <w:shd w:val="pct20" w:color="auto" w:fill="auto"/>
      <w:lang w:val="fr-FR"/>
    </w:rPr>
  </w:style>
  <w:style w:type="paragraph" w:styleId="affffe">
    <w:name w:val="Normal (Web)"/>
    <w:basedOn w:val="a2"/>
    <w:uiPriority w:val="99"/>
    <w:semiHidden/>
    <w:rsid w:val="003C2867"/>
    <w:rPr>
      <w:rFonts w:ascii="Times New Roman" w:hAnsi="Times New Roman" w:cs="Times New Roman"/>
      <w:szCs w:val="24"/>
    </w:rPr>
  </w:style>
  <w:style w:type="paragraph" w:styleId="afffff">
    <w:name w:val="Normal Indent"/>
    <w:basedOn w:val="a2"/>
    <w:uiPriority w:val="99"/>
    <w:semiHidden/>
    <w:rsid w:val="003C2867"/>
    <w:pPr>
      <w:ind w:left="720"/>
    </w:pPr>
  </w:style>
  <w:style w:type="paragraph" w:styleId="afffff0">
    <w:name w:val="Note Heading"/>
    <w:basedOn w:val="a2"/>
    <w:next w:val="a2"/>
    <w:link w:val="afffff1"/>
    <w:uiPriority w:val="99"/>
    <w:semiHidden/>
    <w:rsid w:val="003C2867"/>
  </w:style>
  <w:style w:type="character" w:customStyle="1" w:styleId="afffff1">
    <w:name w:val="Заголовок записки Знак"/>
    <w:basedOn w:val="a3"/>
    <w:link w:val="afffff0"/>
    <w:uiPriority w:val="99"/>
    <w:semiHidden/>
    <w:rsid w:val="003C2867"/>
    <w:rPr>
      <w:rFonts w:eastAsiaTheme="minorEastAsia"/>
      <w:sz w:val="24"/>
      <w:lang w:val="fr-FR"/>
    </w:rPr>
  </w:style>
  <w:style w:type="character" w:styleId="afffff2">
    <w:name w:val="Placeholder Text"/>
    <w:basedOn w:val="a3"/>
    <w:uiPriority w:val="99"/>
    <w:semiHidden/>
    <w:rsid w:val="003C2867"/>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3C2867"/>
    <w:rPr>
      <w:rFonts w:ascii="Consolas" w:hAnsi="Consolas" w:cs="Consolas"/>
      <w:sz w:val="21"/>
      <w:szCs w:val="21"/>
    </w:rPr>
  </w:style>
  <w:style w:type="character" w:customStyle="1" w:styleId="afffff4">
    <w:name w:val="Текст Знак"/>
    <w:basedOn w:val="a3"/>
    <w:link w:val="afffff3"/>
    <w:uiPriority w:val="99"/>
    <w:semiHidden/>
    <w:rsid w:val="003C2867"/>
    <w:rPr>
      <w:rFonts w:ascii="Consolas" w:eastAsiaTheme="minorEastAsia" w:hAnsi="Consolas" w:cs="Consolas"/>
      <w:sz w:val="21"/>
      <w:szCs w:val="21"/>
      <w:lang w:val="fr-FR"/>
    </w:rPr>
  </w:style>
  <w:style w:type="paragraph" w:styleId="afffff5">
    <w:name w:val="Salutation"/>
    <w:basedOn w:val="a2"/>
    <w:next w:val="a2"/>
    <w:link w:val="afffff6"/>
    <w:uiPriority w:val="99"/>
    <w:semiHidden/>
    <w:rsid w:val="003C2867"/>
  </w:style>
  <w:style w:type="character" w:customStyle="1" w:styleId="afffff6">
    <w:name w:val="Приветствие Знак"/>
    <w:basedOn w:val="a3"/>
    <w:link w:val="afffff5"/>
    <w:uiPriority w:val="99"/>
    <w:semiHidden/>
    <w:rsid w:val="003C2867"/>
    <w:rPr>
      <w:rFonts w:eastAsiaTheme="minorEastAsia"/>
      <w:sz w:val="24"/>
      <w:lang w:val="fr-FR"/>
    </w:rPr>
  </w:style>
  <w:style w:type="paragraph" w:styleId="afffff7">
    <w:name w:val="Signature"/>
    <w:basedOn w:val="a2"/>
    <w:link w:val="afffff8"/>
    <w:uiPriority w:val="99"/>
    <w:semiHidden/>
    <w:rsid w:val="003C2867"/>
    <w:pPr>
      <w:ind w:left="4252"/>
    </w:pPr>
  </w:style>
  <w:style w:type="character" w:customStyle="1" w:styleId="afffff8">
    <w:name w:val="Подпись Знак"/>
    <w:basedOn w:val="a3"/>
    <w:link w:val="afffff7"/>
    <w:uiPriority w:val="99"/>
    <w:semiHidden/>
    <w:rsid w:val="003C2867"/>
    <w:rPr>
      <w:rFonts w:eastAsiaTheme="minorEastAsia"/>
      <w:sz w:val="24"/>
      <w:lang w:val="fr-FR"/>
    </w:rPr>
  </w:style>
  <w:style w:type="table" w:styleId="16">
    <w:name w:val="Table 3D effects 1"/>
    <w:basedOn w:val="a4"/>
    <w:uiPriority w:val="99"/>
    <w:semiHidden/>
    <w:unhideWhenUsed/>
    <w:rsid w:val="003C286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3C286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3C286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3C286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3C286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3C286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3C286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3C286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3C286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3C286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3C286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3C286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C286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C286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C286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3C286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3C286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3C286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3C286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3C286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3C286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3C286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C286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C286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C286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3C286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3C286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3C286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3C286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3C286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3C286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C286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C286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3C2867"/>
    <w:pPr>
      <w:ind w:left="240" w:hanging="240"/>
    </w:pPr>
  </w:style>
  <w:style w:type="paragraph" w:styleId="afffffc">
    <w:name w:val="table of figures"/>
    <w:basedOn w:val="a2"/>
    <w:next w:val="a2"/>
    <w:uiPriority w:val="99"/>
    <w:semiHidden/>
    <w:rsid w:val="003C2867"/>
  </w:style>
  <w:style w:type="table" w:styleId="afffffd">
    <w:name w:val="Table Professional"/>
    <w:basedOn w:val="a4"/>
    <w:uiPriority w:val="99"/>
    <w:semiHidden/>
    <w:unhideWhenUsed/>
    <w:rsid w:val="003C286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3C286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3C286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3C286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3C286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3C286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3C286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3C286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3C286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3C286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3C2867"/>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3C2867"/>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3C2867"/>
    <w:pPr>
      <w:spacing w:after="100"/>
      <w:ind w:left="1680"/>
    </w:pPr>
  </w:style>
  <w:style w:type="paragraph" w:styleId="92">
    <w:name w:val="toc 9"/>
    <w:basedOn w:val="a2"/>
    <w:next w:val="a2"/>
    <w:autoRedefine/>
    <w:uiPriority w:val="99"/>
    <w:semiHidden/>
    <w:rsid w:val="003C2867"/>
    <w:pPr>
      <w:spacing w:after="100"/>
      <w:ind w:left="1920"/>
    </w:pPr>
  </w:style>
  <w:style w:type="paragraph" w:customStyle="1" w:styleId="DecHTitle">
    <w:name w:val="Dec_H_Title"/>
    <w:aliases w:val="_Title_1"/>
    <w:basedOn w:val="JuPara"/>
    <w:next w:val="JuPara"/>
    <w:uiPriority w:val="35"/>
    <w:qFormat/>
    <w:rsid w:val="003C2867"/>
    <w:pPr>
      <w:keepNext/>
      <w:keepLines/>
      <w:spacing w:after="240"/>
      <w:ind w:firstLine="0"/>
      <w:jc w:val="center"/>
      <w:outlineLvl w:val="0"/>
    </w:pPr>
    <w:rPr>
      <w:rFonts w:asciiTheme="majorHAnsi" w:hAnsiTheme="majorHAnsi"/>
      <w:sz w:val="28"/>
    </w:rPr>
  </w:style>
  <w:style w:type="paragraph" w:customStyle="1" w:styleId="JuCourt">
    <w:name w:val="Ju_Court"/>
    <w:basedOn w:val="a2"/>
    <w:next w:val="a2"/>
    <w:uiPriority w:val="31"/>
    <w:qFormat/>
    <w:rsid w:val="003C2867"/>
    <w:pPr>
      <w:tabs>
        <w:tab w:val="left" w:pos="907"/>
        <w:tab w:val="left" w:pos="1701"/>
        <w:tab w:val="right" w:pos="7371"/>
      </w:tabs>
      <w:spacing w:before="240"/>
      <w:ind w:left="397" w:hanging="397"/>
    </w:pPr>
    <w:rPr>
      <w:lang w:bidi="en-US"/>
    </w:rPr>
  </w:style>
  <w:style w:type="paragraph" w:customStyle="1" w:styleId="JuHeaderLandscape">
    <w:name w:val="Ju_Header_Landscape"/>
    <w:aliases w:val="_Header_Landscape"/>
    <w:basedOn w:val="JuHeader"/>
    <w:uiPriority w:val="30"/>
    <w:qFormat/>
    <w:rsid w:val="003C2867"/>
    <w:pPr>
      <w:tabs>
        <w:tab w:val="clear" w:pos="3686"/>
        <w:tab w:val="clear" w:pos="7371"/>
        <w:tab w:val="center" w:pos="6146"/>
        <w:tab w:val="right" w:pos="12293"/>
      </w:tabs>
    </w:pPr>
  </w:style>
  <w:style w:type="character" w:customStyle="1" w:styleId="JuHaChar">
    <w:name w:val="Ju_H_a Char"/>
    <w:basedOn w:val="a3"/>
    <w:link w:val="JuHa0"/>
    <w:uiPriority w:val="19"/>
    <w:rsid w:val="00F7740F"/>
    <w:rPr>
      <w:rFonts w:eastAsiaTheme="minorEastAsia"/>
      <w:b/>
      <w:sz w:val="20"/>
      <w:lang w:val="fr-FR"/>
    </w:rPr>
  </w:style>
  <w:style w:type="character" w:customStyle="1" w:styleId="JuParaCar1">
    <w:name w:val="Ju_Para Car1"/>
    <w:aliases w:val="Left Car,First line:  0 cm Car"/>
    <w:rsid w:val="00464E3A"/>
    <w:rPr>
      <w:sz w:val="24"/>
      <w:lang w:val="fr-FR" w:eastAsia="fr-FR" w:bidi="ar-SA"/>
    </w:rPr>
  </w:style>
  <w:style w:type="character" w:customStyle="1" w:styleId="JuParaChar">
    <w:name w:val="Ju_Para Char"/>
    <w:aliases w:val="_Para Char"/>
    <w:link w:val="JuPara"/>
    <w:uiPriority w:val="8"/>
    <w:rsid w:val="008B2FA4"/>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540">
      <w:bodyDiv w:val="1"/>
      <w:marLeft w:val="0"/>
      <w:marRight w:val="0"/>
      <w:marTop w:val="0"/>
      <w:marBottom w:val="0"/>
      <w:divBdr>
        <w:top w:val="none" w:sz="0" w:space="0" w:color="auto"/>
        <w:left w:val="none" w:sz="0" w:space="0" w:color="auto"/>
        <w:bottom w:val="none" w:sz="0" w:space="0" w:color="auto"/>
        <w:right w:val="none" w:sz="0" w:space="0" w:color="auto"/>
      </w:divBdr>
    </w:div>
    <w:div w:id="26487412">
      <w:bodyDiv w:val="1"/>
      <w:marLeft w:val="0"/>
      <w:marRight w:val="0"/>
      <w:marTop w:val="0"/>
      <w:marBottom w:val="0"/>
      <w:divBdr>
        <w:top w:val="none" w:sz="0" w:space="0" w:color="auto"/>
        <w:left w:val="none" w:sz="0" w:space="0" w:color="auto"/>
        <w:bottom w:val="none" w:sz="0" w:space="0" w:color="auto"/>
        <w:right w:val="none" w:sz="0" w:space="0" w:color="auto"/>
      </w:divBdr>
    </w:div>
    <w:div w:id="40250981">
      <w:bodyDiv w:val="1"/>
      <w:marLeft w:val="0"/>
      <w:marRight w:val="0"/>
      <w:marTop w:val="0"/>
      <w:marBottom w:val="0"/>
      <w:divBdr>
        <w:top w:val="none" w:sz="0" w:space="0" w:color="auto"/>
        <w:left w:val="none" w:sz="0" w:space="0" w:color="auto"/>
        <w:bottom w:val="none" w:sz="0" w:space="0" w:color="auto"/>
        <w:right w:val="none" w:sz="0" w:space="0" w:color="auto"/>
      </w:divBdr>
    </w:div>
    <w:div w:id="125125000">
      <w:bodyDiv w:val="1"/>
      <w:marLeft w:val="0"/>
      <w:marRight w:val="0"/>
      <w:marTop w:val="0"/>
      <w:marBottom w:val="0"/>
      <w:divBdr>
        <w:top w:val="none" w:sz="0" w:space="0" w:color="auto"/>
        <w:left w:val="none" w:sz="0" w:space="0" w:color="auto"/>
        <w:bottom w:val="none" w:sz="0" w:space="0" w:color="auto"/>
        <w:right w:val="none" w:sz="0" w:space="0" w:color="auto"/>
      </w:divBdr>
    </w:div>
    <w:div w:id="156503731">
      <w:bodyDiv w:val="1"/>
      <w:marLeft w:val="0"/>
      <w:marRight w:val="0"/>
      <w:marTop w:val="0"/>
      <w:marBottom w:val="0"/>
      <w:divBdr>
        <w:top w:val="none" w:sz="0" w:space="0" w:color="auto"/>
        <w:left w:val="none" w:sz="0" w:space="0" w:color="auto"/>
        <w:bottom w:val="none" w:sz="0" w:space="0" w:color="auto"/>
        <w:right w:val="none" w:sz="0" w:space="0" w:color="auto"/>
      </w:divBdr>
    </w:div>
    <w:div w:id="240990528">
      <w:bodyDiv w:val="1"/>
      <w:marLeft w:val="0"/>
      <w:marRight w:val="0"/>
      <w:marTop w:val="0"/>
      <w:marBottom w:val="0"/>
      <w:divBdr>
        <w:top w:val="none" w:sz="0" w:space="0" w:color="auto"/>
        <w:left w:val="none" w:sz="0" w:space="0" w:color="auto"/>
        <w:bottom w:val="none" w:sz="0" w:space="0" w:color="auto"/>
        <w:right w:val="none" w:sz="0" w:space="0" w:color="auto"/>
      </w:divBdr>
    </w:div>
    <w:div w:id="289210833">
      <w:bodyDiv w:val="1"/>
      <w:marLeft w:val="0"/>
      <w:marRight w:val="0"/>
      <w:marTop w:val="0"/>
      <w:marBottom w:val="0"/>
      <w:divBdr>
        <w:top w:val="none" w:sz="0" w:space="0" w:color="auto"/>
        <w:left w:val="none" w:sz="0" w:space="0" w:color="auto"/>
        <w:bottom w:val="none" w:sz="0" w:space="0" w:color="auto"/>
        <w:right w:val="none" w:sz="0" w:space="0" w:color="auto"/>
      </w:divBdr>
    </w:div>
    <w:div w:id="342512894">
      <w:bodyDiv w:val="1"/>
      <w:marLeft w:val="0"/>
      <w:marRight w:val="0"/>
      <w:marTop w:val="0"/>
      <w:marBottom w:val="0"/>
      <w:divBdr>
        <w:top w:val="none" w:sz="0" w:space="0" w:color="auto"/>
        <w:left w:val="none" w:sz="0" w:space="0" w:color="auto"/>
        <w:bottom w:val="none" w:sz="0" w:space="0" w:color="auto"/>
        <w:right w:val="none" w:sz="0" w:space="0" w:color="auto"/>
      </w:divBdr>
    </w:div>
    <w:div w:id="403257582">
      <w:bodyDiv w:val="1"/>
      <w:marLeft w:val="0"/>
      <w:marRight w:val="0"/>
      <w:marTop w:val="0"/>
      <w:marBottom w:val="0"/>
      <w:divBdr>
        <w:top w:val="none" w:sz="0" w:space="0" w:color="auto"/>
        <w:left w:val="none" w:sz="0" w:space="0" w:color="auto"/>
        <w:bottom w:val="none" w:sz="0" w:space="0" w:color="auto"/>
        <w:right w:val="none" w:sz="0" w:space="0" w:color="auto"/>
      </w:divBdr>
    </w:div>
    <w:div w:id="434907633">
      <w:bodyDiv w:val="1"/>
      <w:marLeft w:val="0"/>
      <w:marRight w:val="0"/>
      <w:marTop w:val="0"/>
      <w:marBottom w:val="0"/>
      <w:divBdr>
        <w:top w:val="none" w:sz="0" w:space="0" w:color="auto"/>
        <w:left w:val="none" w:sz="0" w:space="0" w:color="auto"/>
        <w:bottom w:val="none" w:sz="0" w:space="0" w:color="auto"/>
        <w:right w:val="none" w:sz="0" w:space="0" w:color="auto"/>
      </w:divBdr>
    </w:div>
    <w:div w:id="460733625">
      <w:bodyDiv w:val="1"/>
      <w:marLeft w:val="0"/>
      <w:marRight w:val="0"/>
      <w:marTop w:val="0"/>
      <w:marBottom w:val="0"/>
      <w:divBdr>
        <w:top w:val="none" w:sz="0" w:space="0" w:color="auto"/>
        <w:left w:val="none" w:sz="0" w:space="0" w:color="auto"/>
        <w:bottom w:val="none" w:sz="0" w:space="0" w:color="auto"/>
        <w:right w:val="none" w:sz="0" w:space="0" w:color="auto"/>
      </w:divBdr>
    </w:div>
    <w:div w:id="485709502">
      <w:bodyDiv w:val="1"/>
      <w:marLeft w:val="0"/>
      <w:marRight w:val="0"/>
      <w:marTop w:val="0"/>
      <w:marBottom w:val="0"/>
      <w:divBdr>
        <w:top w:val="none" w:sz="0" w:space="0" w:color="auto"/>
        <w:left w:val="none" w:sz="0" w:space="0" w:color="auto"/>
        <w:bottom w:val="none" w:sz="0" w:space="0" w:color="auto"/>
        <w:right w:val="none" w:sz="0" w:space="0" w:color="auto"/>
      </w:divBdr>
    </w:div>
    <w:div w:id="501506284">
      <w:bodyDiv w:val="1"/>
      <w:marLeft w:val="0"/>
      <w:marRight w:val="0"/>
      <w:marTop w:val="0"/>
      <w:marBottom w:val="0"/>
      <w:divBdr>
        <w:top w:val="none" w:sz="0" w:space="0" w:color="auto"/>
        <w:left w:val="none" w:sz="0" w:space="0" w:color="auto"/>
        <w:bottom w:val="none" w:sz="0" w:space="0" w:color="auto"/>
        <w:right w:val="none" w:sz="0" w:space="0" w:color="auto"/>
      </w:divBdr>
    </w:div>
    <w:div w:id="516700865">
      <w:bodyDiv w:val="1"/>
      <w:marLeft w:val="0"/>
      <w:marRight w:val="0"/>
      <w:marTop w:val="0"/>
      <w:marBottom w:val="0"/>
      <w:divBdr>
        <w:top w:val="none" w:sz="0" w:space="0" w:color="auto"/>
        <w:left w:val="none" w:sz="0" w:space="0" w:color="auto"/>
        <w:bottom w:val="none" w:sz="0" w:space="0" w:color="auto"/>
        <w:right w:val="none" w:sz="0" w:space="0" w:color="auto"/>
      </w:divBdr>
    </w:div>
    <w:div w:id="524635011">
      <w:bodyDiv w:val="1"/>
      <w:marLeft w:val="0"/>
      <w:marRight w:val="0"/>
      <w:marTop w:val="0"/>
      <w:marBottom w:val="0"/>
      <w:divBdr>
        <w:top w:val="none" w:sz="0" w:space="0" w:color="auto"/>
        <w:left w:val="none" w:sz="0" w:space="0" w:color="auto"/>
        <w:bottom w:val="none" w:sz="0" w:space="0" w:color="auto"/>
        <w:right w:val="none" w:sz="0" w:space="0" w:color="auto"/>
      </w:divBdr>
    </w:div>
    <w:div w:id="680594682">
      <w:bodyDiv w:val="1"/>
      <w:marLeft w:val="0"/>
      <w:marRight w:val="0"/>
      <w:marTop w:val="0"/>
      <w:marBottom w:val="0"/>
      <w:divBdr>
        <w:top w:val="none" w:sz="0" w:space="0" w:color="auto"/>
        <w:left w:val="none" w:sz="0" w:space="0" w:color="auto"/>
        <w:bottom w:val="none" w:sz="0" w:space="0" w:color="auto"/>
        <w:right w:val="none" w:sz="0" w:space="0" w:color="auto"/>
      </w:divBdr>
    </w:div>
    <w:div w:id="682391067">
      <w:bodyDiv w:val="1"/>
      <w:marLeft w:val="0"/>
      <w:marRight w:val="0"/>
      <w:marTop w:val="0"/>
      <w:marBottom w:val="0"/>
      <w:divBdr>
        <w:top w:val="none" w:sz="0" w:space="0" w:color="auto"/>
        <w:left w:val="none" w:sz="0" w:space="0" w:color="auto"/>
        <w:bottom w:val="none" w:sz="0" w:space="0" w:color="auto"/>
        <w:right w:val="none" w:sz="0" w:space="0" w:color="auto"/>
      </w:divBdr>
    </w:div>
    <w:div w:id="717826864">
      <w:bodyDiv w:val="1"/>
      <w:marLeft w:val="0"/>
      <w:marRight w:val="0"/>
      <w:marTop w:val="0"/>
      <w:marBottom w:val="0"/>
      <w:divBdr>
        <w:top w:val="none" w:sz="0" w:space="0" w:color="auto"/>
        <w:left w:val="none" w:sz="0" w:space="0" w:color="auto"/>
        <w:bottom w:val="none" w:sz="0" w:space="0" w:color="auto"/>
        <w:right w:val="none" w:sz="0" w:space="0" w:color="auto"/>
      </w:divBdr>
    </w:div>
    <w:div w:id="741104264">
      <w:bodyDiv w:val="1"/>
      <w:marLeft w:val="0"/>
      <w:marRight w:val="0"/>
      <w:marTop w:val="0"/>
      <w:marBottom w:val="0"/>
      <w:divBdr>
        <w:top w:val="none" w:sz="0" w:space="0" w:color="auto"/>
        <w:left w:val="none" w:sz="0" w:space="0" w:color="auto"/>
        <w:bottom w:val="none" w:sz="0" w:space="0" w:color="auto"/>
        <w:right w:val="none" w:sz="0" w:space="0" w:color="auto"/>
      </w:divBdr>
    </w:div>
    <w:div w:id="776103168">
      <w:bodyDiv w:val="1"/>
      <w:marLeft w:val="0"/>
      <w:marRight w:val="0"/>
      <w:marTop w:val="0"/>
      <w:marBottom w:val="0"/>
      <w:divBdr>
        <w:top w:val="none" w:sz="0" w:space="0" w:color="auto"/>
        <w:left w:val="none" w:sz="0" w:space="0" w:color="auto"/>
        <w:bottom w:val="none" w:sz="0" w:space="0" w:color="auto"/>
        <w:right w:val="none" w:sz="0" w:space="0" w:color="auto"/>
      </w:divBdr>
    </w:div>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836312837">
      <w:bodyDiv w:val="1"/>
      <w:marLeft w:val="0"/>
      <w:marRight w:val="0"/>
      <w:marTop w:val="0"/>
      <w:marBottom w:val="0"/>
      <w:divBdr>
        <w:top w:val="none" w:sz="0" w:space="0" w:color="auto"/>
        <w:left w:val="none" w:sz="0" w:space="0" w:color="auto"/>
        <w:bottom w:val="none" w:sz="0" w:space="0" w:color="auto"/>
        <w:right w:val="none" w:sz="0" w:space="0" w:color="auto"/>
      </w:divBdr>
    </w:div>
    <w:div w:id="855273802">
      <w:bodyDiv w:val="1"/>
      <w:marLeft w:val="0"/>
      <w:marRight w:val="0"/>
      <w:marTop w:val="0"/>
      <w:marBottom w:val="0"/>
      <w:divBdr>
        <w:top w:val="none" w:sz="0" w:space="0" w:color="auto"/>
        <w:left w:val="none" w:sz="0" w:space="0" w:color="auto"/>
        <w:bottom w:val="none" w:sz="0" w:space="0" w:color="auto"/>
        <w:right w:val="none" w:sz="0" w:space="0" w:color="auto"/>
      </w:divBdr>
    </w:div>
    <w:div w:id="899906006">
      <w:bodyDiv w:val="1"/>
      <w:marLeft w:val="0"/>
      <w:marRight w:val="0"/>
      <w:marTop w:val="0"/>
      <w:marBottom w:val="0"/>
      <w:divBdr>
        <w:top w:val="none" w:sz="0" w:space="0" w:color="auto"/>
        <w:left w:val="none" w:sz="0" w:space="0" w:color="auto"/>
        <w:bottom w:val="none" w:sz="0" w:space="0" w:color="auto"/>
        <w:right w:val="none" w:sz="0" w:space="0" w:color="auto"/>
      </w:divBdr>
    </w:div>
    <w:div w:id="919632746">
      <w:bodyDiv w:val="1"/>
      <w:marLeft w:val="0"/>
      <w:marRight w:val="0"/>
      <w:marTop w:val="0"/>
      <w:marBottom w:val="0"/>
      <w:divBdr>
        <w:top w:val="none" w:sz="0" w:space="0" w:color="auto"/>
        <w:left w:val="none" w:sz="0" w:space="0" w:color="auto"/>
        <w:bottom w:val="none" w:sz="0" w:space="0" w:color="auto"/>
        <w:right w:val="none" w:sz="0" w:space="0" w:color="auto"/>
      </w:divBdr>
    </w:div>
    <w:div w:id="923563976">
      <w:bodyDiv w:val="1"/>
      <w:marLeft w:val="0"/>
      <w:marRight w:val="0"/>
      <w:marTop w:val="0"/>
      <w:marBottom w:val="0"/>
      <w:divBdr>
        <w:top w:val="none" w:sz="0" w:space="0" w:color="auto"/>
        <w:left w:val="none" w:sz="0" w:space="0" w:color="auto"/>
        <w:bottom w:val="none" w:sz="0" w:space="0" w:color="auto"/>
        <w:right w:val="none" w:sz="0" w:space="0" w:color="auto"/>
      </w:divBdr>
    </w:div>
    <w:div w:id="928541902">
      <w:bodyDiv w:val="1"/>
      <w:marLeft w:val="0"/>
      <w:marRight w:val="0"/>
      <w:marTop w:val="0"/>
      <w:marBottom w:val="0"/>
      <w:divBdr>
        <w:top w:val="none" w:sz="0" w:space="0" w:color="auto"/>
        <w:left w:val="none" w:sz="0" w:space="0" w:color="auto"/>
        <w:bottom w:val="none" w:sz="0" w:space="0" w:color="auto"/>
        <w:right w:val="none" w:sz="0" w:space="0" w:color="auto"/>
      </w:divBdr>
    </w:div>
    <w:div w:id="953906588">
      <w:bodyDiv w:val="1"/>
      <w:marLeft w:val="0"/>
      <w:marRight w:val="0"/>
      <w:marTop w:val="0"/>
      <w:marBottom w:val="0"/>
      <w:divBdr>
        <w:top w:val="none" w:sz="0" w:space="0" w:color="auto"/>
        <w:left w:val="none" w:sz="0" w:space="0" w:color="auto"/>
        <w:bottom w:val="none" w:sz="0" w:space="0" w:color="auto"/>
        <w:right w:val="none" w:sz="0" w:space="0" w:color="auto"/>
      </w:divBdr>
    </w:div>
    <w:div w:id="1090003979">
      <w:bodyDiv w:val="1"/>
      <w:marLeft w:val="0"/>
      <w:marRight w:val="0"/>
      <w:marTop w:val="0"/>
      <w:marBottom w:val="0"/>
      <w:divBdr>
        <w:top w:val="none" w:sz="0" w:space="0" w:color="auto"/>
        <w:left w:val="none" w:sz="0" w:space="0" w:color="auto"/>
        <w:bottom w:val="none" w:sz="0" w:space="0" w:color="auto"/>
        <w:right w:val="none" w:sz="0" w:space="0" w:color="auto"/>
      </w:divBdr>
    </w:div>
    <w:div w:id="1125000987">
      <w:bodyDiv w:val="1"/>
      <w:marLeft w:val="0"/>
      <w:marRight w:val="0"/>
      <w:marTop w:val="0"/>
      <w:marBottom w:val="0"/>
      <w:divBdr>
        <w:top w:val="none" w:sz="0" w:space="0" w:color="auto"/>
        <w:left w:val="none" w:sz="0" w:space="0" w:color="auto"/>
        <w:bottom w:val="none" w:sz="0" w:space="0" w:color="auto"/>
        <w:right w:val="none" w:sz="0" w:space="0" w:color="auto"/>
      </w:divBdr>
    </w:div>
    <w:div w:id="1141920285">
      <w:bodyDiv w:val="1"/>
      <w:marLeft w:val="0"/>
      <w:marRight w:val="0"/>
      <w:marTop w:val="0"/>
      <w:marBottom w:val="0"/>
      <w:divBdr>
        <w:top w:val="none" w:sz="0" w:space="0" w:color="auto"/>
        <w:left w:val="none" w:sz="0" w:space="0" w:color="auto"/>
        <w:bottom w:val="none" w:sz="0" w:space="0" w:color="auto"/>
        <w:right w:val="none" w:sz="0" w:space="0" w:color="auto"/>
      </w:divBdr>
    </w:div>
    <w:div w:id="1155947448">
      <w:bodyDiv w:val="1"/>
      <w:marLeft w:val="0"/>
      <w:marRight w:val="0"/>
      <w:marTop w:val="0"/>
      <w:marBottom w:val="0"/>
      <w:divBdr>
        <w:top w:val="none" w:sz="0" w:space="0" w:color="auto"/>
        <w:left w:val="none" w:sz="0" w:space="0" w:color="auto"/>
        <w:bottom w:val="none" w:sz="0" w:space="0" w:color="auto"/>
        <w:right w:val="none" w:sz="0" w:space="0" w:color="auto"/>
      </w:divBdr>
    </w:div>
    <w:div w:id="1195920513">
      <w:bodyDiv w:val="1"/>
      <w:marLeft w:val="0"/>
      <w:marRight w:val="0"/>
      <w:marTop w:val="0"/>
      <w:marBottom w:val="0"/>
      <w:divBdr>
        <w:top w:val="none" w:sz="0" w:space="0" w:color="auto"/>
        <w:left w:val="none" w:sz="0" w:space="0" w:color="auto"/>
        <w:bottom w:val="none" w:sz="0" w:space="0" w:color="auto"/>
        <w:right w:val="none" w:sz="0" w:space="0" w:color="auto"/>
      </w:divBdr>
    </w:div>
    <w:div w:id="1278373126">
      <w:bodyDiv w:val="1"/>
      <w:marLeft w:val="0"/>
      <w:marRight w:val="0"/>
      <w:marTop w:val="0"/>
      <w:marBottom w:val="0"/>
      <w:divBdr>
        <w:top w:val="none" w:sz="0" w:space="0" w:color="auto"/>
        <w:left w:val="none" w:sz="0" w:space="0" w:color="auto"/>
        <w:bottom w:val="none" w:sz="0" w:space="0" w:color="auto"/>
        <w:right w:val="none" w:sz="0" w:space="0" w:color="auto"/>
      </w:divBdr>
    </w:div>
    <w:div w:id="1374306830">
      <w:bodyDiv w:val="1"/>
      <w:marLeft w:val="0"/>
      <w:marRight w:val="0"/>
      <w:marTop w:val="0"/>
      <w:marBottom w:val="0"/>
      <w:divBdr>
        <w:top w:val="none" w:sz="0" w:space="0" w:color="auto"/>
        <w:left w:val="none" w:sz="0" w:space="0" w:color="auto"/>
        <w:bottom w:val="none" w:sz="0" w:space="0" w:color="auto"/>
        <w:right w:val="none" w:sz="0" w:space="0" w:color="auto"/>
      </w:divBdr>
    </w:div>
    <w:div w:id="1514370667">
      <w:bodyDiv w:val="1"/>
      <w:marLeft w:val="0"/>
      <w:marRight w:val="0"/>
      <w:marTop w:val="0"/>
      <w:marBottom w:val="0"/>
      <w:divBdr>
        <w:top w:val="none" w:sz="0" w:space="0" w:color="auto"/>
        <w:left w:val="none" w:sz="0" w:space="0" w:color="auto"/>
        <w:bottom w:val="none" w:sz="0" w:space="0" w:color="auto"/>
        <w:right w:val="none" w:sz="0" w:space="0" w:color="auto"/>
      </w:divBdr>
    </w:div>
    <w:div w:id="1571498632">
      <w:bodyDiv w:val="1"/>
      <w:marLeft w:val="0"/>
      <w:marRight w:val="0"/>
      <w:marTop w:val="0"/>
      <w:marBottom w:val="0"/>
      <w:divBdr>
        <w:top w:val="none" w:sz="0" w:space="0" w:color="auto"/>
        <w:left w:val="none" w:sz="0" w:space="0" w:color="auto"/>
        <w:bottom w:val="none" w:sz="0" w:space="0" w:color="auto"/>
        <w:right w:val="none" w:sz="0" w:space="0" w:color="auto"/>
      </w:divBdr>
    </w:div>
    <w:div w:id="1635601385">
      <w:bodyDiv w:val="1"/>
      <w:marLeft w:val="0"/>
      <w:marRight w:val="0"/>
      <w:marTop w:val="0"/>
      <w:marBottom w:val="0"/>
      <w:divBdr>
        <w:top w:val="none" w:sz="0" w:space="0" w:color="auto"/>
        <w:left w:val="none" w:sz="0" w:space="0" w:color="auto"/>
        <w:bottom w:val="none" w:sz="0" w:space="0" w:color="auto"/>
        <w:right w:val="none" w:sz="0" w:space="0" w:color="auto"/>
      </w:divBdr>
    </w:div>
    <w:div w:id="163703184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75259374">
      <w:bodyDiv w:val="1"/>
      <w:marLeft w:val="0"/>
      <w:marRight w:val="0"/>
      <w:marTop w:val="0"/>
      <w:marBottom w:val="0"/>
      <w:divBdr>
        <w:top w:val="none" w:sz="0" w:space="0" w:color="auto"/>
        <w:left w:val="none" w:sz="0" w:space="0" w:color="auto"/>
        <w:bottom w:val="none" w:sz="0" w:space="0" w:color="auto"/>
        <w:right w:val="none" w:sz="0" w:space="0" w:color="auto"/>
      </w:divBdr>
    </w:div>
    <w:div w:id="1721129302">
      <w:bodyDiv w:val="1"/>
      <w:marLeft w:val="0"/>
      <w:marRight w:val="0"/>
      <w:marTop w:val="0"/>
      <w:marBottom w:val="0"/>
      <w:divBdr>
        <w:top w:val="none" w:sz="0" w:space="0" w:color="auto"/>
        <w:left w:val="none" w:sz="0" w:space="0" w:color="auto"/>
        <w:bottom w:val="none" w:sz="0" w:space="0" w:color="auto"/>
        <w:right w:val="none" w:sz="0" w:space="0" w:color="auto"/>
      </w:divBdr>
    </w:div>
    <w:div w:id="1728987689">
      <w:bodyDiv w:val="1"/>
      <w:marLeft w:val="0"/>
      <w:marRight w:val="0"/>
      <w:marTop w:val="0"/>
      <w:marBottom w:val="0"/>
      <w:divBdr>
        <w:top w:val="none" w:sz="0" w:space="0" w:color="auto"/>
        <w:left w:val="none" w:sz="0" w:space="0" w:color="auto"/>
        <w:bottom w:val="none" w:sz="0" w:space="0" w:color="auto"/>
        <w:right w:val="none" w:sz="0" w:space="0" w:color="auto"/>
      </w:divBdr>
    </w:div>
    <w:div w:id="1735548439">
      <w:bodyDiv w:val="1"/>
      <w:marLeft w:val="0"/>
      <w:marRight w:val="0"/>
      <w:marTop w:val="0"/>
      <w:marBottom w:val="0"/>
      <w:divBdr>
        <w:top w:val="none" w:sz="0" w:space="0" w:color="auto"/>
        <w:left w:val="none" w:sz="0" w:space="0" w:color="auto"/>
        <w:bottom w:val="none" w:sz="0" w:space="0" w:color="auto"/>
        <w:right w:val="none" w:sz="0" w:space="0" w:color="auto"/>
      </w:divBdr>
    </w:div>
    <w:div w:id="1739937910">
      <w:bodyDiv w:val="1"/>
      <w:marLeft w:val="0"/>
      <w:marRight w:val="0"/>
      <w:marTop w:val="0"/>
      <w:marBottom w:val="0"/>
      <w:divBdr>
        <w:top w:val="none" w:sz="0" w:space="0" w:color="auto"/>
        <w:left w:val="none" w:sz="0" w:space="0" w:color="auto"/>
        <w:bottom w:val="none" w:sz="0" w:space="0" w:color="auto"/>
        <w:right w:val="none" w:sz="0" w:space="0" w:color="auto"/>
      </w:divBdr>
    </w:div>
    <w:div w:id="1747918382">
      <w:bodyDiv w:val="1"/>
      <w:marLeft w:val="0"/>
      <w:marRight w:val="0"/>
      <w:marTop w:val="0"/>
      <w:marBottom w:val="0"/>
      <w:divBdr>
        <w:top w:val="none" w:sz="0" w:space="0" w:color="auto"/>
        <w:left w:val="none" w:sz="0" w:space="0" w:color="auto"/>
        <w:bottom w:val="none" w:sz="0" w:space="0" w:color="auto"/>
        <w:right w:val="none" w:sz="0" w:space="0" w:color="auto"/>
      </w:divBdr>
    </w:div>
    <w:div w:id="1781945853">
      <w:bodyDiv w:val="1"/>
      <w:marLeft w:val="0"/>
      <w:marRight w:val="0"/>
      <w:marTop w:val="0"/>
      <w:marBottom w:val="0"/>
      <w:divBdr>
        <w:top w:val="none" w:sz="0" w:space="0" w:color="auto"/>
        <w:left w:val="none" w:sz="0" w:space="0" w:color="auto"/>
        <w:bottom w:val="none" w:sz="0" w:space="0" w:color="auto"/>
        <w:right w:val="none" w:sz="0" w:space="0" w:color="auto"/>
      </w:divBdr>
    </w:div>
    <w:div w:id="1836070908">
      <w:bodyDiv w:val="1"/>
      <w:marLeft w:val="0"/>
      <w:marRight w:val="0"/>
      <w:marTop w:val="0"/>
      <w:marBottom w:val="0"/>
      <w:divBdr>
        <w:top w:val="none" w:sz="0" w:space="0" w:color="auto"/>
        <w:left w:val="none" w:sz="0" w:space="0" w:color="auto"/>
        <w:bottom w:val="none" w:sz="0" w:space="0" w:color="auto"/>
        <w:right w:val="none" w:sz="0" w:space="0" w:color="auto"/>
      </w:divBdr>
    </w:div>
    <w:div w:id="1837647452">
      <w:bodyDiv w:val="1"/>
      <w:marLeft w:val="0"/>
      <w:marRight w:val="0"/>
      <w:marTop w:val="0"/>
      <w:marBottom w:val="0"/>
      <w:divBdr>
        <w:top w:val="none" w:sz="0" w:space="0" w:color="auto"/>
        <w:left w:val="none" w:sz="0" w:space="0" w:color="auto"/>
        <w:bottom w:val="none" w:sz="0" w:space="0" w:color="auto"/>
        <w:right w:val="none" w:sz="0" w:space="0" w:color="auto"/>
      </w:divBdr>
    </w:div>
    <w:div w:id="1883396919">
      <w:bodyDiv w:val="1"/>
      <w:marLeft w:val="0"/>
      <w:marRight w:val="0"/>
      <w:marTop w:val="0"/>
      <w:marBottom w:val="0"/>
      <w:divBdr>
        <w:top w:val="none" w:sz="0" w:space="0" w:color="auto"/>
        <w:left w:val="none" w:sz="0" w:space="0" w:color="auto"/>
        <w:bottom w:val="none" w:sz="0" w:space="0" w:color="auto"/>
        <w:right w:val="none" w:sz="0" w:space="0" w:color="auto"/>
      </w:divBdr>
    </w:div>
    <w:div w:id="1915046695">
      <w:bodyDiv w:val="1"/>
      <w:marLeft w:val="0"/>
      <w:marRight w:val="0"/>
      <w:marTop w:val="0"/>
      <w:marBottom w:val="0"/>
      <w:divBdr>
        <w:top w:val="none" w:sz="0" w:space="0" w:color="auto"/>
        <w:left w:val="none" w:sz="0" w:space="0" w:color="auto"/>
        <w:bottom w:val="none" w:sz="0" w:space="0" w:color="auto"/>
        <w:right w:val="none" w:sz="0" w:space="0" w:color="auto"/>
      </w:divBdr>
    </w:div>
    <w:div w:id="1932279623">
      <w:bodyDiv w:val="1"/>
      <w:marLeft w:val="0"/>
      <w:marRight w:val="0"/>
      <w:marTop w:val="0"/>
      <w:marBottom w:val="0"/>
      <w:divBdr>
        <w:top w:val="none" w:sz="0" w:space="0" w:color="auto"/>
        <w:left w:val="none" w:sz="0" w:space="0" w:color="auto"/>
        <w:bottom w:val="none" w:sz="0" w:space="0" w:color="auto"/>
        <w:right w:val="none" w:sz="0" w:space="0" w:color="auto"/>
      </w:divBdr>
    </w:div>
    <w:div w:id="2019968497">
      <w:bodyDiv w:val="1"/>
      <w:marLeft w:val="0"/>
      <w:marRight w:val="0"/>
      <w:marTop w:val="0"/>
      <w:marBottom w:val="0"/>
      <w:divBdr>
        <w:top w:val="none" w:sz="0" w:space="0" w:color="auto"/>
        <w:left w:val="none" w:sz="0" w:space="0" w:color="auto"/>
        <w:bottom w:val="none" w:sz="0" w:space="0" w:color="auto"/>
        <w:right w:val="none" w:sz="0" w:space="0" w:color="auto"/>
      </w:divBdr>
    </w:div>
    <w:div w:id="2026664645">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F9BD-A011-488B-87D7-CD4D1ACEC4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567D76-971C-4975-ACDE-76D8508EB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FE9DAE-67B7-48EE-A18E-5924820B7EBD}">
  <ds:schemaRefs>
    <ds:schemaRef ds:uri="http://schemas.microsoft.com/sharepoint/v3/contenttype/forms"/>
  </ds:schemaRefs>
</ds:datastoreItem>
</file>

<file path=customXml/itemProps4.xml><?xml version="1.0" encoding="utf-8"?>
<ds:datastoreItem xmlns:ds="http://schemas.openxmlformats.org/officeDocument/2006/customXml" ds:itemID="{12C9CCF4-6FFF-473E-972F-D3E9BBA2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15501</Words>
  <Characters>88361</Characters>
  <Application>Microsoft Office Word</Application>
  <DocSecurity>0</DocSecurity>
  <Lines>736</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103655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2019-07-22T12:17:00Z</dcterms:created>
  <dcterms:modified xsi:type="dcterms:W3CDTF">2019-07-22T12:17:00Z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40311/10</vt:lpwstr>
  </property>
  <property fmtid="{D5CDD505-2E9C-101B-9397-08002B2CF9AE}" pid="4" name="CASEID">
    <vt:lpwstr>654355</vt:lpwstr>
  </property>
  <property fmtid="{D5CDD505-2E9C-101B-9397-08002B2CF9AE}" pid="5" name="ContentTypeId">
    <vt:lpwstr>0x010100558EB02BDB9E204AB350EDD385B68E10</vt:lpwstr>
  </property>
</Properties>
</file>