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551C" w:rsidR="00E77CB3" w:rsidP="00A2551C" w:rsidRDefault="00E77CB3">
      <w:bookmarkStart w:name="_GoBack" w:id="0"/>
      <w:bookmarkEnd w:id="0"/>
    </w:p>
    <w:p w:rsidRPr="00A2551C" w:rsidR="0076601F" w:rsidP="00A2551C" w:rsidRDefault="0076601F">
      <w:pPr>
        <w:pStyle w:val="ECHRTitleCentre2"/>
        <w:rPr>
          <w:lang w:val="fr-FR"/>
        </w:rPr>
      </w:pPr>
    </w:p>
    <w:p w:rsidRPr="00A2551C" w:rsidR="00E77CB3" w:rsidP="00A2551C" w:rsidRDefault="00D733D1">
      <w:pPr>
        <w:pStyle w:val="ECHRTitleCentre2"/>
        <w:rPr>
          <w:lang w:val="fr-FR"/>
        </w:rPr>
      </w:pPr>
      <w:r w:rsidRPr="00A2551C">
        <w:rPr>
          <w:lang w:val="fr-FR"/>
        </w:rPr>
        <w:t>TROISIÈME SECTION</w:t>
      </w:r>
    </w:p>
    <w:p w:rsidRPr="00A2551C" w:rsidR="00E77CB3" w:rsidP="00A2551C" w:rsidRDefault="00E77CB3">
      <w:pPr>
        <w:jc w:val="center"/>
        <w:rPr>
          <w:lang w:val="fr-FR"/>
        </w:rPr>
      </w:pPr>
    </w:p>
    <w:p w:rsidRPr="00A2551C" w:rsidR="0076601F" w:rsidP="00A2551C" w:rsidRDefault="0076601F">
      <w:pPr>
        <w:jc w:val="center"/>
        <w:rPr>
          <w:lang w:val="fr-FR"/>
        </w:rPr>
      </w:pPr>
    </w:p>
    <w:p w:rsidRPr="00A2551C" w:rsidR="0076601F" w:rsidP="00A2551C" w:rsidRDefault="0076601F">
      <w:pPr>
        <w:jc w:val="center"/>
        <w:rPr>
          <w:lang w:val="fr-FR"/>
        </w:rPr>
      </w:pPr>
    </w:p>
    <w:p w:rsidRPr="00A2551C" w:rsidR="0076601F" w:rsidP="00A2551C" w:rsidRDefault="0076601F">
      <w:pPr>
        <w:jc w:val="center"/>
        <w:rPr>
          <w:lang w:val="fr-FR"/>
        </w:rPr>
      </w:pPr>
    </w:p>
    <w:p w:rsidRPr="00A2551C" w:rsidR="00F95A39" w:rsidP="00A2551C" w:rsidRDefault="00F95A39">
      <w:pPr>
        <w:jc w:val="center"/>
        <w:rPr>
          <w:lang w:val="fr-FR"/>
        </w:rPr>
      </w:pPr>
    </w:p>
    <w:p w:rsidRPr="00A2551C" w:rsidR="00F95A39" w:rsidP="00A2551C" w:rsidRDefault="00F95A39">
      <w:pPr>
        <w:jc w:val="center"/>
        <w:rPr>
          <w:lang w:val="fr-FR"/>
        </w:rPr>
      </w:pPr>
    </w:p>
    <w:p w:rsidRPr="00A2551C" w:rsidR="00F95A39" w:rsidP="00A2551C" w:rsidRDefault="00F95A39">
      <w:pPr>
        <w:jc w:val="center"/>
        <w:rPr>
          <w:b/>
          <w:lang w:val="fr-FR"/>
        </w:rPr>
      </w:pPr>
    </w:p>
    <w:p w:rsidRPr="00A2551C" w:rsidR="00E77CB3" w:rsidP="00A2551C" w:rsidRDefault="00E77CB3">
      <w:pPr>
        <w:pStyle w:val="DecHTitle"/>
        <w:rPr>
          <w:b/>
          <w:sz w:val="24"/>
          <w:szCs w:val="24"/>
          <w:lang w:val="fr-FR"/>
        </w:rPr>
      </w:pPr>
      <w:r w:rsidRPr="00A2551C">
        <w:rPr>
          <w:b/>
          <w:sz w:val="24"/>
          <w:szCs w:val="24"/>
          <w:lang w:val="fr-FR"/>
        </w:rPr>
        <w:t xml:space="preserve">AFFAIRE </w:t>
      </w:r>
      <w:r w:rsidRPr="00A2551C" w:rsidR="00D733D1">
        <w:rPr>
          <w:b/>
          <w:sz w:val="24"/>
          <w:szCs w:val="24"/>
          <w:lang w:val="fr-FR"/>
        </w:rPr>
        <w:t>IZMESTYEV c. RUSSIE</w:t>
      </w:r>
    </w:p>
    <w:p w:rsidRPr="00A2551C" w:rsidR="00E77CB3" w:rsidP="00A2551C" w:rsidRDefault="00E77CB3">
      <w:pPr>
        <w:jc w:val="center"/>
        <w:rPr>
          <w:lang w:val="fr-FR"/>
        </w:rPr>
      </w:pPr>
    </w:p>
    <w:p w:rsidRPr="00A2551C" w:rsidR="00E77CB3" w:rsidP="00A2551C" w:rsidRDefault="00E77CB3">
      <w:pPr>
        <w:pStyle w:val="ECHRTitleCentre2"/>
        <w:rPr>
          <w:szCs w:val="24"/>
          <w:u w:val="single"/>
          <w:lang w:val="fr-FR"/>
        </w:rPr>
      </w:pPr>
      <w:r w:rsidRPr="00A2551C">
        <w:rPr>
          <w:lang w:val="fr-FR"/>
        </w:rPr>
        <w:t>(</w:t>
      </w:r>
      <w:r w:rsidRPr="00A2551C" w:rsidR="00D733D1">
        <w:rPr>
          <w:i/>
          <w:lang w:val="fr-FR"/>
        </w:rPr>
        <w:t>Requête n</w:t>
      </w:r>
      <w:r w:rsidRPr="00A2551C" w:rsidR="00D733D1">
        <w:rPr>
          <w:i/>
          <w:vertAlign w:val="superscript"/>
          <w:lang w:val="fr-FR"/>
        </w:rPr>
        <w:t>o</w:t>
      </w:r>
      <w:r w:rsidRPr="00A2551C" w:rsidR="00D733D1">
        <w:rPr>
          <w:i/>
          <w:lang w:val="fr-FR"/>
        </w:rPr>
        <w:t xml:space="preserve"> 74141/10</w:t>
      </w:r>
      <w:r w:rsidRPr="00A2551C">
        <w:rPr>
          <w:lang w:val="fr-FR"/>
        </w:rPr>
        <w:t>)</w:t>
      </w:r>
    </w:p>
    <w:p w:rsidRPr="00A2551C" w:rsidR="0076601F" w:rsidP="00A2551C" w:rsidRDefault="0076601F">
      <w:pPr>
        <w:jc w:val="center"/>
        <w:rPr>
          <w:szCs w:val="24"/>
          <w:lang w:val="fr-FR"/>
        </w:rPr>
      </w:pPr>
    </w:p>
    <w:p w:rsidRPr="00A2551C" w:rsidR="0076601F" w:rsidP="00A2551C" w:rsidRDefault="0076601F">
      <w:pPr>
        <w:jc w:val="center"/>
        <w:rPr>
          <w:szCs w:val="24"/>
          <w:lang w:val="fr-FR"/>
        </w:rPr>
      </w:pPr>
    </w:p>
    <w:p w:rsidRPr="00A2551C" w:rsidR="0076601F" w:rsidP="00A2551C" w:rsidRDefault="0076601F">
      <w:pPr>
        <w:jc w:val="center"/>
        <w:rPr>
          <w:szCs w:val="24"/>
          <w:lang w:val="fr-FR"/>
        </w:rPr>
      </w:pPr>
    </w:p>
    <w:p w:rsidRPr="00A2551C" w:rsidR="0076601F" w:rsidP="00A2551C" w:rsidRDefault="0076601F">
      <w:pPr>
        <w:jc w:val="center"/>
        <w:rPr>
          <w:szCs w:val="24"/>
          <w:lang w:val="fr-FR"/>
        </w:rPr>
      </w:pPr>
    </w:p>
    <w:p w:rsidRPr="00A2551C" w:rsidR="0076601F" w:rsidP="00A2551C" w:rsidRDefault="0076601F">
      <w:pPr>
        <w:jc w:val="center"/>
        <w:rPr>
          <w:szCs w:val="24"/>
          <w:lang w:val="fr-FR"/>
        </w:rPr>
      </w:pPr>
    </w:p>
    <w:p w:rsidRPr="00A2551C" w:rsidR="0076601F" w:rsidP="00A2551C" w:rsidRDefault="0076601F">
      <w:pPr>
        <w:jc w:val="center"/>
        <w:rPr>
          <w:szCs w:val="24"/>
          <w:lang w:val="fr-FR"/>
        </w:rPr>
      </w:pPr>
    </w:p>
    <w:p w:rsidRPr="00A2551C" w:rsidR="00F95A39" w:rsidP="00A2551C" w:rsidRDefault="00F95A39">
      <w:pPr>
        <w:jc w:val="center"/>
        <w:rPr>
          <w:szCs w:val="24"/>
          <w:lang w:val="fr-FR"/>
        </w:rPr>
      </w:pPr>
    </w:p>
    <w:p w:rsidRPr="00A2551C" w:rsidR="0076601F" w:rsidP="00A2551C" w:rsidRDefault="0076601F">
      <w:pPr>
        <w:pStyle w:val="ECHRTitleCentre2"/>
        <w:rPr>
          <w:lang w:val="fr-FR"/>
        </w:rPr>
      </w:pPr>
      <w:r w:rsidRPr="00A2551C">
        <w:rPr>
          <w:lang w:val="fr-FR"/>
        </w:rPr>
        <w:t>ARRÉT</w:t>
      </w:r>
    </w:p>
    <w:p w:rsidRPr="00A2551C" w:rsidR="0076601F" w:rsidP="00A2551C" w:rsidRDefault="0076601F">
      <w:pPr>
        <w:jc w:val="center"/>
        <w:rPr>
          <w:szCs w:val="24"/>
          <w:lang w:val="fr-FR"/>
        </w:rPr>
      </w:pPr>
    </w:p>
    <w:p w:rsidRPr="00A2551C" w:rsidR="0076601F" w:rsidP="00A2551C" w:rsidRDefault="0076601F">
      <w:pPr>
        <w:pStyle w:val="ECHRTitleCentre2"/>
        <w:rPr>
          <w:lang w:val="fr-FR"/>
        </w:rPr>
      </w:pPr>
      <w:r w:rsidRPr="00A2551C">
        <w:rPr>
          <w:lang w:val="fr-FR"/>
        </w:rPr>
        <w:t>STRASBOURG</w:t>
      </w:r>
    </w:p>
    <w:p w:rsidRPr="00A2551C" w:rsidR="0076601F" w:rsidP="00A2551C" w:rsidRDefault="0076601F">
      <w:pPr>
        <w:jc w:val="center"/>
        <w:rPr>
          <w:szCs w:val="24"/>
          <w:lang w:val="fr-FR"/>
        </w:rPr>
      </w:pPr>
    </w:p>
    <w:p w:rsidRPr="00A2551C" w:rsidR="0076601F" w:rsidP="00A2551C" w:rsidRDefault="00322AA0">
      <w:pPr>
        <w:pStyle w:val="ECHRTitleCentre2"/>
        <w:rPr>
          <w:lang w:val="fr-FR"/>
        </w:rPr>
      </w:pPr>
      <w:r w:rsidRPr="00A2551C">
        <w:rPr>
          <w:lang w:val="fr-FR"/>
        </w:rPr>
        <w:t>27 août 2019</w:t>
      </w:r>
    </w:p>
    <w:p w:rsidRPr="00A2551C" w:rsidR="0076601F" w:rsidP="00A2551C" w:rsidRDefault="0076601F">
      <w:pPr>
        <w:jc w:val="center"/>
        <w:rPr>
          <w:szCs w:val="24"/>
          <w:lang w:val="fr-FR"/>
        </w:rPr>
      </w:pPr>
    </w:p>
    <w:p w:rsidRPr="00A2551C" w:rsidR="00A2551C" w:rsidP="00A2551C" w:rsidRDefault="00A2551C">
      <w:pPr>
        <w:jc w:val="center"/>
        <w:rPr>
          <w:szCs w:val="24"/>
          <w:lang w:val="fr-FR"/>
        </w:rPr>
      </w:pPr>
    </w:p>
    <w:p w:rsidRPr="00A2551C" w:rsidR="00A2551C" w:rsidP="00A2551C" w:rsidRDefault="00A2551C">
      <w:pPr>
        <w:jc w:val="center"/>
        <w:rPr>
          <w:szCs w:val="24"/>
          <w:lang w:val="fr-FR"/>
        </w:rPr>
      </w:pPr>
    </w:p>
    <w:p w:rsidRPr="00A2551C" w:rsidR="00970D9F" w:rsidP="00A2551C" w:rsidRDefault="00970D9F">
      <w:pPr>
        <w:pStyle w:val="JuCase"/>
        <w:ind w:firstLine="0"/>
        <w:rPr>
          <w:b w:val="0"/>
          <w:i/>
          <w:lang w:val="fr-FR"/>
        </w:rPr>
      </w:pPr>
      <w:r w:rsidRPr="00A2551C">
        <w:rPr>
          <w:b w:val="0"/>
          <w:i/>
          <w:lang w:val="fr-FR"/>
        </w:rPr>
        <w:t>Cet arrêt deviendra définitif dans les conditions définies à l</w:t>
      </w:r>
      <w:r w:rsidRPr="00A2551C" w:rsidR="00A2551C">
        <w:rPr>
          <w:b w:val="0"/>
          <w:i/>
          <w:lang w:val="fr-FR"/>
        </w:rPr>
        <w:t>’</w:t>
      </w:r>
      <w:r w:rsidRPr="00A2551C">
        <w:rPr>
          <w:b w:val="0"/>
          <w:i/>
          <w:lang w:val="fr-FR"/>
        </w:rPr>
        <w:t>article 44 § 2 de la Convention. Il peut subir des retouches de forme.</w:t>
      </w:r>
    </w:p>
    <w:p w:rsidRPr="00A2551C" w:rsidR="00970D9F" w:rsidP="00A2551C" w:rsidRDefault="00970D9F">
      <w:pPr>
        <w:pStyle w:val="JuCase"/>
        <w:rPr>
          <w:b w:val="0"/>
          <w:i/>
          <w:lang w:val="fr-FR"/>
        </w:rPr>
      </w:pPr>
    </w:p>
    <w:p w:rsidRPr="00A2551C" w:rsidR="00A2551C" w:rsidP="00A2551C" w:rsidRDefault="00A2551C">
      <w:pPr>
        <w:pStyle w:val="ECHRPara"/>
        <w:rPr>
          <w:lang w:val="fr-FR"/>
        </w:rPr>
        <w:sectPr w:rsidRPr="00A2551C" w:rsidR="00A2551C" w:rsidSect="00970D9F">
          <w:headerReference w:type="default" r:id="rId8"/>
          <w:footerReference w:type="default" r:id="rId9"/>
          <w:footnotePr>
            <w:numRestart w:val="eachSect"/>
          </w:footnotePr>
          <w:type w:val="oddPage"/>
          <w:pgSz w:w="11906" w:h="16838" w:code="9"/>
          <w:pgMar w:top="2274" w:right="2274" w:bottom="2274" w:left="2274" w:header="1701" w:footer="720" w:gutter="0"/>
          <w:pgNumType w:start="1"/>
          <w:cols w:space="720"/>
          <w:noEndnote/>
          <w:docGrid w:linePitch="326"/>
        </w:sectPr>
      </w:pPr>
    </w:p>
    <w:p w:rsidRPr="00A2551C" w:rsidR="00E77CB3" w:rsidP="00A2551C" w:rsidRDefault="00E77CB3">
      <w:pPr>
        <w:pStyle w:val="JuCase"/>
        <w:ind w:left="284" w:firstLine="0"/>
        <w:jc w:val="left"/>
        <w:rPr>
          <w:lang w:val="fr-FR"/>
        </w:rPr>
      </w:pPr>
      <w:r w:rsidRPr="00A2551C">
        <w:rPr>
          <w:lang w:val="fr-FR"/>
        </w:rPr>
        <w:t>En l</w:t>
      </w:r>
      <w:r w:rsidRPr="00A2551C" w:rsidR="00A2551C">
        <w:rPr>
          <w:lang w:val="fr-FR"/>
        </w:rPr>
        <w:t>’</w:t>
      </w:r>
      <w:r w:rsidRPr="00A2551C">
        <w:rPr>
          <w:lang w:val="fr-FR"/>
        </w:rPr>
        <w:t xml:space="preserve">affaire </w:t>
      </w:r>
      <w:proofErr w:type="spellStart"/>
      <w:r w:rsidRPr="00A2551C" w:rsidR="00D733D1">
        <w:rPr>
          <w:lang w:val="fr-FR"/>
        </w:rPr>
        <w:t>Izmestyev</w:t>
      </w:r>
      <w:proofErr w:type="spellEnd"/>
      <w:r w:rsidRPr="00A2551C" w:rsidR="00D733D1">
        <w:rPr>
          <w:lang w:val="fr-FR"/>
        </w:rPr>
        <w:t xml:space="preserve"> c. Russie</w:t>
      </w:r>
      <w:r w:rsidRPr="00A2551C">
        <w:rPr>
          <w:lang w:val="fr-FR"/>
        </w:rPr>
        <w:t>,</w:t>
      </w:r>
    </w:p>
    <w:p w:rsidRPr="00A2551C" w:rsidR="00E77CB3" w:rsidP="00A2551C" w:rsidRDefault="00E77CB3">
      <w:pPr>
        <w:pStyle w:val="ECHRPara"/>
        <w:rPr>
          <w:lang w:val="fr-FR"/>
        </w:rPr>
      </w:pPr>
      <w:r w:rsidRPr="00A2551C">
        <w:rPr>
          <w:lang w:val="fr-FR"/>
        </w:rPr>
        <w:t>La Cour européenne des droits de l</w:t>
      </w:r>
      <w:r w:rsidRPr="00A2551C" w:rsidR="00A2551C">
        <w:rPr>
          <w:lang w:val="fr-FR"/>
        </w:rPr>
        <w:t>’</w:t>
      </w:r>
      <w:r w:rsidRPr="00A2551C">
        <w:rPr>
          <w:lang w:val="fr-FR"/>
        </w:rPr>
        <w:t>homme (</w:t>
      </w:r>
      <w:r w:rsidRPr="00A2551C" w:rsidR="00D733D1">
        <w:rPr>
          <w:lang w:val="fr-FR"/>
        </w:rPr>
        <w:t>troisième section</w:t>
      </w:r>
      <w:r w:rsidRPr="00A2551C">
        <w:rPr>
          <w:lang w:val="fr-FR"/>
        </w:rPr>
        <w:t xml:space="preserve">), siégeant en </w:t>
      </w:r>
      <w:r w:rsidRPr="00A2551C" w:rsidR="00D733D1">
        <w:rPr>
          <w:lang w:val="fr-FR"/>
        </w:rPr>
        <w:t>une chambre composée</w:t>
      </w:r>
      <w:r w:rsidRPr="00A2551C">
        <w:rPr>
          <w:lang w:val="fr-FR"/>
        </w:rPr>
        <w:t xml:space="preserve"> de :</w:t>
      </w:r>
    </w:p>
    <w:p w:rsidRPr="00A2551C" w:rsidR="00E77CB3" w:rsidP="00A2551C" w:rsidRDefault="0076601F">
      <w:pPr>
        <w:pStyle w:val="ECHRDecisionBody"/>
        <w:rPr>
          <w:lang w:val="fr-FR"/>
        </w:rPr>
      </w:pPr>
      <w:r w:rsidRPr="00A2551C">
        <w:rPr>
          <w:lang w:val="fr-FR"/>
        </w:rPr>
        <w:tab/>
        <w:t>Vincent A. De Gaetano,</w:t>
      </w:r>
      <w:r w:rsidRPr="00A2551C">
        <w:rPr>
          <w:i/>
          <w:lang w:val="fr-FR"/>
        </w:rPr>
        <w:t xml:space="preserve"> président,</w:t>
      </w:r>
      <w:r w:rsidRPr="00A2551C">
        <w:rPr>
          <w:i/>
          <w:lang w:val="fr-FR"/>
        </w:rPr>
        <w:br/>
      </w:r>
      <w:r w:rsidRPr="00A2551C">
        <w:rPr>
          <w:lang w:val="fr-FR"/>
        </w:rPr>
        <w:tab/>
      </w:r>
      <w:proofErr w:type="spellStart"/>
      <w:r w:rsidRPr="00A2551C">
        <w:rPr>
          <w:lang w:val="fr-FR"/>
        </w:rPr>
        <w:t>Georgios</w:t>
      </w:r>
      <w:proofErr w:type="spellEnd"/>
      <w:r w:rsidRPr="00A2551C">
        <w:rPr>
          <w:lang w:val="fr-FR"/>
        </w:rPr>
        <w:t xml:space="preserve"> A. </w:t>
      </w:r>
      <w:proofErr w:type="spellStart"/>
      <w:r w:rsidRPr="00A2551C">
        <w:rPr>
          <w:lang w:val="fr-FR"/>
        </w:rPr>
        <w:t>Serghides</w:t>
      </w:r>
      <w:proofErr w:type="spellEnd"/>
      <w:r w:rsidRPr="00A2551C">
        <w:rPr>
          <w:lang w:val="fr-FR"/>
        </w:rPr>
        <w:t>,</w:t>
      </w:r>
      <w:r w:rsidRPr="00A2551C">
        <w:rPr>
          <w:i/>
          <w:lang w:val="fr-FR"/>
        </w:rPr>
        <w:br/>
      </w:r>
      <w:r w:rsidRPr="00A2551C">
        <w:rPr>
          <w:lang w:val="fr-FR"/>
        </w:rPr>
        <w:tab/>
        <w:t>Paulo Pinto de Albuquerque,</w:t>
      </w:r>
      <w:r w:rsidRPr="00A2551C">
        <w:rPr>
          <w:i/>
          <w:lang w:val="fr-FR"/>
        </w:rPr>
        <w:br/>
      </w:r>
      <w:r w:rsidRPr="00A2551C">
        <w:rPr>
          <w:lang w:val="fr-FR"/>
        </w:rPr>
        <w:tab/>
        <w:t>Helen Keller,</w:t>
      </w:r>
      <w:r w:rsidRPr="00A2551C">
        <w:rPr>
          <w:i/>
          <w:lang w:val="fr-FR"/>
        </w:rPr>
        <w:br/>
      </w:r>
      <w:r w:rsidRPr="00A2551C">
        <w:rPr>
          <w:lang w:val="fr-FR"/>
        </w:rPr>
        <w:tab/>
        <w:t xml:space="preserve">Dmitry </w:t>
      </w:r>
      <w:proofErr w:type="spellStart"/>
      <w:r w:rsidRPr="00A2551C">
        <w:rPr>
          <w:lang w:val="fr-FR"/>
        </w:rPr>
        <w:t>Dedov</w:t>
      </w:r>
      <w:proofErr w:type="spellEnd"/>
      <w:r w:rsidRPr="00A2551C">
        <w:rPr>
          <w:lang w:val="fr-FR"/>
        </w:rPr>
        <w:t>,</w:t>
      </w:r>
      <w:r w:rsidRPr="00A2551C">
        <w:rPr>
          <w:i/>
          <w:lang w:val="fr-FR"/>
        </w:rPr>
        <w:br/>
      </w:r>
      <w:r w:rsidRPr="00A2551C">
        <w:rPr>
          <w:lang w:val="fr-FR"/>
        </w:rPr>
        <w:tab/>
      </w:r>
      <w:proofErr w:type="spellStart"/>
      <w:r w:rsidRPr="00A2551C">
        <w:rPr>
          <w:lang w:val="fr-FR"/>
        </w:rPr>
        <w:t>Branko</w:t>
      </w:r>
      <w:proofErr w:type="spellEnd"/>
      <w:r w:rsidRPr="00A2551C">
        <w:rPr>
          <w:lang w:val="fr-FR"/>
        </w:rPr>
        <w:t xml:space="preserve"> </w:t>
      </w:r>
      <w:proofErr w:type="spellStart"/>
      <w:r w:rsidRPr="00A2551C">
        <w:rPr>
          <w:lang w:val="fr-FR"/>
        </w:rPr>
        <w:t>Lubarda</w:t>
      </w:r>
      <w:proofErr w:type="spellEnd"/>
      <w:r w:rsidRPr="00A2551C">
        <w:rPr>
          <w:lang w:val="fr-FR"/>
        </w:rPr>
        <w:t>,</w:t>
      </w:r>
      <w:r w:rsidRPr="00A2551C">
        <w:rPr>
          <w:i/>
          <w:lang w:val="fr-FR"/>
        </w:rPr>
        <w:br/>
      </w:r>
      <w:r w:rsidRPr="00A2551C">
        <w:rPr>
          <w:lang w:val="fr-FR"/>
        </w:rPr>
        <w:tab/>
        <w:t xml:space="preserve">Alena </w:t>
      </w:r>
      <w:proofErr w:type="spellStart"/>
      <w:r w:rsidRPr="00A2551C">
        <w:rPr>
          <w:lang w:val="fr-FR"/>
        </w:rPr>
        <w:t>Poláčková</w:t>
      </w:r>
      <w:proofErr w:type="spellEnd"/>
      <w:r w:rsidRPr="00A2551C">
        <w:rPr>
          <w:lang w:val="fr-FR"/>
        </w:rPr>
        <w:t>,</w:t>
      </w:r>
      <w:r w:rsidRPr="00A2551C">
        <w:rPr>
          <w:i/>
          <w:lang w:val="fr-FR"/>
        </w:rPr>
        <w:t xml:space="preserve"> juges</w:t>
      </w:r>
      <w:proofErr w:type="gramStart"/>
      <w:r w:rsidRPr="00A2551C">
        <w:rPr>
          <w:i/>
          <w:lang w:val="fr-FR"/>
        </w:rPr>
        <w:t>,</w:t>
      </w:r>
      <w:proofErr w:type="gramEnd"/>
      <w:r w:rsidRPr="00A2551C">
        <w:rPr>
          <w:i/>
          <w:lang w:val="fr-FR"/>
        </w:rPr>
        <w:br/>
      </w:r>
      <w:r w:rsidRPr="00A2551C" w:rsidR="00E77CB3">
        <w:rPr>
          <w:lang w:val="fr-FR"/>
        </w:rPr>
        <w:t xml:space="preserve">et de </w:t>
      </w:r>
      <w:r w:rsidRPr="00A2551C" w:rsidR="00D733D1">
        <w:rPr>
          <w:lang w:val="fr-FR"/>
        </w:rPr>
        <w:t>Stephen Phillips</w:t>
      </w:r>
      <w:r w:rsidRPr="00A2551C" w:rsidR="00E77CB3">
        <w:rPr>
          <w:lang w:val="fr-FR"/>
        </w:rPr>
        <w:t xml:space="preserve">, </w:t>
      </w:r>
      <w:r w:rsidRPr="00A2551C" w:rsidR="00D733D1">
        <w:rPr>
          <w:i/>
          <w:lang w:val="fr-FR"/>
        </w:rPr>
        <w:t>greffier</w:t>
      </w:r>
      <w:r w:rsidRPr="00A2551C" w:rsidR="00D733D1">
        <w:rPr>
          <w:iCs/>
          <w:lang w:val="fr-FR"/>
        </w:rPr>
        <w:t xml:space="preserve"> </w:t>
      </w:r>
      <w:r w:rsidRPr="00A2551C" w:rsidR="00D733D1">
        <w:rPr>
          <w:i/>
          <w:iCs/>
          <w:lang w:val="fr-FR"/>
        </w:rPr>
        <w:t>d</w:t>
      </w:r>
      <w:r w:rsidRPr="00A2551C" w:rsidR="00D733D1">
        <w:rPr>
          <w:i/>
          <w:lang w:val="fr-FR"/>
        </w:rPr>
        <w:t>e section</w:t>
      </w:r>
      <w:r w:rsidRPr="00A2551C" w:rsidR="00E77CB3">
        <w:rPr>
          <w:lang w:val="fr-FR"/>
        </w:rPr>
        <w:t>,</w:t>
      </w:r>
    </w:p>
    <w:p w:rsidRPr="00A2551C" w:rsidR="00E77CB3" w:rsidP="00A2551C" w:rsidRDefault="00E77CB3">
      <w:pPr>
        <w:pStyle w:val="ECHRPara"/>
        <w:rPr>
          <w:lang w:val="fr-FR"/>
        </w:rPr>
      </w:pPr>
      <w:r w:rsidRPr="00A2551C">
        <w:rPr>
          <w:lang w:val="fr-FR"/>
        </w:rPr>
        <w:t xml:space="preserve">Après en avoir délibéré en chambre du conseil le </w:t>
      </w:r>
      <w:r w:rsidRPr="00A2551C" w:rsidR="00F95A39">
        <w:rPr>
          <w:lang w:val="fr-FR"/>
        </w:rPr>
        <w:t>9 juillet 2019</w:t>
      </w:r>
      <w:r w:rsidRPr="00A2551C">
        <w:rPr>
          <w:lang w:val="fr-FR"/>
        </w:rPr>
        <w:t>,</w:t>
      </w:r>
    </w:p>
    <w:p w:rsidRPr="00A2551C" w:rsidR="00E77CB3" w:rsidP="00A2551C" w:rsidRDefault="00E77CB3">
      <w:pPr>
        <w:pStyle w:val="ECHRPara"/>
        <w:rPr>
          <w:lang w:val="fr-FR"/>
        </w:rPr>
      </w:pPr>
      <w:r w:rsidRPr="00A2551C">
        <w:rPr>
          <w:lang w:val="fr-FR"/>
        </w:rPr>
        <w:t>Rend l</w:t>
      </w:r>
      <w:r w:rsidRPr="00A2551C" w:rsidR="00A2551C">
        <w:rPr>
          <w:lang w:val="fr-FR"/>
        </w:rPr>
        <w:t>’</w:t>
      </w:r>
      <w:r w:rsidRPr="00A2551C">
        <w:rPr>
          <w:lang w:val="fr-FR"/>
        </w:rPr>
        <w:t>arrêt que voici, adopté à cette date :</w:t>
      </w:r>
    </w:p>
    <w:p w:rsidRPr="00A2551C" w:rsidR="00E77CB3" w:rsidP="00A2551C" w:rsidRDefault="00E77CB3">
      <w:pPr>
        <w:pStyle w:val="ECHRTitle1"/>
        <w:rPr>
          <w:lang w:val="fr-FR"/>
        </w:rPr>
      </w:pPr>
      <w:r w:rsidRPr="00A2551C">
        <w:rPr>
          <w:lang w:val="fr-FR"/>
        </w:rPr>
        <w:t>PROCÉDURE</w:t>
      </w:r>
    </w:p>
    <w:p w:rsidRPr="00A2551C" w:rsidR="00E77CB3" w:rsidP="00A2551C" w:rsidRDefault="00FE40D3">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w:t>
      </w:r>
      <w:r w:rsidRPr="00A2551C">
        <w:rPr>
          <w:lang w:val="fr-FR"/>
        </w:rPr>
        <w:fldChar w:fldCharType="end"/>
      </w:r>
      <w:r w:rsidRPr="00A2551C">
        <w:rPr>
          <w:lang w:val="fr-FR"/>
        </w:rPr>
        <w:t>.  </w:t>
      </w:r>
      <w:r w:rsidRPr="00A2551C" w:rsidR="00E77CB3">
        <w:rPr>
          <w:lang w:val="fr-FR"/>
        </w:rPr>
        <w:t>À l</w:t>
      </w:r>
      <w:r w:rsidRPr="00A2551C" w:rsidR="00A2551C">
        <w:rPr>
          <w:lang w:val="fr-FR"/>
        </w:rPr>
        <w:t>’</w:t>
      </w:r>
      <w:r w:rsidRPr="00A2551C" w:rsidR="00E77CB3">
        <w:rPr>
          <w:lang w:val="fr-FR"/>
        </w:rPr>
        <w:t>origine de l</w:t>
      </w:r>
      <w:r w:rsidRPr="00A2551C" w:rsidR="00A2551C">
        <w:rPr>
          <w:lang w:val="fr-FR"/>
        </w:rPr>
        <w:t>’</w:t>
      </w:r>
      <w:r w:rsidRPr="00A2551C" w:rsidR="00E77CB3">
        <w:rPr>
          <w:lang w:val="fr-FR"/>
        </w:rPr>
        <w:t xml:space="preserve">affaire </w:t>
      </w:r>
      <w:r w:rsidRPr="00A2551C" w:rsidR="00D733D1">
        <w:rPr>
          <w:lang w:val="fr-FR"/>
        </w:rPr>
        <w:t>se trouve une requête (n</w:t>
      </w:r>
      <w:r w:rsidRPr="00A2551C" w:rsidR="0014248D">
        <w:rPr>
          <w:vertAlign w:val="superscript"/>
          <w:lang w:val="fr-FR"/>
        </w:rPr>
        <w:t>o</w:t>
      </w:r>
      <w:r w:rsidRPr="00A2551C" w:rsidR="00353B58">
        <w:rPr>
          <w:lang w:val="fr-FR"/>
        </w:rPr>
        <w:t> </w:t>
      </w:r>
      <w:r w:rsidRPr="00A2551C" w:rsidR="00D733D1">
        <w:rPr>
          <w:lang w:val="fr-FR"/>
        </w:rPr>
        <w:t>74141/10) dirigée</w:t>
      </w:r>
      <w:r w:rsidRPr="00A2551C" w:rsidR="00E77CB3">
        <w:rPr>
          <w:lang w:val="fr-FR"/>
        </w:rPr>
        <w:t xml:space="preserve"> contre </w:t>
      </w:r>
      <w:r w:rsidRPr="00A2551C" w:rsidR="00D733D1">
        <w:rPr>
          <w:lang w:val="fr-FR"/>
        </w:rPr>
        <w:t>la Fédération de Russie</w:t>
      </w:r>
      <w:r w:rsidRPr="00A2551C" w:rsidR="00E77CB3">
        <w:rPr>
          <w:lang w:val="fr-FR"/>
        </w:rPr>
        <w:t xml:space="preserve"> et dont </w:t>
      </w:r>
      <w:r w:rsidRPr="00A2551C" w:rsidR="00D733D1">
        <w:rPr>
          <w:lang w:val="fr-FR"/>
        </w:rPr>
        <w:t>un ressortissant de cet État, M.</w:t>
      </w:r>
      <w:r w:rsidRPr="00A2551C" w:rsidR="004B16A4">
        <w:rPr>
          <w:lang w:val="fr-FR"/>
        </w:rPr>
        <w:t> </w:t>
      </w:r>
      <w:r w:rsidRPr="00A2551C" w:rsidR="00D733D1">
        <w:rPr>
          <w:lang w:val="fr-FR"/>
        </w:rPr>
        <w:t xml:space="preserve">Igor </w:t>
      </w:r>
      <w:proofErr w:type="spellStart"/>
      <w:r w:rsidRPr="00A2551C" w:rsidR="00D733D1">
        <w:rPr>
          <w:lang w:val="fr-FR"/>
        </w:rPr>
        <w:t>Vladimirovich</w:t>
      </w:r>
      <w:proofErr w:type="spellEnd"/>
      <w:r w:rsidRPr="00A2551C" w:rsidR="00D733D1">
        <w:rPr>
          <w:lang w:val="fr-FR"/>
        </w:rPr>
        <w:t xml:space="preserve"> </w:t>
      </w:r>
      <w:proofErr w:type="spellStart"/>
      <w:r w:rsidRPr="00A2551C" w:rsidR="00D733D1">
        <w:rPr>
          <w:lang w:val="fr-FR"/>
        </w:rPr>
        <w:t>Izmestyev</w:t>
      </w:r>
      <w:proofErr w:type="spellEnd"/>
      <w:r w:rsidRPr="00A2551C" w:rsidR="00D733D1">
        <w:rPr>
          <w:lang w:val="fr-FR"/>
        </w:rPr>
        <w:t xml:space="preserve"> (« le requérant »), a saisi la Cour le </w:t>
      </w:r>
      <w:r w:rsidRPr="00A2551C" w:rsidR="00353B58">
        <w:rPr>
          <w:lang w:val="fr-FR"/>
        </w:rPr>
        <w:t>10 </w:t>
      </w:r>
      <w:r w:rsidRPr="00A2551C" w:rsidR="00D733D1">
        <w:rPr>
          <w:lang w:val="fr-FR"/>
        </w:rPr>
        <w:t>décembre 2010</w:t>
      </w:r>
      <w:r w:rsidRPr="00A2551C" w:rsidR="00E77CB3">
        <w:rPr>
          <w:lang w:val="fr-FR"/>
        </w:rPr>
        <w:t xml:space="preserve"> en vertu de </w:t>
      </w:r>
      <w:r w:rsidRPr="00A2551C" w:rsidR="00D733D1">
        <w:rPr>
          <w:lang w:val="fr-FR"/>
        </w:rPr>
        <w:t>l</w:t>
      </w:r>
      <w:r w:rsidRPr="00A2551C" w:rsidR="00A2551C">
        <w:rPr>
          <w:lang w:val="fr-FR"/>
        </w:rPr>
        <w:t>’</w:t>
      </w:r>
      <w:r w:rsidRPr="00A2551C" w:rsidR="00D733D1">
        <w:rPr>
          <w:lang w:val="fr-FR"/>
        </w:rPr>
        <w:t>article 34</w:t>
      </w:r>
      <w:r w:rsidRPr="00A2551C" w:rsidR="00E77CB3">
        <w:rPr>
          <w:lang w:val="fr-FR"/>
        </w:rPr>
        <w:t xml:space="preserve"> de la Convention de sauvegarde des droits de l</w:t>
      </w:r>
      <w:r w:rsidRPr="00A2551C" w:rsidR="00A2551C">
        <w:rPr>
          <w:lang w:val="fr-FR"/>
        </w:rPr>
        <w:t>’</w:t>
      </w:r>
      <w:r w:rsidRPr="00A2551C" w:rsidR="00E77CB3">
        <w:rPr>
          <w:lang w:val="fr-FR"/>
        </w:rPr>
        <w:t>homme et des libertés fondamentales (« la Convention »).</w:t>
      </w:r>
    </w:p>
    <w:p w:rsidRPr="00A2551C" w:rsidR="00D733D1"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w:t>
      </w:r>
      <w:r w:rsidRPr="00A2551C">
        <w:rPr>
          <w:lang w:val="fr-FR"/>
        </w:rPr>
        <w:fldChar w:fldCharType="end"/>
      </w:r>
      <w:r w:rsidRPr="00A2551C" w:rsidR="00E77CB3">
        <w:rPr>
          <w:lang w:val="fr-FR"/>
        </w:rPr>
        <w:t>.  </w:t>
      </w:r>
      <w:r w:rsidRPr="00A2551C">
        <w:rPr>
          <w:lang w:val="fr-FR"/>
        </w:rPr>
        <w:t>Le requérant a été représenté par M</w:t>
      </w:r>
      <w:r w:rsidRPr="00A2551C">
        <w:rPr>
          <w:vertAlign w:val="superscript"/>
          <w:lang w:val="fr-FR"/>
        </w:rPr>
        <w:t>e</w:t>
      </w:r>
      <w:r w:rsidRPr="00A2551C" w:rsidR="00353B58">
        <w:rPr>
          <w:vertAlign w:val="superscript"/>
          <w:lang w:val="fr-FR"/>
        </w:rPr>
        <w:t>s</w:t>
      </w:r>
      <w:r w:rsidRPr="00A2551C">
        <w:rPr>
          <w:lang w:val="fr-FR"/>
        </w:rPr>
        <w:t> </w:t>
      </w:r>
      <w:r w:rsidRPr="00A2551C" w:rsidR="00353B58">
        <w:rPr>
          <w:lang w:val="fr-FR"/>
        </w:rPr>
        <w:t>K. </w:t>
      </w:r>
      <w:proofErr w:type="spellStart"/>
      <w:r w:rsidRPr="00A2551C">
        <w:rPr>
          <w:lang w:val="fr-FR"/>
        </w:rPr>
        <w:t>Moskalenko</w:t>
      </w:r>
      <w:proofErr w:type="spellEnd"/>
      <w:r w:rsidRPr="00A2551C" w:rsidR="00353B58">
        <w:rPr>
          <w:lang w:val="fr-FR"/>
        </w:rPr>
        <w:t>, E. </w:t>
      </w:r>
      <w:proofErr w:type="spellStart"/>
      <w:r w:rsidRPr="00A2551C" w:rsidR="00353B58">
        <w:rPr>
          <w:lang w:val="fr-FR"/>
        </w:rPr>
        <w:t>Afanas</w:t>
      </w:r>
      <w:r w:rsidRPr="00A2551C" w:rsidR="002511EB">
        <w:rPr>
          <w:lang w:val="fr-FR"/>
        </w:rPr>
        <w:t>y</w:t>
      </w:r>
      <w:r w:rsidRPr="00A2551C" w:rsidR="00353B58">
        <w:rPr>
          <w:lang w:val="fr-FR"/>
        </w:rPr>
        <w:t>eva</w:t>
      </w:r>
      <w:proofErr w:type="spellEnd"/>
      <w:r w:rsidRPr="00A2551C" w:rsidR="00971D59">
        <w:rPr>
          <w:lang w:val="fr-FR"/>
        </w:rPr>
        <w:t xml:space="preserve"> et</w:t>
      </w:r>
      <w:r w:rsidRPr="00A2551C" w:rsidR="00353B58">
        <w:rPr>
          <w:lang w:val="fr-FR"/>
        </w:rPr>
        <w:t xml:space="preserve"> O. </w:t>
      </w:r>
      <w:proofErr w:type="spellStart"/>
      <w:r w:rsidRPr="00A2551C" w:rsidR="00353B58">
        <w:rPr>
          <w:lang w:val="fr-FR"/>
        </w:rPr>
        <w:t>Bessonov</w:t>
      </w:r>
      <w:proofErr w:type="spellEnd"/>
      <w:r w:rsidRPr="00A2551C" w:rsidR="00353B58">
        <w:rPr>
          <w:lang w:val="fr-FR"/>
        </w:rPr>
        <w:t>, avocats</w:t>
      </w:r>
      <w:r w:rsidRPr="00A2551C">
        <w:rPr>
          <w:lang w:val="fr-FR"/>
        </w:rPr>
        <w:t xml:space="preserve"> exerçant </w:t>
      </w:r>
      <w:r w:rsidRPr="00A2551C" w:rsidR="008C3D28">
        <w:rPr>
          <w:lang w:val="fr-FR"/>
        </w:rPr>
        <w:t>en Russie</w:t>
      </w:r>
      <w:r w:rsidRPr="00A2551C" w:rsidR="00353B58">
        <w:rPr>
          <w:lang w:val="fr-FR"/>
        </w:rPr>
        <w:t xml:space="preserve">, </w:t>
      </w:r>
      <w:r w:rsidRPr="00A2551C" w:rsidR="008C3D28">
        <w:rPr>
          <w:lang w:val="fr-FR"/>
        </w:rPr>
        <w:t xml:space="preserve">et par </w:t>
      </w:r>
      <w:r w:rsidRPr="00A2551C" w:rsidR="00353B58">
        <w:rPr>
          <w:lang w:val="fr-FR"/>
        </w:rPr>
        <w:t>M</w:t>
      </w:r>
      <w:r w:rsidRPr="00A2551C" w:rsidR="00353B58">
        <w:rPr>
          <w:vertAlign w:val="superscript"/>
          <w:lang w:val="fr-FR"/>
        </w:rPr>
        <w:t>e</w:t>
      </w:r>
      <w:r w:rsidRPr="00A2551C" w:rsidR="00353B58">
        <w:rPr>
          <w:lang w:val="fr-FR"/>
        </w:rPr>
        <w:t> A. </w:t>
      </w:r>
      <w:proofErr w:type="spellStart"/>
      <w:r w:rsidRPr="00A2551C" w:rsidR="00353B58">
        <w:rPr>
          <w:lang w:val="fr-FR"/>
        </w:rPr>
        <w:t>Maralyan</w:t>
      </w:r>
      <w:proofErr w:type="spellEnd"/>
      <w:r w:rsidRPr="00A2551C" w:rsidR="00353B58">
        <w:rPr>
          <w:lang w:val="fr-FR"/>
        </w:rPr>
        <w:t xml:space="preserve">, </w:t>
      </w:r>
      <w:r w:rsidRPr="00A2551C" w:rsidR="008C3D28">
        <w:rPr>
          <w:lang w:val="fr-FR"/>
        </w:rPr>
        <w:t>avocate exerçant en Arménie</w:t>
      </w:r>
      <w:r w:rsidRPr="00A2551C">
        <w:rPr>
          <w:lang w:val="fr-FR"/>
        </w:rPr>
        <w:t>.</w:t>
      </w:r>
      <w:r w:rsidRPr="00A2551C" w:rsidR="00E449CA">
        <w:rPr>
          <w:lang w:val="fr-FR"/>
        </w:rPr>
        <w:t xml:space="preserve"> Le gouvernement russe (« le Gouvernement ») a été représenté par s</w:t>
      </w:r>
      <w:r w:rsidRPr="00A2551C" w:rsidR="002511EB">
        <w:rPr>
          <w:lang w:val="fr-FR"/>
        </w:rPr>
        <w:t>es</w:t>
      </w:r>
      <w:r w:rsidRPr="00A2551C" w:rsidR="00E449CA">
        <w:rPr>
          <w:lang w:val="fr-FR"/>
        </w:rPr>
        <w:t xml:space="preserve"> agent</w:t>
      </w:r>
      <w:r w:rsidRPr="00A2551C" w:rsidR="002511EB">
        <w:rPr>
          <w:lang w:val="fr-FR"/>
        </w:rPr>
        <w:t>s, MM. G. </w:t>
      </w:r>
      <w:proofErr w:type="spellStart"/>
      <w:r w:rsidRPr="00A2551C" w:rsidR="002511EB">
        <w:rPr>
          <w:lang w:val="fr-FR"/>
        </w:rPr>
        <w:t>Matiouchkine</w:t>
      </w:r>
      <w:proofErr w:type="spellEnd"/>
      <w:r w:rsidRPr="00A2551C" w:rsidR="002511EB">
        <w:rPr>
          <w:lang w:val="fr-FR"/>
        </w:rPr>
        <w:t xml:space="preserve"> et A. Fedorov, anciens représentants de la Fédération de Russie auprès de la Cour européenne des droits de l</w:t>
      </w:r>
      <w:r w:rsidRPr="00A2551C" w:rsidR="00A2551C">
        <w:rPr>
          <w:lang w:val="fr-FR"/>
        </w:rPr>
        <w:t>’</w:t>
      </w:r>
      <w:r w:rsidRPr="00A2551C" w:rsidR="002511EB">
        <w:rPr>
          <w:lang w:val="fr-FR"/>
        </w:rPr>
        <w:t>homme,</w:t>
      </w:r>
      <w:r w:rsidRPr="00A2551C" w:rsidR="00E449CA">
        <w:rPr>
          <w:lang w:val="fr-FR"/>
        </w:rPr>
        <w:t xml:space="preserve"> puis par M. M. </w:t>
      </w:r>
      <w:proofErr w:type="spellStart"/>
      <w:r w:rsidRPr="00A2551C" w:rsidR="00E449CA">
        <w:rPr>
          <w:lang w:val="fr-FR"/>
        </w:rPr>
        <w:t>Galperine</w:t>
      </w:r>
      <w:proofErr w:type="spellEnd"/>
      <w:r w:rsidRPr="00A2551C" w:rsidR="00E449CA">
        <w:rPr>
          <w:lang w:val="fr-FR"/>
        </w:rPr>
        <w:t>, son représentant actuel</w:t>
      </w:r>
      <w:r w:rsidRPr="00A2551C" w:rsidR="007C5300">
        <w:rPr>
          <w:lang w:val="fr-FR"/>
        </w:rPr>
        <w:t>.</w:t>
      </w:r>
    </w:p>
    <w:p w:rsidRPr="00A2551C" w:rsidR="0076324D"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w:t>
      </w:r>
      <w:r w:rsidRPr="00A2551C">
        <w:rPr>
          <w:lang w:val="fr-FR"/>
        </w:rPr>
        <w:fldChar w:fldCharType="end"/>
      </w:r>
      <w:r w:rsidRPr="00A2551C">
        <w:rPr>
          <w:lang w:val="fr-FR"/>
        </w:rPr>
        <w:t xml:space="preserve">.  Le requérant </w:t>
      </w:r>
      <w:r w:rsidRPr="00A2551C" w:rsidR="00971D59">
        <w:rPr>
          <w:lang w:val="fr-FR"/>
        </w:rPr>
        <w:t xml:space="preserve">alléguait </w:t>
      </w:r>
      <w:r w:rsidRPr="00A2551C">
        <w:rPr>
          <w:lang w:val="fr-FR"/>
        </w:rPr>
        <w:t xml:space="preserve">en particulier </w:t>
      </w:r>
      <w:r w:rsidRPr="00A2551C" w:rsidR="00971D59">
        <w:rPr>
          <w:lang w:val="fr-FR"/>
        </w:rPr>
        <w:t>qu</w:t>
      </w:r>
      <w:r w:rsidRPr="00A2551C" w:rsidR="00A2551C">
        <w:rPr>
          <w:lang w:val="fr-FR"/>
        </w:rPr>
        <w:t>’</w:t>
      </w:r>
      <w:r w:rsidRPr="00A2551C" w:rsidR="00971D59">
        <w:rPr>
          <w:lang w:val="fr-FR"/>
        </w:rPr>
        <w:t>il avait</w:t>
      </w:r>
      <w:r w:rsidRPr="00A2551C" w:rsidR="002511EB">
        <w:rPr>
          <w:lang w:val="fr-FR"/>
        </w:rPr>
        <w:t xml:space="preserve"> été détenu et transporté dans de mauvaises conditions, que la durée de sa détention provisoire </w:t>
      </w:r>
      <w:r w:rsidRPr="00A2551C" w:rsidR="00971D59">
        <w:rPr>
          <w:lang w:val="fr-FR"/>
        </w:rPr>
        <w:t xml:space="preserve">avait été </w:t>
      </w:r>
      <w:r w:rsidRPr="00A2551C" w:rsidR="002511EB">
        <w:rPr>
          <w:lang w:val="fr-FR"/>
        </w:rPr>
        <w:t xml:space="preserve">excessive, que la procédure pénale dirigée à son encontre </w:t>
      </w:r>
      <w:r w:rsidRPr="00A2551C" w:rsidR="00F061BD">
        <w:rPr>
          <w:lang w:val="fr-FR"/>
        </w:rPr>
        <w:t>n</w:t>
      </w:r>
      <w:r w:rsidRPr="00A2551C" w:rsidR="00A2551C">
        <w:rPr>
          <w:lang w:val="fr-FR"/>
        </w:rPr>
        <w:t>’</w:t>
      </w:r>
      <w:r w:rsidRPr="00A2551C" w:rsidR="002511EB">
        <w:rPr>
          <w:lang w:val="fr-FR"/>
        </w:rPr>
        <w:t>a</w:t>
      </w:r>
      <w:r w:rsidRPr="00A2551C" w:rsidR="00971D59">
        <w:rPr>
          <w:lang w:val="fr-FR"/>
        </w:rPr>
        <w:t>vait</w:t>
      </w:r>
      <w:r w:rsidRPr="00A2551C" w:rsidR="002511EB">
        <w:rPr>
          <w:lang w:val="fr-FR"/>
        </w:rPr>
        <w:t xml:space="preserve"> </w:t>
      </w:r>
      <w:r w:rsidRPr="00A2551C" w:rsidR="00F061BD">
        <w:rPr>
          <w:lang w:val="fr-FR"/>
        </w:rPr>
        <w:t xml:space="preserve">pas </w:t>
      </w:r>
      <w:r w:rsidRPr="00A2551C" w:rsidR="002511EB">
        <w:rPr>
          <w:lang w:val="fr-FR"/>
        </w:rPr>
        <w:t xml:space="preserve">été </w:t>
      </w:r>
      <w:r w:rsidRPr="00A2551C" w:rsidR="00F061BD">
        <w:rPr>
          <w:lang w:val="fr-FR"/>
        </w:rPr>
        <w:t>publique</w:t>
      </w:r>
      <w:r w:rsidRPr="00A2551C" w:rsidR="002511EB">
        <w:rPr>
          <w:lang w:val="fr-FR"/>
        </w:rPr>
        <w:t xml:space="preserve"> </w:t>
      </w:r>
      <w:r w:rsidRPr="00A2551C" w:rsidR="00EF3E75">
        <w:rPr>
          <w:lang w:val="fr-FR"/>
        </w:rPr>
        <w:t xml:space="preserve">et </w:t>
      </w:r>
      <w:r w:rsidRPr="00A2551C" w:rsidR="002511EB">
        <w:rPr>
          <w:lang w:val="fr-FR"/>
        </w:rPr>
        <w:t xml:space="preserve">que son droit au respect de sa vie privée et familiale </w:t>
      </w:r>
      <w:r w:rsidRPr="00A2551C" w:rsidR="00F061BD">
        <w:rPr>
          <w:lang w:val="fr-FR"/>
        </w:rPr>
        <w:t>n</w:t>
      </w:r>
      <w:r w:rsidRPr="00A2551C" w:rsidR="00A2551C">
        <w:rPr>
          <w:lang w:val="fr-FR"/>
        </w:rPr>
        <w:t>’</w:t>
      </w:r>
      <w:r w:rsidRPr="00A2551C" w:rsidR="00F061BD">
        <w:rPr>
          <w:lang w:val="fr-FR"/>
        </w:rPr>
        <w:t>a</w:t>
      </w:r>
      <w:r w:rsidRPr="00A2551C" w:rsidR="00971D59">
        <w:rPr>
          <w:lang w:val="fr-FR"/>
        </w:rPr>
        <w:t>vait</w:t>
      </w:r>
      <w:r w:rsidRPr="00A2551C" w:rsidR="00F061BD">
        <w:rPr>
          <w:lang w:val="fr-FR"/>
        </w:rPr>
        <w:t xml:space="preserve"> pas été respecté </w:t>
      </w:r>
      <w:r w:rsidRPr="00A2551C" w:rsidR="00971D59">
        <w:rPr>
          <w:lang w:val="fr-FR"/>
        </w:rPr>
        <w:t>en</w:t>
      </w:r>
      <w:r w:rsidRPr="00A2551C" w:rsidR="00F061BD">
        <w:rPr>
          <w:lang w:val="fr-FR"/>
        </w:rPr>
        <w:t xml:space="preserve"> raison de diverses restrictions </w:t>
      </w:r>
      <w:r w:rsidRPr="00A2551C" w:rsidR="00EF3E75">
        <w:rPr>
          <w:lang w:val="fr-FR"/>
        </w:rPr>
        <w:t xml:space="preserve">aux visites familiales </w:t>
      </w:r>
      <w:r w:rsidRPr="00A2551C" w:rsidR="00F314E0">
        <w:rPr>
          <w:lang w:val="fr-FR"/>
        </w:rPr>
        <w:t xml:space="preserve">qui lui auraient été </w:t>
      </w:r>
      <w:r w:rsidRPr="00A2551C" w:rsidR="00EF3E75">
        <w:rPr>
          <w:lang w:val="fr-FR"/>
        </w:rPr>
        <w:t xml:space="preserve">imposées pendant sa </w:t>
      </w:r>
      <w:r w:rsidRPr="00A2551C" w:rsidR="00F061BD">
        <w:rPr>
          <w:lang w:val="fr-FR"/>
        </w:rPr>
        <w:t>détention après sa condamnation</w:t>
      </w:r>
      <w:r w:rsidRPr="00A2551C" w:rsidR="00EF3E75">
        <w:rPr>
          <w:lang w:val="fr-FR"/>
        </w:rPr>
        <w:t xml:space="preserve"> ainsi </w:t>
      </w:r>
      <w:r w:rsidRPr="00A2551C" w:rsidR="00971D59">
        <w:rPr>
          <w:lang w:val="fr-FR"/>
        </w:rPr>
        <w:t>qu</w:t>
      </w:r>
      <w:r w:rsidRPr="00A2551C" w:rsidR="00A2551C">
        <w:rPr>
          <w:lang w:val="fr-FR"/>
        </w:rPr>
        <w:t>’</w:t>
      </w:r>
      <w:r w:rsidRPr="00A2551C" w:rsidR="00971D59">
        <w:rPr>
          <w:lang w:val="fr-FR"/>
        </w:rPr>
        <w:t xml:space="preserve">en </w:t>
      </w:r>
      <w:r w:rsidRPr="00A2551C" w:rsidR="00EF3E75">
        <w:rPr>
          <w:lang w:val="fr-FR"/>
        </w:rPr>
        <w:t>raison de la mise sous vidéosurveillance de sa cellule. Il invoqu</w:t>
      </w:r>
      <w:r w:rsidRPr="00A2551C" w:rsidR="00971D59">
        <w:rPr>
          <w:lang w:val="fr-FR"/>
        </w:rPr>
        <w:t>ait</w:t>
      </w:r>
      <w:r w:rsidRPr="00A2551C" w:rsidR="00F061BD">
        <w:rPr>
          <w:lang w:val="fr-FR"/>
        </w:rPr>
        <w:t xml:space="preserve"> les articles 3, 5 § 3, 6 et 8 de la Convention</w:t>
      </w:r>
      <w:r w:rsidRPr="00A2551C" w:rsidR="00EF3E75">
        <w:rPr>
          <w:lang w:val="fr-FR"/>
        </w:rPr>
        <w:t>.</w:t>
      </w:r>
    </w:p>
    <w:p w:rsidRPr="00A2551C" w:rsidR="00E77CB3" w:rsidP="00A2551C" w:rsidRDefault="00D733D1">
      <w:pPr>
        <w:pStyle w:val="ECHRPara"/>
        <w:rPr>
          <w:szCs w:val="24"/>
          <w:lang w:val="fr-FR" w:eastAsia="en-GB"/>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w:t>
      </w:r>
      <w:r w:rsidRPr="00A2551C">
        <w:rPr>
          <w:lang w:val="fr-FR"/>
        </w:rPr>
        <w:fldChar w:fldCharType="end"/>
      </w:r>
      <w:r w:rsidRPr="00A2551C" w:rsidR="00E77CB3">
        <w:rPr>
          <w:lang w:val="fr-FR"/>
        </w:rPr>
        <w:t>.  </w:t>
      </w:r>
      <w:r w:rsidRPr="00A2551C">
        <w:rPr>
          <w:lang w:val="fr-FR"/>
        </w:rPr>
        <w:t xml:space="preserve">Le </w:t>
      </w:r>
      <w:r w:rsidRPr="00A2551C">
        <w:rPr>
          <w:szCs w:val="24"/>
          <w:lang w:val="fr-FR"/>
        </w:rPr>
        <w:t>19 janvier 2017</w:t>
      </w:r>
      <w:r w:rsidRPr="00A2551C" w:rsidR="00E77CB3">
        <w:rPr>
          <w:lang w:val="fr-FR"/>
        </w:rPr>
        <w:t xml:space="preserve">, </w:t>
      </w:r>
      <w:r w:rsidRPr="00A2551C">
        <w:rPr>
          <w:lang w:val="fr-FR"/>
        </w:rPr>
        <w:t xml:space="preserve">les griefs </w:t>
      </w:r>
      <w:r w:rsidRPr="00A2551C" w:rsidR="008A56E0">
        <w:rPr>
          <w:lang w:val="fr-FR"/>
        </w:rPr>
        <w:t xml:space="preserve">susmentionnés </w:t>
      </w:r>
      <w:r w:rsidRPr="00A2551C">
        <w:rPr>
          <w:lang w:val="fr-FR"/>
        </w:rPr>
        <w:t>ont été communiqués au Gouvernement et la requête a été déclarée irrecevable</w:t>
      </w:r>
      <w:r w:rsidRPr="00A2551C">
        <w:rPr>
          <w:szCs w:val="24"/>
          <w:lang w:val="fr-FR"/>
        </w:rPr>
        <w:t xml:space="preserve"> pour le surplus </w:t>
      </w:r>
      <w:r w:rsidRPr="00A2551C">
        <w:rPr>
          <w:lang w:val="fr-FR"/>
        </w:rPr>
        <w:t>conformément à l</w:t>
      </w:r>
      <w:r w:rsidRPr="00A2551C" w:rsidR="00A2551C">
        <w:rPr>
          <w:lang w:val="fr-FR"/>
        </w:rPr>
        <w:t>’</w:t>
      </w:r>
      <w:r w:rsidRPr="00A2551C">
        <w:rPr>
          <w:lang w:val="fr-FR"/>
        </w:rPr>
        <w:t>article 54 § 3 du règlement de la Cour</w:t>
      </w:r>
      <w:r w:rsidRPr="00A2551C" w:rsidR="00646454">
        <w:rPr>
          <w:lang w:val="fr-FR"/>
        </w:rPr>
        <w:t>.</w:t>
      </w:r>
    </w:p>
    <w:p w:rsidRPr="00A2551C" w:rsidR="00E77CB3" w:rsidP="00A2551C" w:rsidRDefault="00E77CB3">
      <w:pPr>
        <w:pStyle w:val="ECHRTitle1"/>
        <w:tabs>
          <w:tab w:val="left" w:pos="5387"/>
        </w:tabs>
        <w:rPr>
          <w:lang w:val="fr-FR"/>
        </w:rPr>
      </w:pPr>
      <w:r w:rsidRPr="00A2551C">
        <w:rPr>
          <w:lang w:val="fr-FR"/>
        </w:rPr>
        <w:t>EN FAIT</w:t>
      </w:r>
    </w:p>
    <w:p w:rsidRPr="00A2551C" w:rsidR="00E77CB3" w:rsidP="00A2551C" w:rsidRDefault="00E77CB3">
      <w:pPr>
        <w:pStyle w:val="ECHRHeading1"/>
        <w:rPr>
          <w:lang w:val="fr-FR"/>
        </w:rPr>
      </w:pPr>
      <w:r w:rsidRPr="00A2551C">
        <w:rPr>
          <w:lang w:val="fr-FR"/>
        </w:rPr>
        <w:t>I.  LES CIRCONSTANCES DE L</w:t>
      </w:r>
      <w:r w:rsidRPr="00A2551C" w:rsidR="00A2551C">
        <w:rPr>
          <w:lang w:val="fr-FR"/>
        </w:rPr>
        <w:t>’</w:t>
      </w:r>
      <w:r w:rsidRPr="00A2551C">
        <w:rPr>
          <w:lang w:val="fr-FR"/>
        </w:rPr>
        <w:t>ESPÈCE</w:t>
      </w:r>
    </w:p>
    <w:p w:rsidRPr="00A2551C" w:rsidR="00E77CB3"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w:t>
      </w:r>
      <w:r w:rsidRPr="00A2551C">
        <w:rPr>
          <w:lang w:val="fr-FR"/>
        </w:rPr>
        <w:fldChar w:fldCharType="end"/>
      </w:r>
      <w:r w:rsidRPr="00A2551C" w:rsidR="00E77CB3">
        <w:rPr>
          <w:lang w:val="fr-FR"/>
        </w:rPr>
        <w:t>.  </w:t>
      </w:r>
      <w:r w:rsidRPr="00A2551C">
        <w:rPr>
          <w:lang w:val="fr-FR"/>
        </w:rPr>
        <w:t>Le requérant</w:t>
      </w:r>
      <w:r w:rsidRPr="00A2551C" w:rsidR="00F80EDF">
        <w:rPr>
          <w:lang w:val="fr-FR"/>
        </w:rPr>
        <w:t xml:space="preserve">, </w:t>
      </w:r>
      <w:r w:rsidRPr="00A2551C">
        <w:rPr>
          <w:lang w:val="fr-FR"/>
        </w:rPr>
        <w:t>né en 1966</w:t>
      </w:r>
      <w:r w:rsidRPr="00A2551C" w:rsidR="00F80EDF">
        <w:rPr>
          <w:lang w:val="fr-FR"/>
        </w:rPr>
        <w:t>,</w:t>
      </w:r>
      <w:r w:rsidRPr="00A2551C">
        <w:rPr>
          <w:lang w:val="fr-FR"/>
        </w:rPr>
        <w:t xml:space="preserve"> </w:t>
      </w:r>
      <w:r w:rsidRPr="00A2551C" w:rsidR="00971D59">
        <w:rPr>
          <w:lang w:val="fr-FR"/>
        </w:rPr>
        <w:t xml:space="preserve">est </w:t>
      </w:r>
      <w:r w:rsidRPr="00A2551C">
        <w:rPr>
          <w:lang w:val="fr-FR"/>
        </w:rPr>
        <w:t xml:space="preserve">détenu à </w:t>
      </w:r>
      <w:r w:rsidRPr="00A2551C" w:rsidR="00FB4AB4">
        <w:rPr>
          <w:lang w:val="fr-FR"/>
        </w:rPr>
        <w:t>Solikamsk (région de Perm)</w:t>
      </w:r>
      <w:r w:rsidRPr="00A2551C" w:rsidR="00E77CB3">
        <w:rPr>
          <w:lang w:val="fr-FR"/>
        </w:rPr>
        <w:t>.</w:t>
      </w:r>
    </w:p>
    <w:p w:rsidRPr="00A2551C" w:rsidR="00657348" w:rsidP="00A2551C" w:rsidRDefault="00657348">
      <w:pPr>
        <w:pStyle w:val="ECHRHeading2"/>
        <w:rPr>
          <w:lang w:val="fr-FR"/>
        </w:rPr>
      </w:pPr>
      <w:r w:rsidRPr="00A2551C">
        <w:rPr>
          <w:lang w:val="fr-FR"/>
        </w:rPr>
        <w:t>A.  La détention provisoire, le procès pénal e</w:t>
      </w:r>
      <w:r w:rsidRPr="00A2551C" w:rsidR="00B51897">
        <w:rPr>
          <w:lang w:val="fr-FR"/>
        </w:rPr>
        <w:t>t</w:t>
      </w:r>
      <w:r w:rsidRPr="00A2551C">
        <w:rPr>
          <w:lang w:val="fr-FR"/>
        </w:rPr>
        <w:t xml:space="preserve"> la condamnation du requérant</w:t>
      </w:r>
    </w:p>
    <w:p w:rsidRPr="00A2551C" w:rsidR="0076324D" w:rsidP="00A2551C" w:rsidRDefault="006412E8">
      <w:pPr>
        <w:pStyle w:val="ECHRHeading3"/>
        <w:rPr>
          <w:lang w:val="fr-FR"/>
        </w:rPr>
      </w:pPr>
      <w:r w:rsidRPr="00A2551C">
        <w:rPr>
          <w:lang w:val="fr-FR"/>
        </w:rPr>
        <w:t>1.  La détention provisoire du requérant pendant l</w:t>
      </w:r>
      <w:r w:rsidRPr="00A2551C" w:rsidR="00A2551C">
        <w:rPr>
          <w:lang w:val="fr-FR"/>
        </w:rPr>
        <w:t>’</w:t>
      </w:r>
      <w:r w:rsidRPr="00A2551C">
        <w:rPr>
          <w:lang w:val="fr-FR"/>
        </w:rPr>
        <w:t>enquête préliminaire</w:t>
      </w:r>
    </w:p>
    <w:p w:rsidRPr="00A2551C" w:rsidR="00146316"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w:t>
      </w:r>
      <w:r w:rsidRPr="00A2551C">
        <w:rPr>
          <w:lang w:val="fr-FR"/>
        </w:rPr>
        <w:fldChar w:fldCharType="end"/>
      </w:r>
      <w:r w:rsidRPr="00A2551C">
        <w:rPr>
          <w:lang w:val="fr-FR"/>
        </w:rPr>
        <w:t>.  </w:t>
      </w:r>
      <w:r w:rsidRPr="00A2551C" w:rsidR="00146316">
        <w:rPr>
          <w:lang w:val="fr-FR"/>
        </w:rPr>
        <w:t>Le 16 janvier 2007, le requérant, soupçonné d</w:t>
      </w:r>
      <w:r w:rsidRPr="00A2551C" w:rsidR="00A2551C">
        <w:rPr>
          <w:lang w:val="fr-FR"/>
        </w:rPr>
        <w:t>’</w:t>
      </w:r>
      <w:r w:rsidRPr="00A2551C" w:rsidR="00146316">
        <w:rPr>
          <w:lang w:val="fr-FR"/>
        </w:rPr>
        <w:t>être impliqué, en tant que membre d</w:t>
      </w:r>
      <w:r w:rsidRPr="00A2551C" w:rsidR="00A2551C">
        <w:rPr>
          <w:lang w:val="fr-FR"/>
        </w:rPr>
        <w:t>’</w:t>
      </w:r>
      <w:r w:rsidRPr="00A2551C" w:rsidR="00146316">
        <w:rPr>
          <w:lang w:val="fr-FR"/>
        </w:rPr>
        <w:t>une bande organisée, dans un meurtre commis en 2001, fut arrêté.</w:t>
      </w:r>
    </w:p>
    <w:p w:rsidRPr="00A2551C" w:rsidR="00146316"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w:t>
      </w:r>
      <w:r w:rsidRPr="00A2551C">
        <w:rPr>
          <w:lang w:val="fr-FR"/>
        </w:rPr>
        <w:fldChar w:fldCharType="end"/>
      </w:r>
      <w:r w:rsidRPr="00A2551C">
        <w:rPr>
          <w:lang w:val="fr-FR"/>
        </w:rPr>
        <w:t>.  </w:t>
      </w:r>
      <w:r w:rsidRPr="00A2551C" w:rsidR="00146316">
        <w:rPr>
          <w:lang w:val="fr-FR"/>
        </w:rPr>
        <w:t xml:space="preserve">Le 18 janvier 2007, le tribunal du district </w:t>
      </w:r>
      <w:proofErr w:type="spellStart"/>
      <w:r w:rsidRPr="00A2551C" w:rsidR="00146316">
        <w:rPr>
          <w:lang w:val="fr-FR"/>
        </w:rPr>
        <w:t>Basmanni</w:t>
      </w:r>
      <w:proofErr w:type="spellEnd"/>
      <w:r w:rsidRPr="00A2551C" w:rsidR="00146316">
        <w:rPr>
          <w:lang w:val="fr-FR"/>
        </w:rPr>
        <w:t xml:space="preserve"> de la ville de Moscou autorisa </w:t>
      </w:r>
      <w:r w:rsidRPr="00A2551C" w:rsidR="00840242">
        <w:rPr>
          <w:lang w:val="fr-FR"/>
        </w:rPr>
        <w:t xml:space="preserve">le </w:t>
      </w:r>
      <w:r w:rsidRPr="00A2551C" w:rsidR="00146316">
        <w:rPr>
          <w:lang w:val="fr-FR"/>
        </w:rPr>
        <w:t xml:space="preserve">placement </w:t>
      </w:r>
      <w:r w:rsidRPr="00A2551C" w:rsidR="00840242">
        <w:rPr>
          <w:lang w:val="fr-FR"/>
        </w:rPr>
        <w:t xml:space="preserve">du requérant </w:t>
      </w:r>
      <w:r w:rsidRPr="00A2551C" w:rsidR="00146316">
        <w:rPr>
          <w:lang w:val="fr-FR"/>
        </w:rPr>
        <w:t xml:space="preserve">en détention provisoire aux motifs </w:t>
      </w:r>
      <w:r w:rsidRPr="00A2551C" w:rsidR="00840242">
        <w:rPr>
          <w:lang w:val="fr-FR"/>
        </w:rPr>
        <w:t>que celui-ci</w:t>
      </w:r>
      <w:r w:rsidRPr="00A2551C" w:rsidR="00146316">
        <w:rPr>
          <w:lang w:val="fr-FR"/>
        </w:rPr>
        <w:t xml:space="preserve"> était accusé d</w:t>
      </w:r>
      <w:r w:rsidRPr="00A2551C" w:rsidR="00A2551C">
        <w:rPr>
          <w:lang w:val="fr-FR"/>
        </w:rPr>
        <w:t>’</w:t>
      </w:r>
      <w:r w:rsidRPr="00A2551C" w:rsidR="00146316">
        <w:rPr>
          <w:lang w:val="fr-FR"/>
        </w:rPr>
        <w:t>une infraction particulièrement grave et que, s</w:t>
      </w:r>
      <w:r w:rsidRPr="00A2551C" w:rsidR="00A2551C">
        <w:rPr>
          <w:lang w:val="fr-FR"/>
        </w:rPr>
        <w:t>’</w:t>
      </w:r>
      <w:r w:rsidRPr="00A2551C" w:rsidR="00146316">
        <w:rPr>
          <w:lang w:val="fr-FR"/>
        </w:rPr>
        <w:t>il restait en liberté, il risquait de se soustraire aux poursuites judiciaires et d</w:t>
      </w:r>
      <w:r w:rsidRPr="00A2551C" w:rsidR="00A2551C">
        <w:rPr>
          <w:lang w:val="fr-FR"/>
        </w:rPr>
        <w:t>’</w:t>
      </w:r>
      <w:r w:rsidRPr="00A2551C" w:rsidR="00146316">
        <w:rPr>
          <w:lang w:val="fr-FR"/>
        </w:rPr>
        <w:t>exercer une pression sur des témoins ou sur les autres participants à la procédure pénale.</w:t>
      </w:r>
    </w:p>
    <w:p w:rsidRPr="00A2551C" w:rsidR="0076324D"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w:t>
      </w:r>
      <w:r w:rsidRPr="00A2551C">
        <w:rPr>
          <w:lang w:val="fr-FR"/>
        </w:rPr>
        <w:fldChar w:fldCharType="end"/>
      </w:r>
      <w:r w:rsidRPr="00A2551C">
        <w:rPr>
          <w:lang w:val="fr-FR"/>
        </w:rPr>
        <w:t>.  </w:t>
      </w:r>
      <w:r w:rsidRPr="00A2551C" w:rsidR="00146316">
        <w:rPr>
          <w:lang w:val="fr-FR"/>
        </w:rPr>
        <w:t xml:space="preserve">Ultérieurement, les charges portées contre le requérant furent complétées ; </w:t>
      </w:r>
      <w:r w:rsidRPr="00A2551C" w:rsidR="00F314E0">
        <w:rPr>
          <w:lang w:val="fr-FR"/>
        </w:rPr>
        <w:t xml:space="preserve">celui-ci </w:t>
      </w:r>
      <w:r w:rsidRPr="00A2551C" w:rsidR="00146316">
        <w:rPr>
          <w:lang w:val="fr-FR"/>
        </w:rPr>
        <w:t>fut ainsi accusé de plusieurs infractions commises entre 1994 et 2006, notamment de constitution et de direction d</w:t>
      </w:r>
      <w:r w:rsidRPr="00A2551C" w:rsidR="00A2551C">
        <w:rPr>
          <w:lang w:val="fr-FR"/>
        </w:rPr>
        <w:t>’</w:t>
      </w:r>
      <w:r w:rsidRPr="00A2551C" w:rsidR="00146316">
        <w:rPr>
          <w:lang w:val="fr-FR"/>
        </w:rPr>
        <w:t>une bande organisée, de sept meurtres et d</w:t>
      </w:r>
      <w:r w:rsidRPr="00A2551C" w:rsidR="00A2551C">
        <w:rPr>
          <w:lang w:val="fr-FR"/>
        </w:rPr>
        <w:t>’</w:t>
      </w:r>
      <w:r w:rsidRPr="00A2551C" w:rsidR="00146316">
        <w:rPr>
          <w:lang w:val="fr-FR"/>
        </w:rPr>
        <w:t>actes de terrorisme.</w:t>
      </w:r>
    </w:p>
    <w:bookmarkStart w:name="durdt1" w:id="1"/>
    <w:p w:rsidRPr="00A2551C" w:rsidR="004C0AC1" w:rsidP="00A2551C" w:rsidRDefault="00070DB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w:t>
      </w:r>
      <w:r w:rsidRPr="00A2551C">
        <w:rPr>
          <w:lang w:val="fr-FR"/>
        </w:rPr>
        <w:fldChar w:fldCharType="end"/>
      </w:r>
      <w:bookmarkEnd w:id="1"/>
      <w:r w:rsidRPr="00A2551C">
        <w:rPr>
          <w:lang w:val="fr-FR"/>
        </w:rPr>
        <w:t>.  </w:t>
      </w:r>
      <w:r w:rsidRPr="00A2551C" w:rsidR="00146316">
        <w:rPr>
          <w:lang w:val="fr-FR"/>
        </w:rPr>
        <w:t>La détention provisoire du requérant fut régulièrement prolong</w:t>
      </w:r>
      <w:r w:rsidRPr="00A2551C" w:rsidR="004C0AC1">
        <w:rPr>
          <w:lang w:val="fr-FR"/>
        </w:rPr>
        <w:t>ée par les juridictions internes</w:t>
      </w:r>
      <w:r w:rsidRPr="00A2551C">
        <w:rPr>
          <w:lang w:val="fr-FR"/>
        </w:rPr>
        <w:t xml:space="preserve">. Les décisions des 9 mars, 22 mai, 14 septembre et 29 décembre 2007 </w:t>
      </w:r>
      <w:r w:rsidRPr="00A2551C" w:rsidR="000A0647">
        <w:rPr>
          <w:lang w:val="fr-FR"/>
        </w:rPr>
        <w:t>justifièrent la nécessité du maintien en détention de l</w:t>
      </w:r>
      <w:r w:rsidRPr="00A2551C" w:rsidR="00A2551C">
        <w:rPr>
          <w:lang w:val="fr-FR"/>
        </w:rPr>
        <w:t>’</w:t>
      </w:r>
      <w:r w:rsidRPr="00A2551C" w:rsidR="000A0647">
        <w:rPr>
          <w:lang w:val="fr-FR"/>
        </w:rPr>
        <w:t xml:space="preserve">intéressé par </w:t>
      </w:r>
      <w:r w:rsidRPr="00A2551C">
        <w:rPr>
          <w:lang w:val="fr-FR"/>
        </w:rPr>
        <w:t>la gravité des charges portée</w:t>
      </w:r>
      <w:r w:rsidRPr="00A2551C" w:rsidR="008A7E13">
        <w:rPr>
          <w:lang w:val="fr-FR"/>
        </w:rPr>
        <w:t>s</w:t>
      </w:r>
      <w:r w:rsidRPr="00A2551C">
        <w:rPr>
          <w:lang w:val="fr-FR"/>
        </w:rPr>
        <w:t xml:space="preserve"> à </w:t>
      </w:r>
      <w:r w:rsidRPr="00A2551C" w:rsidR="000A0647">
        <w:rPr>
          <w:lang w:val="fr-FR"/>
        </w:rPr>
        <w:t xml:space="preserve">son </w:t>
      </w:r>
      <w:r w:rsidRPr="00A2551C">
        <w:rPr>
          <w:lang w:val="fr-FR"/>
        </w:rPr>
        <w:t>encontre</w:t>
      </w:r>
      <w:r w:rsidRPr="00A2551C" w:rsidR="000A0647">
        <w:rPr>
          <w:lang w:val="fr-FR"/>
        </w:rPr>
        <w:t>, par le risque de fuite de celui</w:t>
      </w:r>
      <w:r w:rsidRPr="00A2551C" w:rsidR="000A0647">
        <w:rPr>
          <w:lang w:val="fr-FR"/>
        </w:rPr>
        <w:noBreakHyphen/>
        <w:t>ci</w:t>
      </w:r>
      <w:r w:rsidRPr="00A2551C" w:rsidR="00F314E0">
        <w:rPr>
          <w:lang w:val="fr-FR"/>
        </w:rPr>
        <w:t xml:space="preserve"> et</w:t>
      </w:r>
      <w:r w:rsidRPr="00A2551C" w:rsidR="000A0647">
        <w:rPr>
          <w:lang w:val="fr-FR"/>
        </w:rPr>
        <w:t xml:space="preserve"> par la possibilité qu</w:t>
      </w:r>
      <w:r w:rsidRPr="00A2551C" w:rsidR="00A2551C">
        <w:rPr>
          <w:lang w:val="fr-FR"/>
        </w:rPr>
        <w:t>’</w:t>
      </w:r>
      <w:r w:rsidRPr="00A2551C" w:rsidR="000A0647">
        <w:rPr>
          <w:lang w:val="fr-FR"/>
        </w:rPr>
        <w:t>il puisse, en tant qu</w:t>
      </w:r>
      <w:r w:rsidRPr="00A2551C" w:rsidR="00A2551C">
        <w:rPr>
          <w:lang w:val="fr-FR"/>
        </w:rPr>
        <w:t>’</w:t>
      </w:r>
      <w:r w:rsidRPr="00A2551C" w:rsidR="000A0647">
        <w:rPr>
          <w:lang w:val="fr-FR"/>
        </w:rPr>
        <w:t>ancien sénateur, entraver le cours de la justice en exerçant des pressions sur les témoins ou sur les autres participants à la procédure pénale.</w:t>
      </w:r>
      <w:r w:rsidRPr="00A2551C" w:rsidR="0064410F">
        <w:rPr>
          <w:lang w:val="fr-FR"/>
        </w:rPr>
        <w:t xml:space="preserve"> La décision du 29 </w:t>
      </w:r>
      <w:r w:rsidRPr="00A2551C" w:rsidR="000A0647">
        <w:rPr>
          <w:lang w:val="fr-FR"/>
        </w:rPr>
        <w:t xml:space="preserve">décembre 2007 invoquait, </w:t>
      </w:r>
      <w:r w:rsidRPr="00A2551C" w:rsidR="00E63FED">
        <w:rPr>
          <w:lang w:val="fr-FR"/>
        </w:rPr>
        <w:t>en outre</w:t>
      </w:r>
      <w:r w:rsidRPr="00A2551C" w:rsidR="000A0647">
        <w:rPr>
          <w:lang w:val="fr-FR"/>
        </w:rPr>
        <w:t xml:space="preserve">, </w:t>
      </w:r>
      <w:r w:rsidRPr="00A2551C" w:rsidR="00E63FED">
        <w:rPr>
          <w:lang w:val="fr-FR"/>
        </w:rPr>
        <w:t>une nouvelle charge dirigée à l</w:t>
      </w:r>
      <w:r w:rsidRPr="00A2551C" w:rsidR="00A2551C">
        <w:rPr>
          <w:lang w:val="fr-FR"/>
        </w:rPr>
        <w:t>’</w:t>
      </w:r>
      <w:r w:rsidRPr="00A2551C" w:rsidR="00E63FED">
        <w:rPr>
          <w:lang w:val="fr-FR"/>
        </w:rPr>
        <w:t>encontre d</w:t>
      </w:r>
      <w:r w:rsidRPr="00A2551C" w:rsidR="00F314E0">
        <w:rPr>
          <w:lang w:val="fr-FR"/>
        </w:rPr>
        <w:t>u requérant</w:t>
      </w:r>
      <w:r w:rsidRPr="00A2551C" w:rsidR="00E63FED">
        <w:rPr>
          <w:lang w:val="fr-FR"/>
        </w:rPr>
        <w:t xml:space="preserve">, </w:t>
      </w:r>
      <w:r w:rsidRPr="00A2551C" w:rsidR="00E670FA">
        <w:rPr>
          <w:lang w:val="fr-FR"/>
        </w:rPr>
        <w:t>à savoir celle de</w:t>
      </w:r>
      <w:r w:rsidRPr="00A2551C" w:rsidR="00E63FED">
        <w:rPr>
          <w:lang w:val="fr-FR"/>
        </w:rPr>
        <w:t xml:space="preserve"> tentative de </w:t>
      </w:r>
      <w:r w:rsidRPr="00A2551C" w:rsidR="00E670FA">
        <w:rPr>
          <w:lang w:val="fr-FR"/>
        </w:rPr>
        <w:t>transmission d</w:t>
      </w:r>
      <w:r w:rsidRPr="00A2551C" w:rsidR="00A2551C">
        <w:rPr>
          <w:lang w:val="fr-FR"/>
        </w:rPr>
        <w:t>’</w:t>
      </w:r>
      <w:r w:rsidRPr="00A2551C" w:rsidR="001447BE">
        <w:rPr>
          <w:lang w:val="fr-FR"/>
        </w:rPr>
        <w:t>un pot</w:t>
      </w:r>
      <w:r w:rsidRPr="00A2551C" w:rsidR="001447BE">
        <w:rPr>
          <w:lang w:val="fr-FR"/>
        </w:rPr>
        <w:noBreakHyphen/>
        <w:t>de</w:t>
      </w:r>
      <w:r w:rsidRPr="00A2551C" w:rsidR="001447BE">
        <w:rPr>
          <w:lang w:val="fr-FR"/>
        </w:rPr>
        <w:noBreakHyphen/>
      </w:r>
      <w:r w:rsidRPr="00A2551C" w:rsidR="00E63FED">
        <w:rPr>
          <w:lang w:val="fr-FR"/>
        </w:rPr>
        <w:t xml:space="preserve">vin </w:t>
      </w:r>
      <w:r w:rsidRPr="00A2551C" w:rsidR="007E19B6">
        <w:rPr>
          <w:lang w:val="fr-FR"/>
        </w:rPr>
        <w:t>en juin 2006</w:t>
      </w:r>
      <w:r w:rsidRPr="00A2551C" w:rsidR="00E63FED">
        <w:rPr>
          <w:lang w:val="fr-FR"/>
        </w:rPr>
        <w:t>.</w:t>
      </w:r>
    </w:p>
    <w:bookmarkStart w:name="durdt2" w:id="2"/>
    <w:p w:rsidRPr="00A2551C" w:rsidR="00146316" w:rsidP="00A2551C" w:rsidRDefault="004C0AC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w:t>
      </w:r>
      <w:r w:rsidRPr="00A2551C">
        <w:rPr>
          <w:lang w:val="fr-FR"/>
        </w:rPr>
        <w:fldChar w:fldCharType="end"/>
      </w:r>
      <w:bookmarkEnd w:id="2"/>
      <w:r w:rsidRPr="00A2551C">
        <w:rPr>
          <w:lang w:val="fr-FR"/>
        </w:rPr>
        <w:t>.  Dans l</w:t>
      </w:r>
      <w:r w:rsidRPr="00A2551C" w:rsidR="00E63FED">
        <w:rPr>
          <w:lang w:val="fr-FR"/>
        </w:rPr>
        <w:t>es décisions des 17 avril, 9 juillet, 19 août</w:t>
      </w:r>
      <w:r w:rsidRPr="00A2551C">
        <w:rPr>
          <w:lang w:val="fr-FR"/>
        </w:rPr>
        <w:t xml:space="preserve">, </w:t>
      </w:r>
      <w:r w:rsidRPr="00A2551C" w:rsidR="005769ED">
        <w:rPr>
          <w:lang w:val="fr-FR"/>
        </w:rPr>
        <w:t>11 novembre et</w:t>
      </w:r>
      <w:r w:rsidRPr="00A2551C" w:rsidR="0064410F">
        <w:rPr>
          <w:lang w:val="fr-FR"/>
        </w:rPr>
        <w:t xml:space="preserve"> 23 </w:t>
      </w:r>
      <w:r w:rsidRPr="00A2551C">
        <w:rPr>
          <w:lang w:val="fr-FR"/>
        </w:rPr>
        <w:t xml:space="preserve">décembre </w:t>
      </w:r>
      <w:r w:rsidRPr="00A2551C" w:rsidR="00E63FED">
        <w:rPr>
          <w:lang w:val="fr-FR"/>
        </w:rPr>
        <w:t>2008</w:t>
      </w:r>
      <w:r w:rsidRPr="00A2551C" w:rsidR="005769ED">
        <w:rPr>
          <w:lang w:val="fr-FR"/>
        </w:rPr>
        <w:t xml:space="preserve"> et du 19 mars 2009, </w:t>
      </w:r>
      <w:r w:rsidRPr="00A2551C">
        <w:rPr>
          <w:lang w:val="fr-FR"/>
        </w:rPr>
        <w:t>les juridictions internes réitérèrent les motifs retenus précédemment pour prolonger la détention provisoire d</w:t>
      </w:r>
      <w:r w:rsidRPr="00A2551C" w:rsidR="00E670FA">
        <w:rPr>
          <w:lang w:val="fr-FR"/>
        </w:rPr>
        <w:t xml:space="preserve">u requérant et </w:t>
      </w:r>
      <w:r w:rsidRPr="00A2551C">
        <w:rPr>
          <w:lang w:val="fr-FR"/>
        </w:rPr>
        <w:t xml:space="preserve">invoquèrent </w:t>
      </w:r>
      <w:r w:rsidRPr="00A2551C" w:rsidR="00E670FA">
        <w:rPr>
          <w:lang w:val="fr-FR"/>
        </w:rPr>
        <w:t xml:space="preserve">également </w:t>
      </w:r>
      <w:r w:rsidRPr="00A2551C">
        <w:rPr>
          <w:lang w:val="fr-FR"/>
        </w:rPr>
        <w:t>la complexité de l</w:t>
      </w:r>
      <w:r w:rsidRPr="00A2551C" w:rsidR="00A2551C">
        <w:rPr>
          <w:lang w:val="fr-FR"/>
        </w:rPr>
        <w:t>’</w:t>
      </w:r>
      <w:r w:rsidRPr="00A2551C">
        <w:rPr>
          <w:lang w:val="fr-FR"/>
        </w:rPr>
        <w:t>affaire, le nombre élevé d</w:t>
      </w:r>
      <w:r w:rsidRPr="00A2551C" w:rsidR="00A2551C">
        <w:rPr>
          <w:lang w:val="fr-FR"/>
        </w:rPr>
        <w:t>’</w:t>
      </w:r>
      <w:r w:rsidRPr="00A2551C">
        <w:rPr>
          <w:lang w:val="fr-FR"/>
        </w:rPr>
        <w:t>accusés et la nécessité de permettre à ces derniers de terminer la lecture du dossier pénal</w:t>
      </w:r>
      <w:r w:rsidRPr="00A2551C" w:rsidR="00155841">
        <w:rPr>
          <w:lang w:val="fr-FR"/>
        </w:rPr>
        <w:t>. Il ressort de la décision du 9 juillet 2008 que l</w:t>
      </w:r>
      <w:r w:rsidRPr="00A2551C" w:rsidR="00A2551C">
        <w:rPr>
          <w:lang w:val="fr-FR"/>
        </w:rPr>
        <w:t>’</w:t>
      </w:r>
      <w:r w:rsidRPr="00A2551C" w:rsidR="00155841">
        <w:rPr>
          <w:lang w:val="fr-FR"/>
        </w:rPr>
        <w:t>enquête pénale à l</w:t>
      </w:r>
      <w:r w:rsidRPr="00A2551C" w:rsidR="00A2551C">
        <w:rPr>
          <w:lang w:val="fr-FR"/>
        </w:rPr>
        <w:t>’</w:t>
      </w:r>
      <w:r w:rsidRPr="00A2551C" w:rsidR="00155841">
        <w:rPr>
          <w:lang w:val="fr-FR"/>
        </w:rPr>
        <w:t xml:space="preserve">égard de </w:t>
      </w:r>
      <w:r w:rsidRPr="00A2551C" w:rsidR="005769ED">
        <w:rPr>
          <w:lang w:val="fr-FR"/>
        </w:rPr>
        <w:t xml:space="preserve">tous les accusés </w:t>
      </w:r>
      <w:r w:rsidRPr="00A2551C" w:rsidR="00E670FA">
        <w:rPr>
          <w:lang w:val="fr-FR"/>
        </w:rPr>
        <w:t>s</w:t>
      </w:r>
      <w:r w:rsidRPr="00A2551C" w:rsidR="00A2551C">
        <w:rPr>
          <w:lang w:val="fr-FR"/>
        </w:rPr>
        <w:t>’</w:t>
      </w:r>
      <w:r w:rsidRPr="00A2551C" w:rsidR="00E670FA">
        <w:rPr>
          <w:lang w:val="fr-FR"/>
        </w:rPr>
        <w:t>était</w:t>
      </w:r>
      <w:r w:rsidRPr="00A2551C" w:rsidR="0064410F">
        <w:rPr>
          <w:lang w:val="fr-FR"/>
        </w:rPr>
        <w:t xml:space="preserve"> terminée le 14 </w:t>
      </w:r>
      <w:r w:rsidRPr="00A2551C" w:rsidR="00155841">
        <w:rPr>
          <w:lang w:val="fr-FR"/>
        </w:rPr>
        <w:t>mai</w:t>
      </w:r>
      <w:r w:rsidRPr="00A2551C" w:rsidR="00E670FA">
        <w:rPr>
          <w:lang w:val="fr-FR"/>
        </w:rPr>
        <w:t> </w:t>
      </w:r>
      <w:r w:rsidRPr="00A2551C" w:rsidR="00155841">
        <w:rPr>
          <w:lang w:val="fr-FR"/>
        </w:rPr>
        <w:t xml:space="preserve">2008 et que les accusés et leurs avocats </w:t>
      </w:r>
      <w:r w:rsidRPr="00A2551C" w:rsidR="00C22FBC">
        <w:rPr>
          <w:lang w:val="fr-FR"/>
        </w:rPr>
        <w:t xml:space="preserve">avaient </w:t>
      </w:r>
      <w:r w:rsidRPr="00A2551C" w:rsidR="00155841">
        <w:rPr>
          <w:lang w:val="fr-FR"/>
        </w:rPr>
        <w:t>commenc</w:t>
      </w:r>
      <w:r w:rsidRPr="00A2551C" w:rsidR="00C22FBC">
        <w:rPr>
          <w:lang w:val="fr-FR"/>
        </w:rPr>
        <w:t xml:space="preserve">é </w:t>
      </w:r>
      <w:r w:rsidRPr="00A2551C" w:rsidR="00155841">
        <w:rPr>
          <w:lang w:val="fr-FR"/>
        </w:rPr>
        <w:t xml:space="preserve">la lecture du </w:t>
      </w:r>
      <w:r w:rsidRPr="00A2551C" w:rsidR="00C22FBC">
        <w:rPr>
          <w:lang w:val="fr-FR"/>
        </w:rPr>
        <w:t>dossier pénal</w:t>
      </w:r>
      <w:r w:rsidRPr="00A2551C" w:rsidR="00E670FA">
        <w:rPr>
          <w:lang w:val="fr-FR"/>
        </w:rPr>
        <w:t xml:space="preserve"> le 25 mai 2008</w:t>
      </w:r>
      <w:r w:rsidRPr="00A2551C" w:rsidR="00C22FBC">
        <w:rPr>
          <w:lang w:val="fr-FR"/>
        </w:rPr>
        <w:t>.</w:t>
      </w:r>
    </w:p>
    <w:p w:rsidRPr="00A2551C" w:rsidR="006412E8" w:rsidP="00A2551C" w:rsidRDefault="006412E8">
      <w:pPr>
        <w:pStyle w:val="ECHRHeading3"/>
        <w:rPr>
          <w:lang w:val="fr-FR"/>
        </w:rPr>
      </w:pPr>
      <w:r w:rsidRPr="00A2551C">
        <w:rPr>
          <w:lang w:val="fr-FR"/>
        </w:rPr>
        <w:t>2.  La détention provisoire du re</w:t>
      </w:r>
      <w:r w:rsidRPr="00A2551C" w:rsidR="00BA02C2">
        <w:rPr>
          <w:lang w:val="fr-FR"/>
        </w:rPr>
        <w:t>quérant pendant le procès pénal</w:t>
      </w:r>
    </w:p>
    <w:p w:rsidRPr="00A2551C" w:rsidR="006412E8" w:rsidP="00A2551C" w:rsidRDefault="006412E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w:t>
      </w:r>
      <w:r w:rsidRPr="00A2551C">
        <w:rPr>
          <w:lang w:val="fr-FR"/>
        </w:rPr>
        <w:fldChar w:fldCharType="end"/>
      </w:r>
      <w:r w:rsidRPr="00A2551C">
        <w:rPr>
          <w:lang w:val="fr-FR"/>
        </w:rPr>
        <w:t>.  À la fin des investigations préliminaires menées dans le cadre de la procédure pénale dirigée contre le requérant, treize personnes</w:t>
      </w:r>
      <w:r w:rsidRPr="00A2551C" w:rsidR="008A7E13">
        <w:rPr>
          <w:lang w:val="fr-FR"/>
        </w:rPr>
        <w:t>,</w:t>
      </w:r>
      <w:r w:rsidRPr="00A2551C" w:rsidR="00E670FA">
        <w:rPr>
          <w:lang w:val="fr-FR"/>
        </w:rPr>
        <w:t xml:space="preserve"> dont l</w:t>
      </w:r>
      <w:r w:rsidRPr="00A2551C" w:rsidR="00A2551C">
        <w:rPr>
          <w:lang w:val="fr-FR"/>
        </w:rPr>
        <w:t>’</w:t>
      </w:r>
      <w:r w:rsidRPr="00A2551C" w:rsidR="00E670FA">
        <w:rPr>
          <w:lang w:val="fr-FR"/>
        </w:rPr>
        <w:t>intéressé</w:t>
      </w:r>
      <w:r w:rsidRPr="00A2551C" w:rsidR="008A7E13">
        <w:rPr>
          <w:lang w:val="fr-FR"/>
        </w:rPr>
        <w:t>,</w:t>
      </w:r>
      <w:r w:rsidRPr="00A2551C">
        <w:rPr>
          <w:lang w:val="fr-FR"/>
        </w:rPr>
        <w:t xml:space="preserve"> furent traduites en justice pour diverses infractions commises en bande organisée. L</w:t>
      </w:r>
      <w:r w:rsidRPr="00A2551C" w:rsidR="00A2551C">
        <w:rPr>
          <w:lang w:val="fr-FR"/>
        </w:rPr>
        <w:t>’</w:t>
      </w:r>
      <w:r w:rsidRPr="00A2551C">
        <w:rPr>
          <w:lang w:val="fr-FR"/>
        </w:rPr>
        <w:t xml:space="preserve">affaire pénale fut </w:t>
      </w:r>
      <w:r w:rsidRPr="00A2551C" w:rsidR="00C22FBC">
        <w:rPr>
          <w:lang w:val="fr-FR"/>
        </w:rPr>
        <w:t>renvoyé</w:t>
      </w:r>
      <w:r w:rsidRPr="00A2551C" w:rsidR="00BA02C2">
        <w:rPr>
          <w:lang w:val="fr-FR"/>
        </w:rPr>
        <w:t>e</w:t>
      </w:r>
      <w:r w:rsidRPr="00A2551C" w:rsidR="00C22FBC">
        <w:rPr>
          <w:lang w:val="fr-FR"/>
        </w:rPr>
        <w:t xml:space="preserve"> </w:t>
      </w:r>
      <w:r w:rsidRPr="00A2551C" w:rsidR="003D3168">
        <w:rPr>
          <w:lang w:val="fr-FR"/>
        </w:rPr>
        <w:t xml:space="preserve">en </w:t>
      </w:r>
      <w:r w:rsidRPr="00A2551C" w:rsidR="00C22FBC">
        <w:rPr>
          <w:lang w:val="fr-FR"/>
        </w:rPr>
        <w:t>jugement</w:t>
      </w:r>
      <w:r w:rsidRPr="00A2551C">
        <w:rPr>
          <w:lang w:val="fr-FR"/>
        </w:rPr>
        <w:t xml:space="preserve"> </w:t>
      </w:r>
      <w:r w:rsidRPr="00A2551C" w:rsidR="003D3168">
        <w:rPr>
          <w:lang w:val="fr-FR"/>
        </w:rPr>
        <w:t xml:space="preserve">devant le </w:t>
      </w:r>
      <w:r w:rsidRPr="00A2551C">
        <w:rPr>
          <w:lang w:val="fr-FR"/>
        </w:rPr>
        <w:t xml:space="preserve">tribunal de </w:t>
      </w:r>
      <w:r w:rsidRPr="00A2551C" w:rsidR="00E670FA">
        <w:rPr>
          <w:lang w:val="fr-FR"/>
        </w:rPr>
        <w:t xml:space="preserve">la </w:t>
      </w:r>
      <w:r w:rsidRPr="00A2551C">
        <w:rPr>
          <w:lang w:val="fr-FR"/>
        </w:rPr>
        <w:t>ville de Moscou (</w:t>
      </w:r>
      <w:r w:rsidRPr="00A2551C" w:rsidR="00E670FA">
        <w:rPr>
          <w:lang w:val="fr-FR"/>
        </w:rPr>
        <w:t>« </w:t>
      </w:r>
      <w:r w:rsidRPr="00A2551C">
        <w:rPr>
          <w:lang w:val="fr-FR"/>
        </w:rPr>
        <w:t>le tribunal</w:t>
      </w:r>
      <w:r w:rsidRPr="00A2551C" w:rsidR="00E670FA">
        <w:rPr>
          <w:lang w:val="fr-FR"/>
        </w:rPr>
        <w:t> »</w:t>
      </w:r>
      <w:r w:rsidRPr="00A2551C">
        <w:rPr>
          <w:lang w:val="fr-FR"/>
        </w:rPr>
        <w:t>).</w:t>
      </w:r>
    </w:p>
    <w:bookmarkStart w:name="durdt3" w:id="3"/>
    <w:p w:rsidRPr="00A2551C" w:rsidR="0076324D" w:rsidP="00A2551C" w:rsidRDefault="004C0AC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w:t>
      </w:r>
      <w:r w:rsidRPr="00A2551C">
        <w:rPr>
          <w:lang w:val="fr-FR"/>
        </w:rPr>
        <w:fldChar w:fldCharType="end"/>
      </w:r>
      <w:bookmarkEnd w:id="3"/>
      <w:r w:rsidRPr="00A2551C">
        <w:rPr>
          <w:lang w:val="fr-FR"/>
        </w:rPr>
        <w:t>.  </w:t>
      </w:r>
      <w:r w:rsidRPr="00A2551C" w:rsidR="005769ED">
        <w:rPr>
          <w:lang w:val="fr-FR"/>
        </w:rPr>
        <w:t xml:space="preserve">Par une décision du 17 juin 2009, </w:t>
      </w:r>
      <w:r w:rsidRPr="00A2551C" w:rsidR="00AD4823">
        <w:rPr>
          <w:lang w:val="fr-FR"/>
        </w:rPr>
        <w:t>le tribunal</w:t>
      </w:r>
      <w:r w:rsidRPr="00A2551C" w:rsidR="005769ED">
        <w:rPr>
          <w:lang w:val="fr-FR"/>
        </w:rPr>
        <w:t xml:space="preserve"> fixa l</w:t>
      </w:r>
      <w:r w:rsidRPr="00A2551C" w:rsidR="00A2551C">
        <w:rPr>
          <w:lang w:val="fr-FR"/>
        </w:rPr>
        <w:t>’</w:t>
      </w:r>
      <w:r w:rsidRPr="00A2551C" w:rsidR="005769ED">
        <w:rPr>
          <w:lang w:val="fr-FR"/>
        </w:rPr>
        <w:t>audience préliminaire dans l</w:t>
      </w:r>
      <w:r w:rsidRPr="00A2551C" w:rsidR="00A2551C">
        <w:rPr>
          <w:lang w:val="fr-FR"/>
        </w:rPr>
        <w:t>’</w:t>
      </w:r>
      <w:r w:rsidRPr="00A2551C" w:rsidR="005769ED">
        <w:rPr>
          <w:lang w:val="fr-FR"/>
        </w:rPr>
        <w:t>affaire pénale dirigée à l</w:t>
      </w:r>
      <w:r w:rsidRPr="00A2551C" w:rsidR="00A2551C">
        <w:rPr>
          <w:lang w:val="fr-FR"/>
        </w:rPr>
        <w:t>’</w:t>
      </w:r>
      <w:r w:rsidRPr="00A2551C" w:rsidR="00AD4823">
        <w:rPr>
          <w:lang w:val="fr-FR"/>
        </w:rPr>
        <w:t>encontre du requérant</w:t>
      </w:r>
      <w:r w:rsidRPr="00A2551C" w:rsidR="005769ED">
        <w:rPr>
          <w:lang w:val="fr-FR"/>
        </w:rPr>
        <w:t xml:space="preserve"> et de ses coaccusés </w:t>
      </w:r>
      <w:r w:rsidRPr="00A2551C" w:rsidR="00C22FBC">
        <w:rPr>
          <w:lang w:val="fr-FR"/>
        </w:rPr>
        <w:t xml:space="preserve">et </w:t>
      </w:r>
      <w:r w:rsidRPr="00A2551C" w:rsidR="005769ED">
        <w:rPr>
          <w:lang w:val="fr-FR"/>
        </w:rPr>
        <w:t>ordonna en même temps le</w:t>
      </w:r>
      <w:r w:rsidRPr="00A2551C" w:rsidR="00AD4823">
        <w:rPr>
          <w:lang w:val="fr-FR"/>
        </w:rPr>
        <w:t xml:space="preserve"> </w:t>
      </w:r>
      <w:r w:rsidRPr="00A2551C" w:rsidR="005769ED">
        <w:rPr>
          <w:lang w:val="fr-FR"/>
        </w:rPr>
        <w:t xml:space="preserve">maintien </w:t>
      </w:r>
      <w:r w:rsidRPr="00A2551C" w:rsidR="00AD4823">
        <w:rPr>
          <w:lang w:val="fr-FR"/>
        </w:rPr>
        <w:t>de l</w:t>
      </w:r>
      <w:r w:rsidRPr="00A2551C" w:rsidR="00A2551C">
        <w:rPr>
          <w:lang w:val="fr-FR"/>
        </w:rPr>
        <w:t>’</w:t>
      </w:r>
      <w:r w:rsidRPr="00A2551C" w:rsidR="00AD4823">
        <w:rPr>
          <w:lang w:val="fr-FR"/>
        </w:rPr>
        <w:t xml:space="preserve">intéressé et de certains de ses coaccusés </w:t>
      </w:r>
      <w:r w:rsidRPr="00A2551C" w:rsidR="005769ED">
        <w:rPr>
          <w:lang w:val="fr-FR"/>
        </w:rPr>
        <w:t xml:space="preserve">en détention provisoire sans indiquer les motifs </w:t>
      </w:r>
      <w:r w:rsidRPr="00A2551C" w:rsidR="003D3168">
        <w:rPr>
          <w:lang w:val="fr-FR"/>
        </w:rPr>
        <w:t xml:space="preserve">ni </w:t>
      </w:r>
      <w:r w:rsidRPr="00A2551C" w:rsidR="005769ED">
        <w:rPr>
          <w:lang w:val="fr-FR"/>
        </w:rPr>
        <w:t>la durée de cette mesure.</w:t>
      </w:r>
    </w:p>
    <w:bookmarkStart w:name="durdt4" w:id="4"/>
    <w:p w:rsidRPr="00A2551C" w:rsidR="005B7CE2" w:rsidP="00A2551C" w:rsidRDefault="00AD4823">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w:t>
      </w:r>
      <w:r w:rsidRPr="00A2551C">
        <w:rPr>
          <w:lang w:val="fr-FR"/>
        </w:rPr>
        <w:fldChar w:fldCharType="end"/>
      </w:r>
      <w:bookmarkEnd w:id="4"/>
      <w:r w:rsidRPr="00A2551C">
        <w:rPr>
          <w:lang w:val="fr-FR"/>
        </w:rPr>
        <w:t>.  </w:t>
      </w:r>
      <w:r w:rsidRPr="00A2551C" w:rsidR="005B7CE2">
        <w:rPr>
          <w:lang w:val="fr-FR"/>
        </w:rPr>
        <w:t>À l</w:t>
      </w:r>
      <w:r w:rsidRPr="00A2551C" w:rsidR="00A2551C">
        <w:rPr>
          <w:lang w:val="fr-FR"/>
        </w:rPr>
        <w:t>’</w:t>
      </w:r>
      <w:r w:rsidRPr="00A2551C" w:rsidR="005B7CE2">
        <w:rPr>
          <w:lang w:val="fr-FR"/>
        </w:rPr>
        <w:t>issue de l</w:t>
      </w:r>
      <w:r w:rsidRPr="00A2551C" w:rsidR="00A2551C">
        <w:rPr>
          <w:lang w:val="fr-FR"/>
        </w:rPr>
        <w:t>’</w:t>
      </w:r>
      <w:r w:rsidRPr="00A2551C" w:rsidR="005B7CE2">
        <w:rPr>
          <w:lang w:val="fr-FR"/>
        </w:rPr>
        <w:t xml:space="preserve">audience préliminaire du </w:t>
      </w:r>
      <w:r w:rsidRPr="00A2551C">
        <w:rPr>
          <w:lang w:val="fr-FR"/>
        </w:rPr>
        <w:t xml:space="preserve">24 juin 2009, le tribunal </w:t>
      </w:r>
      <w:r w:rsidRPr="00A2551C" w:rsidR="005B7CE2">
        <w:rPr>
          <w:lang w:val="fr-FR"/>
        </w:rPr>
        <w:t>adopta une décision portant sur plusieurs aspects de la procédure, notamment sur la tenue du procès pénal à huis clos (paragraphe</w:t>
      </w:r>
      <w:r w:rsidRPr="00A2551C" w:rsidR="0064410F">
        <w:rPr>
          <w:lang w:val="fr-FR"/>
        </w:rPr>
        <w:t xml:space="preserve"> </w:t>
      </w:r>
      <w:r w:rsidRPr="00A2551C" w:rsidR="0064410F">
        <w:rPr>
          <w:lang w:val="fr-FR"/>
        </w:rPr>
        <w:fldChar w:fldCharType="begin"/>
      </w:r>
      <w:r w:rsidRPr="00A2551C" w:rsidR="0064410F">
        <w:rPr>
          <w:lang w:val="fr-FR"/>
        </w:rPr>
        <w:instrText xml:space="preserve"> REF dechclos24juin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18</w:t>
      </w:r>
      <w:r w:rsidRPr="00A2551C" w:rsidR="0064410F">
        <w:rPr>
          <w:lang w:val="fr-FR"/>
        </w:rPr>
        <w:fldChar w:fldCharType="end"/>
      </w:r>
      <w:r w:rsidRPr="00A2551C" w:rsidR="0064410F">
        <w:rPr>
          <w:lang w:val="fr-FR"/>
        </w:rPr>
        <w:t xml:space="preserve"> </w:t>
      </w:r>
      <w:r w:rsidRPr="00A2551C" w:rsidR="005B7CE2">
        <w:rPr>
          <w:lang w:val="fr-FR"/>
        </w:rPr>
        <w:t>ci</w:t>
      </w:r>
      <w:r w:rsidRPr="00A2551C" w:rsidR="005B7CE2">
        <w:rPr>
          <w:lang w:val="fr-FR"/>
        </w:rPr>
        <w:noBreakHyphen/>
        <w:t>dess</w:t>
      </w:r>
      <w:r w:rsidRPr="00A2551C" w:rsidR="0064410F">
        <w:rPr>
          <w:lang w:val="fr-FR"/>
        </w:rPr>
        <w:t>o</w:t>
      </w:r>
      <w:r w:rsidRPr="00A2551C" w:rsidR="005B7CE2">
        <w:rPr>
          <w:lang w:val="fr-FR"/>
        </w:rPr>
        <w:t xml:space="preserve">us). Il ordonna en même temps le maintien </w:t>
      </w:r>
      <w:r w:rsidRPr="00A2551C" w:rsidR="00C22FBC">
        <w:rPr>
          <w:lang w:val="fr-FR"/>
        </w:rPr>
        <w:t xml:space="preserve">du </w:t>
      </w:r>
      <w:r w:rsidRPr="00A2551C">
        <w:rPr>
          <w:lang w:val="fr-FR"/>
        </w:rPr>
        <w:t xml:space="preserve">requérant et </w:t>
      </w:r>
      <w:r w:rsidRPr="00A2551C" w:rsidR="00C22FBC">
        <w:rPr>
          <w:lang w:val="fr-FR"/>
        </w:rPr>
        <w:t xml:space="preserve">de </w:t>
      </w:r>
      <w:r w:rsidRPr="00A2551C">
        <w:rPr>
          <w:lang w:val="fr-FR"/>
        </w:rPr>
        <w:t>certains de ses c</w:t>
      </w:r>
      <w:r w:rsidRPr="00A2551C" w:rsidR="005B7CE2">
        <w:rPr>
          <w:lang w:val="fr-FR"/>
        </w:rPr>
        <w:t>oaccusés en détention provisoire au motif que</w:t>
      </w:r>
      <w:r w:rsidRPr="00A2551C">
        <w:rPr>
          <w:lang w:val="fr-FR"/>
        </w:rPr>
        <w:t xml:space="preserve"> les circonstances </w:t>
      </w:r>
      <w:r w:rsidRPr="00A2551C" w:rsidR="000262F3">
        <w:rPr>
          <w:lang w:val="fr-FR"/>
        </w:rPr>
        <w:t xml:space="preserve">ayant servi de fondement pour </w:t>
      </w:r>
      <w:r w:rsidRPr="00A2551C">
        <w:rPr>
          <w:lang w:val="fr-FR"/>
        </w:rPr>
        <w:t xml:space="preserve">leur placement en détention </w:t>
      </w:r>
      <w:r w:rsidRPr="00A2551C" w:rsidR="000262F3">
        <w:rPr>
          <w:lang w:val="fr-FR"/>
        </w:rPr>
        <w:t xml:space="preserve">provisoire </w:t>
      </w:r>
      <w:r w:rsidRPr="00A2551C">
        <w:rPr>
          <w:lang w:val="fr-FR"/>
        </w:rPr>
        <w:t>n</w:t>
      </w:r>
      <w:r w:rsidRPr="00A2551C" w:rsidR="00A2551C">
        <w:rPr>
          <w:lang w:val="fr-FR"/>
        </w:rPr>
        <w:t>’</w:t>
      </w:r>
      <w:r w:rsidRPr="00A2551C">
        <w:rPr>
          <w:lang w:val="fr-FR"/>
        </w:rPr>
        <w:t>avaient pas changé.</w:t>
      </w:r>
    </w:p>
    <w:p w:rsidRPr="00A2551C" w:rsidR="00C22FBC" w:rsidP="00A2551C" w:rsidRDefault="005B7CE2">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14</w:t>
      </w:r>
      <w:r w:rsidRPr="00A2551C">
        <w:rPr>
          <w:lang w:val="fr-FR"/>
        </w:rPr>
        <w:fldChar w:fldCharType="end"/>
      </w:r>
      <w:r w:rsidRPr="00A2551C">
        <w:rPr>
          <w:lang w:val="fr-FR"/>
        </w:rPr>
        <w:t>.  Le requérant interjeta appel de la décision du tribunal du 24 juin 2009 dans sa partie concernant son maintien en détention provisoire.</w:t>
      </w:r>
    </w:p>
    <w:p w:rsidRPr="00A2551C" w:rsidR="00146316"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15</w:t>
      </w:r>
      <w:r w:rsidRPr="00A2551C">
        <w:rPr>
          <w:lang w:val="fr-FR"/>
        </w:rPr>
        <w:fldChar w:fldCharType="end"/>
      </w:r>
      <w:r w:rsidRPr="00A2551C">
        <w:rPr>
          <w:lang w:val="fr-FR"/>
        </w:rPr>
        <w:t>.  </w:t>
      </w:r>
      <w:r w:rsidRPr="00A2551C" w:rsidR="00146316">
        <w:rPr>
          <w:lang w:val="fr-FR"/>
        </w:rPr>
        <w:t xml:space="preserve">Le </w:t>
      </w:r>
      <w:r w:rsidRPr="00A2551C" w:rsidR="00AD4823">
        <w:rPr>
          <w:lang w:val="fr-FR"/>
        </w:rPr>
        <w:t>9 septembre</w:t>
      </w:r>
      <w:r w:rsidRPr="00A2551C" w:rsidR="00146316">
        <w:rPr>
          <w:lang w:val="fr-FR"/>
        </w:rPr>
        <w:t xml:space="preserve"> 2010, la Cour suprême russe rejeta l</w:t>
      </w:r>
      <w:r w:rsidRPr="00A2551C" w:rsidR="00A2551C">
        <w:rPr>
          <w:lang w:val="fr-FR"/>
        </w:rPr>
        <w:t>’</w:t>
      </w:r>
      <w:r w:rsidRPr="00A2551C" w:rsidR="000C2E2E">
        <w:rPr>
          <w:lang w:val="fr-FR"/>
        </w:rPr>
        <w:t>appel</w:t>
      </w:r>
      <w:r w:rsidRPr="00A2551C" w:rsidR="00146316">
        <w:rPr>
          <w:lang w:val="fr-FR"/>
        </w:rPr>
        <w:t xml:space="preserve"> fo</w:t>
      </w:r>
      <w:r w:rsidRPr="00A2551C" w:rsidR="000C2E2E">
        <w:rPr>
          <w:lang w:val="fr-FR"/>
        </w:rPr>
        <w:t>rmé</w:t>
      </w:r>
      <w:r w:rsidRPr="00A2551C" w:rsidR="00AD4823">
        <w:rPr>
          <w:lang w:val="fr-FR"/>
        </w:rPr>
        <w:t xml:space="preserve"> par le requérant contre l</w:t>
      </w:r>
      <w:r w:rsidRPr="00A2551C" w:rsidR="000C2E2E">
        <w:rPr>
          <w:lang w:val="fr-FR"/>
        </w:rPr>
        <w:t>a décision</w:t>
      </w:r>
      <w:r w:rsidRPr="00A2551C" w:rsidR="00AD4823">
        <w:rPr>
          <w:lang w:val="fr-FR"/>
        </w:rPr>
        <w:t xml:space="preserve"> du tribunal </w:t>
      </w:r>
      <w:r w:rsidRPr="00A2551C" w:rsidR="000C2E2E">
        <w:rPr>
          <w:lang w:val="fr-FR"/>
        </w:rPr>
        <w:t>du</w:t>
      </w:r>
      <w:r w:rsidRPr="00A2551C" w:rsidR="00AD4823">
        <w:rPr>
          <w:lang w:val="fr-FR"/>
        </w:rPr>
        <w:t xml:space="preserve"> 24 juin 2009</w:t>
      </w:r>
      <w:r w:rsidRPr="00A2551C" w:rsidR="000C2E2E">
        <w:rPr>
          <w:lang w:val="fr-FR"/>
        </w:rPr>
        <w:t>. Elle fit siennes les conclusions du juge de première instance quant à la nécessité de reconduire la mesure de détention provisoire du requérant.</w:t>
      </w:r>
    </w:p>
    <w:bookmarkStart w:name="durdt5" w:id="5"/>
    <w:p w:rsidRPr="00A2551C" w:rsidR="00F979CE" w:rsidP="00A2551C" w:rsidRDefault="000C2E2E">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16</w:t>
      </w:r>
      <w:r w:rsidRPr="00A2551C">
        <w:rPr>
          <w:lang w:val="fr-FR"/>
        </w:rPr>
        <w:fldChar w:fldCharType="end"/>
      </w:r>
      <w:bookmarkEnd w:id="5"/>
      <w:r w:rsidRPr="00A2551C">
        <w:rPr>
          <w:lang w:val="fr-FR"/>
        </w:rPr>
        <w:t xml:space="preserve">.  Ultérieurement, le tribunal prorogea la détention provisoire du requérant et de certains de ses coaccusés par </w:t>
      </w:r>
      <w:r w:rsidRPr="00A2551C" w:rsidR="001944D4">
        <w:rPr>
          <w:lang w:val="fr-FR"/>
        </w:rPr>
        <w:t>d</w:t>
      </w:r>
      <w:r w:rsidRPr="00A2551C">
        <w:rPr>
          <w:lang w:val="fr-FR"/>
        </w:rPr>
        <w:t>es décisions du 25 novembre 2009</w:t>
      </w:r>
      <w:r w:rsidRPr="00A2551C" w:rsidR="00C459C2">
        <w:rPr>
          <w:lang w:val="fr-FR"/>
        </w:rPr>
        <w:t xml:space="preserve"> et</w:t>
      </w:r>
      <w:r w:rsidRPr="00A2551C">
        <w:rPr>
          <w:lang w:val="fr-FR"/>
        </w:rPr>
        <w:t xml:space="preserve"> </w:t>
      </w:r>
      <w:r w:rsidRPr="00A2551C" w:rsidR="00C459C2">
        <w:rPr>
          <w:lang w:val="fr-FR"/>
        </w:rPr>
        <w:t xml:space="preserve">des </w:t>
      </w:r>
      <w:r w:rsidRPr="00A2551C">
        <w:rPr>
          <w:lang w:val="fr-FR"/>
        </w:rPr>
        <w:t>2 mars, 12 et 19 mai</w:t>
      </w:r>
      <w:r w:rsidRPr="00A2551C" w:rsidR="005D1B3B">
        <w:rPr>
          <w:lang w:val="fr-FR"/>
        </w:rPr>
        <w:t xml:space="preserve">, </w:t>
      </w:r>
      <w:r w:rsidRPr="00A2551C" w:rsidR="001944D4">
        <w:rPr>
          <w:lang w:val="fr-FR"/>
        </w:rPr>
        <w:t>31 août et 16 novembre</w:t>
      </w:r>
      <w:r w:rsidRPr="00A2551C">
        <w:rPr>
          <w:lang w:val="fr-FR"/>
        </w:rPr>
        <w:t xml:space="preserve"> 2010</w:t>
      </w:r>
      <w:r w:rsidRPr="00A2551C" w:rsidR="00F979CE">
        <w:rPr>
          <w:lang w:val="fr-FR"/>
        </w:rPr>
        <w:t xml:space="preserve">. </w:t>
      </w:r>
      <w:r w:rsidRPr="00A2551C" w:rsidR="005D1B3B">
        <w:rPr>
          <w:lang w:val="fr-FR"/>
        </w:rPr>
        <w:t>Dans ces décisions, il motiva le maintien du requérant en détention provisoire par</w:t>
      </w:r>
      <w:r w:rsidRPr="00A2551C" w:rsidR="00F979CE">
        <w:rPr>
          <w:lang w:val="fr-FR"/>
        </w:rPr>
        <w:t xml:space="preserve"> la </w:t>
      </w:r>
      <w:r w:rsidRPr="00A2551C" w:rsidR="005D1B3B">
        <w:rPr>
          <w:lang w:val="fr-FR"/>
        </w:rPr>
        <w:t xml:space="preserve">gravité des charges portées à son encontre ainsi que </w:t>
      </w:r>
      <w:r w:rsidRPr="00A2551C" w:rsidR="003920D5">
        <w:rPr>
          <w:lang w:val="fr-FR"/>
        </w:rPr>
        <w:t xml:space="preserve">par </w:t>
      </w:r>
      <w:r w:rsidRPr="00A2551C" w:rsidR="005D1B3B">
        <w:rPr>
          <w:lang w:val="fr-FR"/>
        </w:rPr>
        <w:t>la complexité de l</w:t>
      </w:r>
      <w:r w:rsidRPr="00A2551C" w:rsidR="00A2551C">
        <w:rPr>
          <w:lang w:val="fr-FR"/>
        </w:rPr>
        <w:t>’</w:t>
      </w:r>
      <w:r w:rsidRPr="00A2551C" w:rsidR="005D1B3B">
        <w:rPr>
          <w:lang w:val="fr-FR"/>
        </w:rPr>
        <w:t>affaire pénale</w:t>
      </w:r>
      <w:r w:rsidRPr="00A2551C" w:rsidR="00E5370B">
        <w:rPr>
          <w:lang w:val="fr-FR"/>
        </w:rPr>
        <w:t xml:space="preserve"> soumise à </w:t>
      </w:r>
      <w:r w:rsidRPr="00A2551C" w:rsidR="00C459C2">
        <w:rPr>
          <w:lang w:val="fr-FR"/>
        </w:rPr>
        <w:t>son examen</w:t>
      </w:r>
      <w:r w:rsidRPr="00A2551C" w:rsidR="005D1B3B">
        <w:rPr>
          <w:lang w:val="fr-FR"/>
        </w:rPr>
        <w:t>.</w:t>
      </w:r>
    </w:p>
    <w:p w:rsidRPr="00A2551C" w:rsidR="001944D4" w:rsidP="00A2551C" w:rsidRDefault="00F979CE">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17</w:t>
      </w:r>
      <w:r w:rsidRPr="00A2551C">
        <w:rPr>
          <w:lang w:val="fr-FR"/>
        </w:rPr>
        <w:fldChar w:fldCharType="end"/>
      </w:r>
      <w:r w:rsidRPr="00A2551C">
        <w:rPr>
          <w:lang w:val="fr-FR"/>
        </w:rPr>
        <w:t>.  À des dates différentes, la Cour suprême russe</w:t>
      </w:r>
      <w:r w:rsidRPr="00A2551C" w:rsidR="00DE0932">
        <w:rPr>
          <w:lang w:val="fr-FR"/>
        </w:rPr>
        <w:t>,</w:t>
      </w:r>
      <w:r w:rsidRPr="00A2551C">
        <w:rPr>
          <w:lang w:val="fr-FR"/>
        </w:rPr>
        <w:t xml:space="preserve"> </w:t>
      </w:r>
      <w:r w:rsidRPr="00A2551C" w:rsidR="00DE0932">
        <w:rPr>
          <w:lang w:val="fr-FR"/>
        </w:rPr>
        <w:t xml:space="preserve">faisant siennes les conclusions du tribunal quant à la nécessité du maintien du requérant en détention provisoire, </w:t>
      </w:r>
      <w:r w:rsidRPr="00A2551C">
        <w:rPr>
          <w:lang w:val="fr-FR"/>
        </w:rPr>
        <w:t>rejeta les appels formés par le requérant contre les décisions susmentionnées</w:t>
      </w:r>
      <w:r w:rsidRPr="00A2551C" w:rsidR="005D1B3B">
        <w:rPr>
          <w:lang w:val="fr-FR"/>
        </w:rPr>
        <w:t>.</w:t>
      </w:r>
    </w:p>
    <w:p w:rsidRPr="00A2551C" w:rsidR="00146316" w:rsidP="00A2551C" w:rsidRDefault="007263BA">
      <w:pPr>
        <w:pStyle w:val="ECHRHeading3"/>
        <w:rPr>
          <w:lang w:val="fr-FR"/>
        </w:rPr>
      </w:pPr>
      <w:r w:rsidRPr="00A2551C">
        <w:rPr>
          <w:lang w:val="fr-FR"/>
        </w:rPr>
        <w:t>3</w:t>
      </w:r>
      <w:r w:rsidRPr="00A2551C" w:rsidR="00146316">
        <w:rPr>
          <w:lang w:val="fr-FR"/>
        </w:rPr>
        <w:t>.  </w:t>
      </w:r>
      <w:r w:rsidRPr="00A2551C" w:rsidR="005B7CE2">
        <w:rPr>
          <w:lang w:val="fr-FR"/>
        </w:rPr>
        <w:t xml:space="preserve">La tenue du procès pénal à huis clos et </w:t>
      </w:r>
      <w:r w:rsidRPr="00A2551C" w:rsidR="00657348">
        <w:rPr>
          <w:lang w:val="fr-FR"/>
        </w:rPr>
        <w:t>la condamnation du requérant</w:t>
      </w:r>
    </w:p>
    <w:bookmarkStart w:name="dechclos24juin" w:id="6"/>
    <w:p w:rsidRPr="00A2551C" w:rsidR="00C22FBC" w:rsidP="00A2551C" w:rsidRDefault="00C22FB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18</w:t>
      </w:r>
      <w:r w:rsidRPr="00A2551C">
        <w:rPr>
          <w:lang w:val="fr-FR"/>
        </w:rPr>
        <w:fldChar w:fldCharType="end"/>
      </w:r>
      <w:bookmarkEnd w:id="6"/>
      <w:r w:rsidRPr="00A2551C">
        <w:rPr>
          <w:lang w:val="fr-FR"/>
        </w:rPr>
        <w:t>.  Par la décision du 24 juin 2009 prise à l</w:t>
      </w:r>
      <w:r w:rsidRPr="00A2551C" w:rsidR="00A2551C">
        <w:rPr>
          <w:lang w:val="fr-FR"/>
        </w:rPr>
        <w:t>’</w:t>
      </w:r>
      <w:r w:rsidRPr="00A2551C">
        <w:rPr>
          <w:lang w:val="fr-FR"/>
        </w:rPr>
        <w:t>issue de l</w:t>
      </w:r>
      <w:r w:rsidRPr="00A2551C" w:rsidR="00A2551C">
        <w:rPr>
          <w:lang w:val="fr-FR"/>
        </w:rPr>
        <w:t>’</w:t>
      </w:r>
      <w:r w:rsidRPr="00A2551C">
        <w:rPr>
          <w:lang w:val="fr-FR"/>
        </w:rPr>
        <w:t>audience préliminaire, le tribunal décida de tenir le procès à huis clos au motif que la publicité des débats p</w:t>
      </w:r>
      <w:r w:rsidRPr="00A2551C" w:rsidR="005B7CE2">
        <w:rPr>
          <w:lang w:val="fr-FR"/>
        </w:rPr>
        <w:t>ourrait</w:t>
      </w:r>
      <w:r w:rsidRPr="00A2551C">
        <w:rPr>
          <w:lang w:val="fr-FR"/>
        </w:rPr>
        <w:t xml:space="preserve"> </w:t>
      </w:r>
      <w:r w:rsidRPr="00A2551C" w:rsidR="00BA02C2">
        <w:rPr>
          <w:lang w:val="fr-FR"/>
        </w:rPr>
        <w:t xml:space="preserve">dévoiler </w:t>
      </w:r>
      <w:r w:rsidRPr="00A2551C" w:rsidR="00DE0932">
        <w:rPr>
          <w:lang w:val="fr-FR"/>
        </w:rPr>
        <w:t xml:space="preserve">un </w:t>
      </w:r>
      <w:r w:rsidRPr="00A2551C" w:rsidR="00BA02C2">
        <w:rPr>
          <w:lang w:val="fr-FR"/>
        </w:rPr>
        <w:t>secret d</w:t>
      </w:r>
      <w:r w:rsidRPr="00A2551C" w:rsidR="00A2551C">
        <w:rPr>
          <w:lang w:val="fr-FR"/>
        </w:rPr>
        <w:t>’</w:t>
      </w:r>
      <w:r w:rsidRPr="00A2551C" w:rsidR="00BA02C2">
        <w:rPr>
          <w:lang w:val="fr-FR"/>
        </w:rPr>
        <w:t>État ou</w:t>
      </w:r>
      <w:r w:rsidRPr="00A2551C" w:rsidR="005515AE">
        <w:rPr>
          <w:lang w:val="fr-FR"/>
        </w:rPr>
        <w:t xml:space="preserve"> </w:t>
      </w:r>
      <w:r w:rsidRPr="00A2551C" w:rsidR="00DE0932">
        <w:rPr>
          <w:lang w:val="fr-FR"/>
        </w:rPr>
        <w:t>d</w:t>
      </w:r>
      <w:r w:rsidRPr="00A2551C" w:rsidR="00A2551C">
        <w:rPr>
          <w:lang w:val="fr-FR"/>
        </w:rPr>
        <w:t>’</w:t>
      </w:r>
      <w:r w:rsidRPr="00A2551C" w:rsidR="005515AE">
        <w:rPr>
          <w:lang w:val="fr-FR"/>
        </w:rPr>
        <w:t>autre</w:t>
      </w:r>
      <w:r w:rsidRPr="00A2551C" w:rsidR="00DE0932">
        <w:rPr>
          <w:lang w:val="fr-FR"/>
        </w:rPr>
        <w:t>s</w:t>
      </w:r>
      <w:r w:rsidRPr="00A2551C" w:rsidR="005515AE">
        <w:rPr>
          <w:lang w:val="fr-FR"/>
        </w:rPr>
        <w:t xml:space="preserve"> information</w:t>
      </w:r>
      <w:r w:rsidRPr="00A2551C" w:rsidR="00DE0932">
        <w:rPr>
          <w:lang w:val="fr-FR"/>
        </w:rPr>
        <w:t>s</w:t>
      </w:r>
      <w:r w:rsidRPr="00A2551C" w:rsidR="005515AE">
        <w:rPr>
          <w:lang w:val="fr-FR"/>
        </w:rPr>
        <w:t xml:space="preserve"> class</w:t>
      </w:r>
      <w:r w:rsidRPr="00A2551C" w:rsidR="00BA02C2">
        <w:rPr>
          <w:lang w:val="fr-FR"/>
        </w:rPr>
        <w:t>ifi</w:t>
      </w:r>
      <w:r w:rsidRPr="00A2551C" w:rsidR="005515AE">
        <w:rPr>
          <w:lang w:val="fr-FR"/>
        </w:rPr>
        <w:t>ée</w:t>
      </w:r>
      <w:r w:rsidRPr="00A2551C" w:rsidR="00DE0932">
        <w:rPr>
          <w:lang w:val="fr-FR"/>
        </w:rPr>
        <w:t>s</w:t>
      </w:r>
      <w:r w:rsidRPr="00A2551C" w:rsidR="005515AE">
        <w:rPr>
          <w:lang w:val="fr-FR"/>
        </w:rPr>
        <w:t xml:space="preserve"> protégée</w:t>
      </w:r>
      <w:r w:rsidRPr="00A2551C" w:rsidR="00DE0932">
        <w:rPr>
          <w:lang w:val="fr-FR"/>
        </w:rPr>
        <w:t>s</w:t>
      </w:r>
      <w:r w:rsidRPr="00A2551C" w:rsidR="005515AE">
        <w:rPr>
          <w:lang w:val="fr-FR"/>
        </w:rPr>
        <w:t xml:space="preserve"> par la loi fédérale</w:t>
      </w:r>
      <w:r w:rsidRPr="00A2551C" w:rsidR="005B7CE2">
        <w:rPr>
          <w:lang w:val="fr-FR"/>
        </w:rPr>
        <w:t xml:space="preserve">. </w:t>
      </w:r>
      <w:r w:rsidRPr="00A2551C" w:rsidR="00E5370B">
        <w:rPr>
          <w:lang w:val="fr-FR"/>
        </w:rPr>
        <w:t>Il se basa sur l</w:t>
      </w:r>
      <w:r w:rsidRPr="00A2551C" w:rsidR="00A2551C">
        <w:rPr>
          <w:lang w:val="fr-FR"/>
        </w:rPr>
        <w:t>’</w:t>
      </w:r>
      <w:r w:rsidRPr="00A2551C" w:rsidR="002E7620">
        <w:rPr>
          <w:lang w:val="fr-FR"/>
        </w:rPr>
        <w:t>article </w:t>
      </w:r>
      <w:r w:rsidRPr="00A2551C" w:rsidR="00E5370B">
        <w:rPr>
          <w:lang w:val="fr-FR"/>
        </w:rPr>
        <w:t>241 § 2 alinéa 1 du code de procédure pénale (CPP).</w:t>
      </w:r>
    </w:p>
    <w:p w:rsidRPr="00A2551C" w:rsidR="00C22FBC" w:rsidP="00A2551C" w:rsidRDefault="00C22FB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19</w:t>
      </w:r>
      <w:r w:rsidRPr="00A2551C">
        <w:rPr>
          <w:lang w:val="fr-FR"/>
        </w:rPr>
        <w:fldChar w:fldCharType="end"/>
      </w:r>
      <w:r w:rsidRPr="00A2551C">
        <w:rPr>
          <w:lang w:val="fr-FR"/>
        </w:rPr>
        <w:t>.  Le 4 août 2009, le tribunal</w:t>
      </w:r>
      <w:r w:rsidRPr="00A2551C" w:rsidR="00325191">
        <w:rPr>
          <w:lang w:val="fr-FR"/>
        </w:rPr>
        <w:t>, composé d</w:t>
      </w:r>
      <w:r w:rsidRPr="00A2551C" w:rsidR="00A2551C">
        <w:rPr>
          <w:lang w:val="fr-FR"/>
        </w:rPr>
        <w:t>’</w:t>
      </w:r>
      <w:r w:rsidRPr="00A2551C" w:rsidR="00325191">
        <w:rPr>
          <w:lang w:val="fr-FR"/>
        </w:rPr>
        <w:t>une juge présidente et d</w:t>
      </w:r>
      <w:r w:rsidRPr="00A2551C" w:rsidR="00A2551C">
        <w:rPr>
          <w:lang w:val="fr-FR"/>
        </w:rPr>
        <w:t>’</w:t>
      </w:r>
      <w:r w:rsidRPr="00A2551C" w:rsidR="00325191">
        <w:rPr>
          <w:lang w:val="fr-FR"/>
        </w:rPr>
        <w:t>un jury,</w:t>
      </w:r>
      <w:r w:rsidRPr="00A2551C">
        <w:rPr>
          <w:lang w:val="fr-FR"/>
        </w:rPr>
        <w:t xml:space="preserve"> commença à examiner le fond de l</w:t>
      </w:r>
      <w:r w:rsidRPr="00A2551C" w:rsidR="00A2551C">
        <w:rPr>
          <w:lang w:val="fr-FR"/>
        </w:rPr>
        <w:t>’</w:t>
      </w:r>
      <w:r w:rsidRPr="00A2551C">
        <w:rPr>
          <w:lang w:val="fr-FR"/>
        </w:rPr>
        <w:t>affaire.</w:t>
      </w:r>
    </w:p>
    <w:p w:rsidRPr="00A2551C" w:rsidR="00146316"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20</w:t>
      </w:r>
      <w:r w:rsidRPr="00A2551C">
        <w:rPr>
          <w:lang w:val="fr-FR"/>
        </w:rPr>
        <w:fldChar w:fldCharType="end"/>
      </w:r>
      <w:r w:rsidRPr="00A2551C">
        <w:rPr>
          <w:lang w:val="fr-FR"/>
        </w:rPr>
        <w:t>.  </w:t>
      </w:r>
      <w:r w:rsidRPr="00A2551C" w:rsidR="00146316">
        <w:rPr>
          <w:lang w:val="fr-FR"/>
        </w:rPr>
        <w:t>Le 12</w:t>
      </w:r>
      <w:r w:rsidRPr="00A2551C" w:rsidR="00325191">
        <w:rPr>
          <w:lang w:val="fr-FR"/>
        </w:rPr>
        <w:t xml:space="preserve"> mai 2010, la juge présidente </w:t>
      </w:r>
      <w:r w:rsidRPr="00A2551C" w:rsidR="00146316">
        <w:rPr>
          <w:lang w:val="fr-FR"/>
        </w:rPr>
        <w:t>ordonna la dissolution du jury en raison de l</w:t>
      </w:r>
      <w:r w:rsidRPr="00A2551C" w:rsidR="00A2551C">
        <w:rPr>
          <w:lang w:val="fr-FR"/>
        </w:rPr>
        <w:t>’</w:t>
      </w:r>
      <w:r w:rsidRPr="00A2551C" w:rsidR="00146316">
        <w:rPr>
          <w:lang w:val="fr-FR"/>
        </w:rPr>
        <w:t>indisponibilité de l</w:t>
      </w:r>
      <w:r w:rsidRPr="00A2551C" w:rsidR="00A2551C">
        <w:rPr>
          <w:lang w:val="fr-FR"/>
        </w:rPr>
        <w:t>’</w:t>
      </w:r>
      <w:r w:rsidRPr="00A2551C" w:rsidR="00146316">
        <w:rPr>
          <w:lang w:val="fr-FR"/>
        </w:rPr>
        <w:t>un des jurés et de l</w:t>
      </w:r>
      <w:r w:rsidRPr="00A2551C" w:rsidR="00A2551C">
        <w:rPr>
          <w:lang w:val="fr-FR"/>
        </w:rPr>
        <w:t>’</w:t>
      </w:r>
      <w:r w:rsidRPr="00A2551C" w:rsidR="00146316">
        <w:rPr>
          <w:lang w:val="fr-FR"/>
        </w:rPr>
        <w:t>absence de jurés suppléants. Elle décida qu</w:t>
      </w:r>
      <w:r w:rsidRPr="00A2551C" w:rsidR="00A2551C">
        <w:rPr>
          <w:lang w:val="fr-FR"/>
        </w:rPr>
        <w:t>’</w:t>
      </w:r>
      <w:r w:rsidRPr="00A2551C" w:rsidR="00146316">
        <w:rPr>
          <w:lang w:val="fr-FR"/>
        </w:rPr>
        <w:t>il n</w:t>
      </w:r>
      <w:r w:rsidRPr="00A2551C" w:rsidR="00A2551C">
        <w:rPr>
          <w:lang w:val="fr-FR"/>
        </w:rPr>
        <w:t>’</w:t>
      </w:r>
      <w:r w:rsidRPr="00A2551C" w:rsidR="00146316">
        <w:rPr>
          <w:lang w:val="fr-FR"/>
        </w:rPr>
        <w:t>était pas nécessaire de procéder à la constitution d</w:t>
      </w:r>
      <w:r w:rsidRPr="00A2551C" w:rsidR="00A2551C">
        <w:rPr>
          <w:lang w:val="fr-FR"/>
        </w:rPr>
        <w:t>’</w:t>
      </w:r>
      <w:r w:rsidRPr="00A2551C" w:rsidR="00146316">
        <w:rPr>
          <w:lang w:val="fr-FR"/>
        </w:rPr>
        <w:t xml:space="preserve">un nouveau jury </w:t>
      </w:r>
      <w:r w:rsidRPr="00A2551C" w:rsidR="0001346E">
        <w:rPr>
          <w:lang w:val="fr-FR"/>
        </w:rPr>
        <w:t>et</w:t>
      </w:r>
      <w:r w:rsidRPr="00A2551C" w:rsidR="00146316">
        <w:rPr>
          <w:lang w:val="fr-FR"/>
        </w:rPr>
        <w:t xml:space="preserve"> fixa une date pour une nouvelle audience préliminaire.</w:t>
      </w:r>
    </w:p>
    <w:bookmarkStart w:name="aud19mai" w:id="7"/>
    <w:p w:rsidRPr="00A2551C" w:rsidR="00B77282"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21</w:t>
      </w:r>
      <w:r w:rsidRPr="00A2551C">
        <w:rPr>
          <w:lang w:val="fr-FR"/>
        </w:rPr>
        <w:fldChar w:fldCharType="end"/>
      </w:r>
      <w:bookmarkEnd w:id="7"/>
      <w:r w:rsidRPr="00A2551C">
        <w:rPr>
          <w:lang w:val="fr-FR"/>
        </w:rPr>
        <w:t>.  </w:t>
      </w:r>
      <w:r w:rsidRPr="00A2551C" w:rsidR="00146316">
        <w:rPr>
          <w:lang w:val="fr-FR"/>
        </w:rPr>
        <w:t xml:space="preserve">Le 19 mai 2010, </w:t>
      </w:r>
      <w:r w:rsidRPr="00A2551C" w:rsidR="0001346E">
        <w:rPr>
          <w:lang w:val="fr-FR"/>
        </w:rPr>
        <w:t xml:space="preserve">lors de la nouvelle </w:t>
      </w:r>
      <w:r w:rsidRPr="00A2551C" w:rsidR="00B77282">
        <w:rPr>
          <w:lang w:val="fr-FR"/>
        </w:rPr>
        <w:t>audience préliminaire, l</w:t>
      </w:r>
      <w:r w:rsidRPr="00A2551C" w:rsidR="00A2551C">
        <w:rPr>
          <w:lang w:val="fr-FR"/>
        </w:rPr>
        <w:t>’</w:t>
      </w:r>
      <w:r w:rsidRPr="00A2551C" w:rsidR="00B77282">
        <w:rPr>
          <w:lang w:val="fr-FR"/>
        </w:rPr>
        <w:t xml:space="preserve">accusation demanda que le procès se déroulât à huis clos au motif que le dossier </w:t>
      </w:r>
      <w:r w:rsidRPr="00A2551C" w:rsidR="0001346E">
        <w:rPr>
          <w:lang w:val="fr-FR"/>
        </w:rPr>
        <w:t xml:space="preserve">pénal </w:t>
      </w:r>
      <w:r w:rsidRPr="00A2551C" w:rsidR="00B77282">
        <w:rPr>
          <w:lang w:val="fr-FR"/>
        </w:rPr>
        <w:t>contenait des documents classés « </w:t>
      </w:r>
      <w:r w:rsidRPr="00A2551C" w:rsidR="0001346E">
        <w:rPr>
          <w:lang w:val="fr-FR"/>
        </w:rPr>
        <w:t xml:space="preserve">très </w:t>
      </w:r>
      <w:r w:rsidRPr="00A2551C" w:rsidR="00B77282">
        <w:rPr>
          <w:lang w:val="fr-FR"/>
        </w:rPr>
        <w:t xml:space="preserve">secret ». Le requérant demanda </w:t>
      </w:r>
      <w:r w:rsidRPr="00A2551C" w:rsidR="00DE0932">
        <w:rPr>
          <w:lang w:val="fr-FR"/>
        </w:rPr>
        <w:t>que l</w:t>
      </w:r>
      <w:r w:rsidRPr="00A2551C" w:rsidR="00A2551C">
        <w:rPr>
          <w:lang w:val="fr-FR"/>
        </w:rPr>
        <w:t>’</w:t>
      </w:r>
      <w:r w:rsidRPr="00A2551C" w:rsidR="00DE0932">
        <w:rPr>
          <w:lang w:val="fr-FR"/>
        </w:rPr>
        <w:t>affaire pénale fût examinée publiquement</w:t>
      </w:r>
      <w:r w:rsidRPr="00A2551C" w:rsidR="00B77282">
        <w:rPr>
          <w:lang w:val="fr-FR"/>
        </w:rPr>
        <w:t xml:space="preserve"> à l</w:t>
      </w:r>
      <w:r w:rsidRPr="00A2551C" w:rsidR="00A2551C">
        <w:rPr>
          <w:lang w:val="fr-FR"/>
        </w:rPr>
        <w:t>’</w:t>
      </w:r>
      <w:r w:rsidRPr="00A2551C" w:rsidR="00A577D1">
        <w:rPr>
          <w:lang w:val="fr-FR"/>
        </w:rPr>
        <w:t>exception de certains documents inclus dans le volume n</w:t>
      </w:r>
      <w:r w:rsidRPr="00A2551C" w:rsidR="00A577D1">
        <w:rPr>
          <w:vertAlign w:val="superscript"/>
          <w:lang w:val="fr-FR"/>
        </w:rPr>
        <w:t>o</w:t>
      </w:r>
      <w:r w:rsidRPr="00A2551C" w:rsidR="00A577D1">
        <w:rPr>
          <w:lang w:val="fr-FR"/>
        </w:rPr>
        <w:t> 52 du dossier pénal et portant la mention « </w:t>
      </w:r>
      <w:r w:rsidRPr="00A2551C" w:rsidR="0001346E">
        <w:rPr>
          <w:lang w:val="fr-FR"/>
        </w:rPr>
        <w:t xml:space="preserve">très </w:t>
      </w:r>
      <w:r w:rsidRPr="00A2551C" w:rsidR="00A577D1">
        <w:rPr>
          <w:lang w:val="fr-FR"/>
        </w:rPr>
        <w:t>secret ».</w:t>
      </w:r>
      <w:r w:rsidRPr="00A2551C" w:rsidR="00CB288F">
        <w:rPr>
          <w:lang w:val="fr-FR"/>
        </w:rPr>
        <w:t xml:space="preserve"> Un des avocats de la défense, M</w:t>
      </w:r>
      <w:r w:rsidRPr="00A2551C" w:rsidR="00CB288F">
        <w:rPr>
          <w:vertAlign w:val="superscript"/>
          <w:lang w:val="fr-FR"/>
        </w:rPr>
        <w:t>e</w:t>
      </w:r>
      <w:r w:rsidRPr="00A2551C" w:rsidR="0001346E">
        <w:rPr>
          <w:vertAlign w:val="superscript"/>
          <w:lang w:val="fr-FR"/>
        </w:rPr>
        <w:t> </w:t>
      </w:r>
      <w:r w:rsidRPr="00A2551C" w:rsidR="00CB288F">
        <w:rPr>
          <w:lang w:val="fr-FR"/>
        </w:rPr>
        <w:t xml:space="preserve">P., demanda </w:t>
      </w:r>
      <w:r w:rsidRPr="00A2551C" w:rsidR="0001346E">
        <w:rPr>
          <w:lang w:val="fr-FR"/>
        </w:rPr>
        <w:t xml:space="preserve">au </w:t>
      </w:r>
      <w:r w:rsidRPr="00A2551C" w:rsidR="00CB288F">
        <w:rPr>
          <w:lang w:val="fr-FR"/>
        </w:rPr>
        <w:t>tribunal de renvoyer l</w:t>
      </w:r>
      <w:r w:rsidRPr="00A2551C" w:rsidR="00A2551C">
        <w:rPr>
          <w:lang w:val="fr-FR"/>
        </w:rPr>
        <w:t>’</w:t>
      </w:r>
      <w:r w:rsidRPr="00A2551C" w:rsidR="00CB288F">
        <w:rPr>
          <w:lang w:val="fr-FR"/>
        </w:rPr>
        <w:t xml:space="preserve">affaire au procureur au motif que le classement « très secret » du dossier pénal </w:t>
      </w:r>
      <w:r w:rsidRPr="00A2551C" w:rsidR="00DE0932">
        <w:rPr>
          <w:lang w:val="fr-FR"/>
        </w:rPr>
        <w:t>avait été illégal</w:t>
      </w:r>
      <w:r w:rsidRPr="00A2551C" w:rsidR="00CB288F">
        <w:rPr>
          <w:lang w:val="fr-FR"/>
        </w:rPr>
        <w:t>.</w:t>
      </w:r>
    </w:p>
    <w:bookmarkStart w:name="dechclos19mai" w:id="8"/>
    <w:p w:rsidRPr="00A2551C" w:rsidR="0076324D" w:rsidP="00A2551C" w:rsidRDefault="00A577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22</w:t>
      </w:r>
      <w:r w:rsidRPr="00A2551C">
        <w:rPr>
          <w:lang w:val="fr-FR"/>
        </w:rPr>
        <w:fldChar w:fldCharType="end"/>
      </w:r>
      <w:bookmarkEnd w:id="8"/>
      <w:r w:rsidRPr="00A2551C">
        <w:rPr>
          <w:lang w:val="fr-FR"/>
        </w:rPr>
        <w:t xml:space="preserve">.  Par une décision du 19 mai </w:t>
      </w:r>
      <w:r w:rsidRPr="00A2551C" w:rsidR="000279E5">
        <w:rPr>
          <w:lang w:val="fr-FR"/>
        </w:rPr>
        <w:t xml:space="preserve">2010, </w:t>
      </w:r>
      <w:r w:rsidRPr="00A2551C" w:rsidR="00146316">
        <w:rPr>
          <w:lang w:val="fr-FR"/>
        </w:rPr>
        <w:t>à l</w:t>
      </w:r>
      <w:r w:rsidRPr="00A2551C" w:rsidR="00A2551C">
        <w:rPr>
          <w:lang w:val="fr-FR"/>
        </w:rPr>
        <w:t>’</w:t>
      </w:r>
      <w:r w:rsidRPr="00A2551C" w:rsidR="00146316">
        <w:rPr>
          <w:lang w:val="fr-FR"/>
        </w:rPr>
        <w:t xml:space="preserve">issue de </w:t>
      </w:r>
      <w:r w:rsidRPr="00A2551C" w:rsidR="0001346E">
        <w:rPr>
          <w:lang w:val="fr-FR"/>
        </w:rPr>
        <w:t>l</w:t>
      </w:r>
      <w:r w:rsidRPr="00A2551C" w:rsidR="00A2551C">
        <w:rPr>
          <w:lang w:val="fr-FR"/>
        </w:rPr>
        <w:t>’</w:t>
      </w:r>
      <w:r w:rsidRPr="00A2551C" w:rsidR="00146316">
        <w:rPr>
          <w:lang w:val="fr-FR"/>
        </w:rPr>
        <w:t>audience</w:t>
      </w:r>
      <w:r w:rsidRPr="00A2551C" w:rsidR="000279E5">
        <w:rPr>
          <w:lang w:val="fr-FR"/>
        </w:rPr>
        <w:t xml:space="preserve"> préliminaire</w:t>
      </w:r>
      <w:r w:rsidRPr="00A2551C" w:rsidR="00146316">
        <w:rPr>
          <w:lang w:val="fr-FR"/>
        </w:rPr>
        <w:t xml:space="preserve">, la juge </w:t>
      </w:r>
      <w:r w:rsidRPr="00A2551C" w:rsidR="00325191">
        <w:rPr>
          <w:lang w:val="fr-FR"/>
        </w:rPr>
        <w:t>présidente</w:t>
      </w:r>
      <w:r w:rsidRPr="00A2551C" w:rsidR="00146316">
        <w:rPr>
          <w:lang w:val="fr-FR"/>
        </w:rPr>
        <w:t xml:space="preserve"> décida que l</w:t>
      </w:r>
      <w:r w:rsidRPr="00A2551C" w:rsidR="00A2551C">
        <w:rPr>
          <w:lang w:val="fr-FR"/>
        </w:rPr>
        <w:t>’</w:t>
      </w:r>
      <w:r w:rsidRPr="00A2551C" w:rsidR="00146316">
        <w:rPr>
          <w:lang w:val="fr-FR"/>
        </w:rPr>
        <w:t xml:space="preserve">affaire pénale devait être examinée </w:t>
      </w:r>
      <w:r w:rsidRPr="00A2551C" w:rsidR="00325191">
        <w:rPr>
          <w:lang w:val="fr-FR"/>
        </w:rPr>
        <w:t>sur le</w:t>
      </w:r>
      <w:r w:rsidRPr="00A2551C" w:rsidR="00146316">
        <w:rPr>
          <w:lang w:val="fr-FR"/>
        </w:rPr>
        <w:t xml:space="preserve"> fond par une formation judiciaire composée de trois juges professionnels. </w:t>
      </w:r>
      <w:r w:rsidRPr="00A2551C">
        <w:rPr>
          <w:lang w:val="fr-FR"/>
        </w:rPr>
        <w:t>En ce qui concerne la publicité des débats, la décision se lisait comme suit dans ses parties pertinentes en l</w:t>
      </w:r>
      <w:r w:rsidRPr="00A2551C" w:rsidR="00A2551C">
        <w:rPr>
          <w:lang w:val="fr-FR"/>
        </w:rPr>
        <w:t>’</w:t>
      </w:r>
      <w:r w:rsidRPr="00A2551C">
        <w:rPr>
          <w:lang w:val="fr-FR"/>
        </w:rPr>
        <w:t>espèce :</w:t>
      </w:r>
    </w:p>
    <w:p w:rsidRPr="00A2551C" w:rsidR="00146316" w:rsidP="00A2551C" w:rsidRDefault="00BA02C2">
      <w:pPr>
        <w:pStyle w:val="ECHRParaQuote"/>
        <w:rPr>
          <w:lang w:val="fr-FR"/>
        </w:rPr>
      </w:pPr>
      <w:r w:rsidRPr="00A2551C">
        <w:rPr>
          <w:lang w:val="fr-FR"/>
        </w:rPr>
        <w:t>« La</w:t>
      </w:r>
      <w:r w:rsidRPr="00A2551C" w:rsidR="00A577D1">
        <w:rPr>
          <w:lang w:val="fr-FR"/>
        </w:rPr>
        <w:t xml:space="preserve"> présente affaire pénale</w:t>
      </w:r>
      <w:r w:rsidRPr="00A2551C">
        <w:rPr>
          <w:lang w:val="fr-FR"/>
        </w:rPr>
        <w:t xml:space="preserve">, </w:t>
      </w:r>
      <w:r w:rsidRPr="00A2551C" w:rsidR="00A577D1">
        <w:rPr>
          <w:lang w:val="fr-FR"/>
        </w:rPr>
        <w:t>transmis</w:t>
      </w:r>
      <w:r w:rsidRPr="00A2551C" w:rsidR="00BF4632">
        <w:rPr>
          <w:lang w:val="fr-FR"/>
        </w:rPr>
        <w:t>e</w:t>
      </w:r>
      <w:r w:rsidRPr="00A2551C" w:rsidR="00A577D1">
        <w:rPr>
          <w:lang w:val="fr-FR"/>
        </w:rPr>
        <w:t xml:space="preserve"> au tribunal de </w:t>
      </w:r>
      <w:r w:rsidRPr="00A2551C" w:rsidR="009562A4">
        <w:rPr>
          <w:lang w:val="fr-FR"/>
        </w:rPr>
        <w:t xml:space="preserve">la </w:t>
      </w:r>
      <w:r w:rsidRPr="00A2551C" w:rsidR="00A577D1">
        <w:rPr>
          <w:lang w:val="fr-FR"/>
        </w:rPr>
        <w:t xml:space="preserve">ville de Moscou pour </w:t>
      </w:r>
      <w:r w:rsidRPr="00A2551C" w:rsidR="009562A4">
        <w:rPr>
          <w:lang w:val="fr-FR"/>
        </w:rPr>
        <w:t xml:space="preserve">être examinée </w:t>
      </w:r>
      <w:r w:rsidRPr="00A2551C" w:rsidR="00A577D1">
        <w:rPr>
          <w:lang w:val="fr-FR"/>
        </w:rPr>
        <w:t>sur le fond</w:t>
      </w:r>
      <w:r w:rsidRPr="00A2551C">
        <w:rPr>
          <w:lang w:val="fr-FR"/>
        </w:rPr>
        <w:t>,</w:t>
      </w:r>
      <w:r w:rsidRPr="00A2551C" w:rsidR="00A577D1">
        <w:rPr>
          <w:lang w:val="fr-FR"/>
        </w:rPr>
        <w:t xml:space="preserve"> </w:t>
      </w:r>
      <w:r w:rsidRPr="00A2551C">
        <w:rPr>
          <w:lang w:val="fr-FR"/>
        </w:rPr>
        <w:t xml:space="preserve">porte la mention </w:t>
      </w:r>
      <w:r w:rsidRPr="00A2551C" w:rsidR="00A577D1">
        <w:rPr>
          <w:lang w:val="fr-FR"/>
        </w:rPr>
        <w:t>« </w:t>
      </w:r>
      <w:r w:rsidRPr="00A2551C" w:rsidR="000E0460">
        <w:rPr>
          <w:lang w:val="fr-FR"/>
        </w:rPr>
        <w:t>très secret</w:t>
      </w:r>
      <w:r w:rsidRPr="00A2551C" w:rsidR="00A577D1">
        <w:rPr>
          <w:lang w:val="fr-FR"/>
        </w:rPr>
        <w:t> »</w:t>
      </w:r>
      <w:r w:rsidRPr="00A2551C" w:rsidR="00BF4632">
        <w:rPr>
          <w:lang w:val="fr-FR"/>
        </w:rPr>
        <w:t xml:space="preserve"> </w:t>
      </w:r>
      <w:r w:rsidRPr="00A2551C" w:rsidR="005515AE">
        <w:rPr>
          <w:lang w:val="fr-FR"/>
        </w:rPr>
        <w:t>et</w:t>
      </w:r>
      <w:r w:rsidRPr="00A2551C" w:rsidR="00BF4632">
        <w:rPr>
          <w:lang w:val="fr-FR"/>
        </w:rPr>
        <w:t>, conforméme</w:t>
      </w:r>
      <w:r w:rsidRPr="00A2551C" w:rsidR="005515AE">
        <w:rPr>
          <w:lang w:val="fr-FR"/>
        </w:rPr>
        <w:t>nt à l</w:t>
      </w:r>
      <w:r w:rsidRPr="00A2551C" w:rsidR="00A2551C">
        <w:rPr>
          <w:lang w:val="fr-FR"/>
        </w:rPr>
        <w:t>’</w:t>
      </w:r>
      <w:r w:rsidRPr="00A2551C" w:rsidR="005515AE">
        <w:rPr>
          <w:lang w:val="fr-FR"/>
        </w:rPr>
        <w:t xml:space="preserve">article 241 § 2 alinéa 1, doit être examinée [sur le fond] à huis clos puisque son examen public </w:t>
      </w:r>
      <w:r w:rsidRPr="00A2551C">
        <w:rPr>
          <w:lang w:val="fr-FR"/>
        </w:rPr>
        <w:t>risquerait de</w:t>
      </w:r>
      <w:r w:rsidRPr="00A2551C" w:rsidR="005515AE">
        <w:rPr>
          <w:lang w:val="fr-FR"/>
        </w:rPr>
        <w:t xml:space="preserve"> </w:t>
      </w:r>
      <w:r w:rsidRPr="00A2551C">
        <w:rPr>
          <w:lang w:val="fr-FR"/>
        </w:rPr>
        <w:t>dévoiler</w:t>
      </w:r>
      <w:r w:rsidRPr="00A2551C" w:rsidR="00325191">
        <w:rPr>
          <w:lang w:val="fr-FR"/>
        </w:rPr>
        <w:t xml:space="preserve"> </w:t>
      </w:r>
      <w:r w:rsidRPr="00A2551C" w:rsidR="009562A4">
        <w:rPr>
          <w:lang w:val="fr-FR"/>
        </w:rPr>
        <w:t xml:space="preserve">un </w:t>
      </w:r>
      <w:r w:rsidRPr="00A2551C" w:rsidR="005515AE">
        <w:rPr>
          <w:lang w:val="fr-FR"/>
        </w:rPr>
        <w:t>secret d</w:t>
      </w:r>
      <w:r w:rsidRPr="00A2551C" w:rsidR="00A2551C">
        <w:rPr>
          <w:lang w:val="fr-FR"/>
        </w:rPr>
        <w:t>’</w:t>
      </w:r>
      <w:r w:rsidRPr="00A2551C" w:rsidR="005515AE">
        <w:rPr>
          <w:lang w:val="fr-FR"/>
        </w:rPr>
        <w:t xml:space="preserve">État ou </w:t>
      </w:r>
      <w:r w:rsidRPr="00A2551C" w:rsidR="009562A4">
        <w:rPr>
          <w:lang w:val="fr-FR"/>
        </w:rPr>
        <w:t>d</w:t>
      </w:r>
      <w:r w:rsidRPr="00A2551C" w:rsidR="00A2551C">
        <w:rPr>
          <w:lang w:val="fr-FR"/>
        </w:rPr>
        <w:t>’</w:t>
      </w:r>
      <w:r w:rsidRPr="00A2551C" w:rsidR="005515AE">
        <w:rPr>
          <w:lang w:val="fr-FR"/>
        </w:rPr>
        <w:t>autre</w:t>
      </w:r>
      <w:r w:rsidRPr="00A2551C" w:rsidR="009562A4">
        <w:rPr>
          <w:lang w:val="fr-FR"/>
        </w:rPr>
        <w:t>s</w:t>
      </w:r>
      <w:r w:rsidRPr="00A2551C" w:rsidR="005515AE">
        <w:rPr>
          <w:lang w:val="fr-FR"/>
        </w:rPr>
        <w:t xml:space="preserve"> information</w:t>
      </w:r>
      <w:r w:rsidRPr="00A2551C" w:rsidR="009562A4">
        <w:rPr>
          <w:lang w:val="fr-FR"/>
        </w:rPr>
        <w:t>s</w:t>
      </w:r>
      <w:r w:rsidRPr="00A2551C" w:rsidR="005515AE">
        <w:rPr>
          <w:lang w:val="fr-FR"/>
        </w:rPr>
        <w:t xml:space="preserve"> class</w:t>
      </w:r>
      <w:r w:rsidRPr="00A2551C">
        <w:rPr>
          <w:lang w:val="fr-FR"/>
        </w:rPr>
        <w:t>ifi</w:t>
      </w:r>
      <w:r w:rsidRPr="00A2551C" w:rsidR="005515AE">
        <w:rPr>
          <w:lang w:val="fr-FR"/>
        </w:rPr>
        <w:t>ée</w:t>
      </w:r>
      <w:r w:rsidRPr="00A2551C" w:rsidR="009562A4">
        <w:rPr>
          <w:lang w:val="fr-FR"/>
        </w:rPr>
        <w:t>s</w:t>
      </w:r>
      <w:r w:rsidRPr="00A2551C">
        <w:rPr>
          <w:lang w:val="fr-FR"/>
        </w:rPr>
        <w:t xml:space="preserve"> </w:t>
      </w:r>
      <w:r w:rsidRPr="00A2551C" w:rsidR="005515AE">
        <w:rPr>
          <w:lang w:val="fr-FR"/>
        </w:rPr>
        <w:t>protégée</w:t>
      </w:r>
      <w:r w:rsidRPr="00A2551C" w:rsidR="009562A4">
        <w:rPr>
          <w:lang w:val="fr-FR"/>
        </w:rPr>
        <w:t>s</w:t>
      </w:r>
      <w:r w:rsidRPr="00A2551C" w:rsidR="005515AE">
        <w:rPr>
          <w:lang w:val="fr-FR"/>
        </w:rPr>
        <w:t xml:space="preserve"> par la loi fédérale. Eu égard à ce qui précède, il n</w:t>
      </w:r>
      <w:r w:rsidRPr="00A2551C" w:rsidR="00A2551C">
        <w:rPr>
          <w:lang w:val="fr-FR"/>
        </w:rPr>
        <w:t>’</w:t>
      </w:r>
      <w:r w:rsidRPr="00A2551C" w:rsidR="005515AE">
        <w:rPr>
          <w:lang w:val="fr-FR"/>
        </w:rPr>
        <w:t>y a pas lieu d</w:t>
      </w:r>
      <w:r w:rsidRPr="00A2551C" w:rsidR="00A2551C">
        <w:rPr>
          <w:lang w:val="fr-FR"/>
        </w:rPr>
        <w:t>’</w:t>
      </w:r>
      <w:r w:rsidRPr="00A2551C" w:rsidR="005515AE">
        <w:rPr>
          <w:lang w:val="fr-FR"/>
        </w:rPr>
        <w:t>examiner cette affaire pénale en audience publique que ce soit dans son intégralité ou en partie, comme le demande l</w:t>
      </w:r>
      <w:r w:rsidRPr="00A2551C" w:rsidR="000279E5">
        <w:rPr>
          <w:lang w:val="fr-FR"/>
        </w:rPr>
        <w:t>a défense. Le tribunal</w:t>
      </w:r>
      <w:r w:rsidRPr="00A2551C">
        <w:rPr>
          <w:lang w:val="fr-FR"/>
        </w:rPr>
        <w:t xml:space="preserve"> n</w:t>
      </w:r>
      <w:r w:rsidRPr="00A2551C" w:rsidR="00A2551C">
        <w:rPr>
          <w:lang w:val="fr-FR"/>
        </w:rPr>
        <w:t>’</w:t>
      </w:r>
      <w:r w:rsidRPr="00A2551C">
        <w:rPr>
          <w:lang w:val="fr-FR"/>
        </w:rPr>
        <w:t>est pas empêché d</w:t>
      </w:r>
      <w:r w:rsidRPr="00A2551C" w:rsidR="00A2551C">
        <w:rPr>
          <w:lang w:val="fr-FR"/>
        </w:rPr>
        <w:t>’</w:t>
      </w:r>
      <w:r w:rsidRPr="00A2551C">
        <w:rPr>
          <w:lang w:val="fr-FR"/>
        </w:rPr>
        <w:t xml:space="preserve">examiner cette </w:t>
      </w:r>
      <w:r w:rsidRPr="00A2551C" w:rsidR="000279E5">
        <w:rPr>
          <w:lang w:val="fr-FR"/>
        </w:rPr>
        <w:t xml:space="preserve">affaire pénale pour une quelconque raison, y compris pour celle </w:t>
      </w:r>
      <w:r w:rsidRPr="00A2551C" w:rsidR="00325191">
        <w:rPr>
          <w:lang w:val="fr-FR"/>
        </w:rPr>
        <w:t xml:space="preserve">relative </w:t>
      </w:r>
      <w:r w:rsidRPr="00A2551C">
        <w:rPr>
          <w:lang w:val="fr-FR"/>
        </w:rPr>
        <w:t>à la</w:t>
      </w:r>
      <w:r w:rsidRPr="00A2551C" w:rsidR="00325191">
        <w:rPr>
          <w:lang w:val="fr-FR"/>
        </w:rPr>
        <w:t xml:space="preserve"> </w:t>
      </w:r>
      <w:r w:rsidRPr="00A2551C" w:rsidR="000279E5">
        <w:rPr>
          <w:lang w:val="fr-FR"/>
        </w:rPr>
        <w:t>class</w:t>
      </w:r>
      <w:r w:rsidRPr="00A2551C">
        <w:rPr>
          <w:lang w:val="fr-FR"/>
        </w:rPr>
        <w:t>ification</w:t>
      </w:r>
      <w:r w:rsidRPr="00A2551C" w:rsidR="000279E5">
        <w:rPr>
          <w:lang w:val="fr-FR"/>
        </w:rPr>
        <w:t xml:space="preserve"> du dossier pénal, c</w:t>
      </w:r>
      <w:r w:rsidRPr="00A2551C" w:rsidR="00A2551C">
        <w:rPr>
          <w:lang w:val="fr-FR"/>
        </w:rPr>
        <w:t>’</w:t>
      </w:r>
      <w:r w:rsidRPr="00A2551C" w:rsidR="000279E5">
        <w:rPr>
          <w:lang w:val="fr-FR"/>
        </w:rPr>
        <w:t>est pourquoi la demande de l</w:t>
      </w:r>
      <w:r w:rsidRPr="00A2551C" w:rsidR="00A2551C">
        <w:rPr>
          <w:lang w:val="fr-FR"/>
        </w:rPr>
        <w:t>’</w:t>
      </w:r>
      <w:r w:rsidRPr="00A2551C" w:rsidR="000279E5">
        <w:rPr>
          <w:lang w:val="fr-FR"/>
        </w:rPr>
        <w:t>avocat [M</w:t>
      </w:r>
      <w:r w:rsidRPr="00A2551C" w:rsidR="000279E5">
        <w:rPr>
          <w:vertAlign w:val="superscript"/>
          <w:lang w:val="fr-FR"/>
        </w:rPr>
        <w:t>e</w:t>
      </w:r>
      <w:r w:rsidRPr="00A2551C">
        <w:rPr>
          <w:vertAlign w:val="superscript"/>
          <w:lang w:val="fr-FR"/>
        </w:rPr>
        <w:t> </w:t>
      </w:r>
      <w:r w:rsidRPr="00A2551C" w:rsidR="000279E5">
        <w:rPr>
          <w:lang w:val="fr-FR"/>
        </w:rPr>
        <w:t>P.] tendant au renvoi de l</w:t>
      </w:r>
      <w:r w:rsidRPr="00A2551C" w:rsidR="00A2551C">
        <w:rPr>
          <w:lang w:val="fr-FR"/>
        </w:rPr>
        <w:t>’</w:t>
      </w:r>
      <w:r w:rsidRPr="00A2551C" w:rsidR="000279E5">
        <w:rPr>
          <w:lang w:val="fr-FR"/>
        </w:rPr>
        <w:t>affaire pénale au procureur n</w:t>
      </w:r>
      <w:r w:rsidRPr="00A2551C" w:rsidR="00A2551C">
        <w:rPr>
          <w:lang w:val="fr-FR"/>
        </w:rPr>
        <w:t>’</w:t>
      </w:r>
      <w:r w:rsidRPr="00A2551C" w:rsidR="000279E5">
        <w:rPr>
          <w:lang w:val="fr-FR"/>
        </w:rPr>
        <w:t>est pas recevable</w:t>
      </w:r>
      <w:r w:rsidRPr="00A2551C" w:rsidR="000E0460">
        <w:rPr>
          <w:lang w:val="fr-FR"/>
        </w:rPr>
        <w:t>. Le tribunal chargé d</w:t>
      </w:r>
      <w:r w:rsidRPr="00A2551C" w:rsidR="00A2551C">
        <w:rPr>
          <w:lang w:val="fr-FR"/>
        </w:rPr>
        <w:t>’</w:t>
      </w:r>
      <w:r w:rsidRPr="00A2551C" w:rsidR="000E0460">
        <w:rPr>
          <w:lang w:val="fr-FR"/>
        </w:rPr>
        <w:t>examiner l</w:t>
      </w:r>
      <w:r w:rsidRPr="00A2551C" w:rsidR="00A2551C">
        <w:rPr>
          <w:lang w:val="fr-FR"/>
        </w:rPr>
        <w:t>’</w:t>
      </w:r>
      <w:r w:rsidRPr="00A2551C" w:rsidR="000E0460">
        <w:rPr>
          <w:lang w:val="fr-FR"/>
        </w:rPr>
        <w:t>affaire pénale sur le fond n</w:t>
      </w:r>
      <w:r w:rsidRPr="00A2551C" w:rsidR="00A2551C">
        <w:rPr>
          <w:lang w:val="fr-FR"/>
        </w:rPr>
        <w:t>’</w:t>
      </w:r>
      <w:r w:rsidRPr="00A2551C" w:rsidR="000E0460">
        <w:rPr>
          <w:lang w:val="fr-FR"/>
        </w:rPr>
        <w:t xml:space="preserve">est pas compétent </w:t>
      </w:r>
      <w:r w:rsidRPr="00A2551C" w:rsidR="009562A4">
        <w:rPr>
          <w:lang w:val="fr-FR"/>
        </w:rPr>
        <w:t xml:space="preserve">pour </w:t>
      </w:r>
      <w:r w:rsidRPr="00A2551C" w:rsidR="00CB288F">
        <w:rPr>
          <w:lang w:val="fr-FR"/>
        </w:rPr>
        <w:t>examiner l</w:t>
      </w:r>
      <w:r w:rsidRPr="00A2551C" w:rsidR="000279E5">
        <w:rPr>
          <w:lang w:val="fr-FR"/>
        </w:rPr>
        <w:t>a légalité et le bien</w:t>
      </w:r>
      <w:r w:rsidRPr="00A2551C" w:rsidR="000279E5">
        <w:rPr>
          <w:lang w:val="fr-FR"/>
        </w:rPr>
        <w:noBreakHyphen/>
        <w:t>fondé d</w:t>
      </w:r>
      <w:r w:rsidRPr="00A2551C">
        <w:rPr>
          <w:lang w:val="fr-FR"/>
        </w:rPr>
        <w:t>e</w:t>
      </w:r>
      <w:r w:rsidRPr="00A2551C" w:rsidR="000279E5">
        <w:rPr>
          <w:lang w:val="fr-FR"/>
        </w:rPr>
        <w:t xml:space="preserve"> </w:t>
      </w:r>
      <w:r w:rsidRPr="00A2551C">
        <w:rPr>
          <w:lang w:val="fr-FR"/>
        </w:rPr>
        <w:t xml:space="preserve">la </w:t>
      </w:r>
      <w:r w:rsidRPr="00A2551C" w:rsidR="000279E5">
        <w:rPr>
          <w:lang w:val="fr-FR"/>
        </w:rPr>
        <w:t>class</w:t>
      </w:r>
      <w:r w:rsidRPr="00A2551C">
        <w:rPr>
          <w:lang w:val="fr-FR"/>
        </w:rPr>
        <w:t>ification</w:t>
      </w:r>
      <w:r w:rsidRPr="00A2551C" w:rsidR="000279E5">
        <w:rPr>
          <w:lang w:val="fr-FR"/>
        </w:rPr>
        <w:t xml:space="preserve"> </w:t>
      </w:r>
      <w:r w:rsidRPr="00A2551C" w:rsidR="00CB288F">
        <w:rPr>
          <w:lang w:val="fr-FR"/>
        </w:rPr>
        <w:t>du dossier pénal au sens de la loi pénale</w:t>
      </w:r>
      <w:r w:rsidRPr="00A2551C" w:rsidR="00F312E7">
        <w:rPr>
          <w:lang w:val="fr-FR"/>
        </w:rPr>
        <w:t xml:space="preserve"> </w:t>
      </w:r>
      <w:r w:rsidRPr="00A2551C" w:rsidR="000E0460">
        <w:rPr>
          <w:lang w:val="fr-FR"/>
        </w:rPr>
        <w:t>procédur</w:t>
      </w:r>
      <w:r w:rsidRPr="00A2551C" w:rsidR="00CB288F">
        <w:rPr>
          <w:lang w:val="fr-FR"/>
        </w:rPr>
        <w:t>ale</w:t>
      </w:r>
      <w:r w:rsidRPr="00A2551C" w:rsidR="000E0460">
        <w:rPr>
          <w:lang w:val="fr-FR"/>
        </w:rPr>
        <w:t>.</w:t>
      </w:r>
      <w:r w:rsidRPr="00A2551C" w:rsidR="00146316">
        <w:rPr>
          <w:lang w:val="fr-FR"/>
        </w:rPr>
        <w:t> »</w:t>
      </w:r>
    </w:p>
    <w:p w:rsidRPr="00A2551C" w:rsidR="0014248D"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23</w:t>
      </w:r>
      <w:r w:rsidRPr="00A2551C">
        <w:rPr>
          <w:lang w:val="fr-FR"/>
        </w:rPr>
        <w:fldChar w:fldCharType="end"/>
      </w:r>
      <w:r w:rsidRPr="00A2551C">
        <w:rPr>
          <w:lang w:val="fr-FR"/>
        </w:rPr>
        <w:t>.  </w:t>
      </w:r>
      <w:r w:rsidRPr="00A2551C" w:rsidR="00146316">
        <w:rPr>
          <w:lang w:val="fr-FR"/>
        </w:rPr>
        <w:t>Le</w:t>
      </w:r>
      <w:r w:rsidRPr="00A2551C" w:rsidR="00E5370B">
        <w:rPr>
          <w:lang w:val="fr-FR"/>
        </w:rPr>
        <w:t>s</w:t>
      </w:r>
      <w:r w:rsidRPr="00A2551C" w:rsidR="00146316">
        <w:rPr>
          <w:lang w:val="fr-FR"/>
        </w:rPr>
        <w:t xml:space="preserve"> 30 juin et 12 juillet 2010</w:t>
      </w:r>
      <w:r w:rsidRPr="00A2551C" w:rsidR="00F314E0">
        <w:rPr>
          <w:lang w:val="fr-FR"/>
        </w:rPr>
        <w:t xml:space="preserve"> respectivement</w:t>
      </w:r>
      <w:r w:rsidRPr="00A2551C" w:rsidR="00146316">
        <w:rPr>
          <w:lang w:val="fr-FR"/>
        </w:rPr>
        <w:t xml:space="preserve">, la Cour suprême </w:t>
      </w:r>
      <w:r w:rsidRPr="00A2551C" w:rsidR="00F312E7">
        <w:rPr>
          <w:lang w:val="fr-FR"/>
        </w:rPr>
        <w:t xml:space="preserve">entérina les décisions </w:t>
      </w:r>
      <w:r w:rsidRPr="00A2551C" w:rsidR="00E5370B">
        <w:rPr>
          <w:lang w:val="fr-FR"/>
        </w:rPr>
        <w:t xml:space="preserve">du tribunal </w:t>
      </w:r>
      <w:r w:rsidRPr="00A2551C" w:rsidR="00F312E7">
        <w:rPr>
          <w:lang w:val="fr-FR"/>
        </w:rPr>
        <w:t>des 12 et 19 mai 2010 en appel</w:t>
      </w:r>
      <w:r w:rsidRPr="00A2551C" w:rsidR="00146316">
        <w:rPr>
          <w:lang w:val="fr-FR"/>
        </w:rPr>
        <w:t>.</w:t>
      </w:r>
    </w:p>
    <w:p w:rsidRPr="00A2551C" w:rsidR="0076324D"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24</w:t>
      </w:r>
      <w:r w:rsidRPr="00A2551C">
        <w:rPr>
          <w:lang w:val="fr-FR"/>
        </w:rPr>
        <w:fldChar w:fldCharType="end"/>
      </w:r>
      <w:r w:rsidRPr="00A2551C">
        <w:rPr>
          <w:lang w:val="fr-FR"/>
        </w:rPr>
        <w:t>.  </w:t>
      </w:r>
      <w:r w:rsidRPr="00A2551C" w:rsidR="00146316">
        <w:rPr>
          <w:lang w:val="fr-FR"/>
        </w:rPr>
        <w:t xml:space="preserve">Par un jugement du 28 décembre 2010, le </w:t>
      </w:r>
      <w:r w:rsidRPr="00A2551C" w:rsidR="008A56E0">
        <w:rPr>
          <w:lang w:val="fr-FR"/>
        </w:rPr>
        <w:t xml:space="preserve">tribunal </w:t>
      </w:r>
      <w:r w:rsidRPr="00A2551C" w:rsidR="00146316">
        <w:rPr>
          <w:lang w:val="fr-FR"/>
        </w:rPr>
        <w:t>reconnut le requérant coupable de la plupart des faits qui lui étaient reprochés et le condamna à la réclusion à perpétuité.</w:t>
      </w:r>
    </w:p>
    <w:bookmarkStart w:name="appeljug" w:id="9"/>
    <w:p w:rsidRPr="00A2551C" w:rsidR="00B43CDD" w:rsidP="00A2551C" w:rsidRDefault="00E5370B">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25</w:t>
      </w:r>
      <w:r w:rsidRPr="00A2551C">
        <w:rPr>
          <w:lang w:val="fr-FR"/>
        </w:rPr>
        <w:fldChar w:fldCharType="end"/>
      </w:r>
      <w:bookmarkEnd w:id="9"/>
      <w:r w:rsidRPr="00A2551C">
        <w:rPr>
          <w:lang w:val="fr-FR"/>
        </w:rPr>
        <w:t>.  </w:t>
      </w:r>
      <w:r w:rsidRPr="00A2551C" w:rsidR="00B43CDD">
        <w:rPr>
          <w:lang w:val="fr-FR"/>
        </w:rPr>
        <w:t xml:space="preserve">Le requérant </w:t>
      </w:r>
      <w:r w:rsidRPr="00A2551C" w:rsidR="00F312E7">
        <w:rPr>
          <w:lang w:val="fr-FR"/>
        </w:rPr>
        <w:t>interjeta appel dudit jugement</w:t>
      </w:r>
      <w:r w:rsidRPr="00A2551C" w:rsidR="009562A4">
        <w:rPr>
          <w:lang w:val="fr-FR"/>
        </w:rPr>
        <w:t>.</w:t>
      </w:r>
      <w:r w:rsidRPr="00A2551C" w:rsidR="00F312E7">
        <w:rPr>
          <w:lang w:val="fr-FR"/>
        </w:rPr>
        <w:t xml:space="preserve"> </w:t>
      </w:r>
      <w:r w:rsidRPr="00A2551C" w:rsidR="009562A4">
        <w:rPr>
          <w:lang w:val="fr-FR"/>
        </w:rPr>
        <w:t>Il soutenait</w:t>
      </w:r>
      <w:r w:rsidRPr="00A2551C" w:rsidR="00F312E7">
        <w:rPr>
          <w:lang w:val="fr-FR"/>
        </w:rPr>
        <w:t xml:space="preserve">, entre autres, que la décision </w:t>
      </w:r>
      <w:r w:rsidRPr="00A2551C">
        <w:rPr>
          <w:lang w:val="fr-FR"/>
        </w:rPr>
        <w:t xml:space="preserve">du tribunal </w:t>
      </w:r>
      <w:r w:rsidRPr="00A2551C" w:rsidR="00F312E7">
        <w:rPr>
          <w:lang w:val="fr-FR"/>
        </w:rPr>
        <w:t>de tenir le procès pénal à huis clos n</w:t>
      </w:r>
      <w:r w:rsidRPr="00A2551C" w:rsidR="00A2551C">
        <w:rPr>
          <w:lang w:val="fr-FR"/>
        </w:rPr>
        <w:t>’</w:t>
      </w:r>
      <w:r w:rsidRPr="00A2551C" w:rsidR="00F312E7">
        <w:rPr>
          <w:lang w:val="fr-FR"/>
        </w:rPr>
        <w:t xml:space="preserve">était pas suffisamment motivée et que </w:t>
      </w:r>
      <w:r w:rsidRPr="00A2551C" w:rsidR="009562A4">
        <w:rPr>
          <w:lang w:val="fr-FR"/>
        </w:rPr>
        <w:t>l</w:t>
      </w:r>
      <w:r w:rsidRPr="00A2551C" w:rsidR="00F312E7">
        <w:rPr>
          <w:lang w:val="fr-FR"/>
        </w:rPr>
        <w:t>a conc</w:t>
      </w:r>
      <w:r w:rsidRPr="00A2551C" w:rsidR="00BA02C2">
        <w:rPr>
          <w:lang w:val="fr-FR"/>
        </w:rPr>
        <w:t xml:space="preserve">lusion </w:t>
      </w:r>
      <w:r w:rsidRPr="00A2551C" w:rsidR="009562A4">
        <w:rPr>
          <w:lang w:val="fr-FR"/>
        </w:rPr>
        <w:t xml:space="preserve">de cette juridiction </w:t>
      </w:r>
      <w:r w:rsidRPr="00A2551C" w:rsidR="00BA02C2">
        <w:rPr>
          <w:lang w:val="fr-FR"/>
        </w:rPr>
        <w:t xml:space="preserve">quant au risque de dévoilement </w:t>
      </w:r>
      <w:r w:rsidRPr="00A2551C" w:rsidR="009562A4">
        <w:rPr>
          <w:lang w:val="fr-FR"/>
        </w:rPr>
        <w:t>d</w:t>
      </w:r>
      <w:r w:rsidRPr="00A2551C" w:rsidR="00A2551C">
        <w:rPr>
          <w:lang w:val="fr-FR"/>
        </w:rPr>
        <w:t>’</w:t>
      </w:r>
      <w:r w:rsidRPr="00A2551C" w:rsidR="009562A4">
        <w:rPr>
          <w:lang w:val="fr-FR"/>
        </w:rPr>
        <w:t xml:space="preserve">un </w:t>
      </w:r>
      <w:r w:rsidRPr="00A2551C" w:rsidR="00F312E7">
        <w:rPr>
          <w:lang w:val="fr-FR"/>
        </w:rPr>
        <w:t>secret d</w:t>
      </w:r>
      <w:r w:rsidRPr="00A2551C" w:rsidR="00A2551C">
        <w:rPr>
          <w:lang w:val="fr-FR"/>
        </w:rPr>
        <w:t>’</w:t>
      </w:r>
      <w:r w:rsidRPr="00A2551C" w:rsidR="00F312E7">
        <w:rPr>
          <w:lang w:val="fr-FR"/>
        </w:rPr>
        <w:t>État n</w:t>
      </w:r>
      <w:r w:rsidRPr="00A2551C" w:rsidR="00A2551C">
        <w:rPr>
          <w:lang w:val="fr-FR"/>
        </w:rPr>
        <w:t>’</w:t>
      </w:r>
      <w:r w:rsidRPr="00A2551C" w:rsidR="00F312E7">
        <w:rPr>
          <w:lang w:val="fr-FR"/>
        </w:rPr>
        <w:t>était pas basée sur des éléments concrets.</w:t>
      </w:r>
    </w:p>
    <w:bookmarkStart w:name="decapp" w:id="10"/>
    <w:p w:rsidRPr="00A2551C" w:rsidR="0014248D"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26</w:t>
      </w:r>
      <w:r w:rsidRPr="00A2551C">
        <w:rPr>
          <w:lang w:val="fr-FR"/>
        </w:rPr>
        <w:fldChar w:fldCharType="end"/>
      </w:r>
      <w:bookmarkEnd w:id="10"/>
      <w:r w:rsidRPr="00A2551C">
        <w:rPr>
          <w:lang w:val="fr-FR"/>
        </w:rPr>
        <w:t>.  </w:t>
      </w:r>
      <w:r w:rsidRPr="00A2551C" w:rsidR="00146316">
        <w:rPr>
          <w:lang w:val="fr-FR"/>
        </w:rPr>
        <w:t xml:space="preserve">Le 13 octobre 2011, la Cour suprême russe </w:t>
      </w:r>
      <w:r w:rsidRPr="00A2551C" w:rsidR="00C54E4B">
        <w:rPr>
          <w:lang w:val="fr-FR"/>
        </w:rPr>
        <w:t>réforma</w:t>
      </w:r>
      <w:r w:rsidRPr="00A2551C" w:rsidR="00146316">
        <w:rPr>
          <w:lang w:val="fr-FR"/>
        </w:rPr>
        <w:t xml:space="preserve"> </w:t>
      </w:r>
      <w:r w:rsidRPr="00A2551C" w:rsidR="00C54E4B">
        <w:rPr>
          <w:lang w:val="fr-FR"/>
        </w:rPr>
        <w:t>l</w:t>
      </w:r>
      <w:r w:rsidRPr="00A2551C" w:rsidR="00146316">
        <w:rPr>
          <w:lang w:val="fr-FR"/>
        </w:rPr>
        <w:t xml:space="preserve">e jugement </w:t>
      </w:r>
      <w:r w:rsidRPr="00A2551C" w:rsidR="00C54E4B">
        <w:rPr>
          <w:lang w:val="fr-FR"/>
        </w:rPr>
        <w:t xml:space="preserve">du 28 décembre 2010 tout en maintenant la condamnation </w:t>
      </w:r>
      <w:r w:rsidRPr="00A2551C" w:rsidR="005E20BE">
        <w:rPr>
          <w:lang w:val="fr-FR"/>
        </w:rPr>
        <w:t>de l</w:t>
      </w:r>
      <w:r w:rsidRPr="00A2551C" w:rsidR="00A2551C">
        <w:rPr>
          <w:lang w:val="fr-FR"/>
        </w:rPr>
        <w:t>’</w:t>
      </w:r>
      <w:r w:rsidRPr="00A2551C" w:rsidR="005E20BE">
        <w:rPr>
          <w:lang w:val="fr-FR"/>
        </w:rPr>
        <w:t>intéressé</w:t>
      </w:r>
      <w:r w:rsidRPr="00A2551C" w:rsidR="00C54E4B">
        <w:rPr>
          <w:lang w:val="fr-FR"/>
        </w:rPr>
        <w:t xml:space="preserve"> à la réclusion à perpétuité.</w:t>
      </w:r>
      <w:r w:rsidRPr="00A2551C" w:rsidR="00F312E7">
        <w:rPr>
          <w:lang w:val="fr-FR"/>
        </w:rPr>
        <w:t xml:space="preserve"> </w:t>
      </w:r>
      <w:r w:rsidRPr="00A2551C" w:rsidR="009562A4">
        <w:rPr>
          <w:lang w:val="fr-FR"/>
        </w:rPr>
        <w:t>Réitérant, en substance, les motifs invoqués à cet égard par le tribunal dans sa décision du 19 mai 2010, e</w:t>
      </w:r>
      <w:r w:rsidRPr="00A2551C" w:rsidR="00F312E7">
        <w:rPr>
          <w:lang w:val="fr-FR"/>
        </w:rPr>
        <w:t>lle rejeta le grief du requérant tiré de l</w:t>
      </w:r>
      <w:r w:rsidRPr="00A2551C" w:rsidR="00A2551C">
        <w:rPr>
          <w:lang w:val="fr-FR"/>
        </w:rPr>
        <w:t>’</w:t>
      </w:r>
      <w:r w:rsidRPr="00A2551C" w:rsidR="00F312E7">
        <w:rPr>
          <w:lang w:val="fr-FR"/>
        </w:rPr>
        <w:t>absence de publicité des débats devant le</w:t>
      </w:r>
      <w:r w:rsidRPr="00A2551C" w:rsidR="004430C0">
        <w:rPr>
          <w:lang w:val="fr-FR"/>
        </w:rPr>
        <w:t>dit</w:t>
      </w:r>
      <w:r w:rsidRPr="00A2551C" w:rsidR="00F312E7">
        <w:rPr>
          <w:lang w:val="fr-FR"/>
        </w:rPr>
        <w:t xml:space="preserve"> tribunal</w:t>
      </w:r>
      <w:r w:rsidRPr="00A2551C" w:rsidR="004430C0">
        <w:rPr>
          <w:lang w:val="fr-FR"/>
        </w:rPr>
        <w:t>.</w:t>
      </w:r>
    </w:p>
    <w:p w:rsidRPr="00A2551C" w:rsidR="00146316" w:rsidP="00A2551C" w:rsidRDefault="00657348">
      <w:pPr>
        <w:pStyle w:val="ECHRHeading2"/>
        <w:rPr>
          <w:lang w:val="fr-FR"/>
        </w:rPr>
      </w:pPr>
      <w:r w:rsidRPr="00A2551C">
        <w:rPr>
          <w:lang w:val="fr-FR"/>
        </w:rPr>
        <w:t>B</w:t>
      </w:r>
      <w:r w:rsidRPr="00A2551C" w:rsidR="00146316">
        <w:rPr>
          <w:lang w:val="fr-FR"/>
        </w:rPr>
        <w:t xml:space="preserve">.  Les conditions </w:t>
      </w:r>
      <w:r w:rsidRPr="00A2551C" w:rsidR="00550B3A">
        <w:rPr>
          <w:lang w:val="fr-FR"/>
        </w:rPr>
        <w:t xml:space="preserve">de détention et </w:t>
      </w:r>
      <w:r w:rsidRPr="00A2551C" w:rsidR="00146316">
        <w:rPr>
          <w:lang w:val="fr-FR"/>
        </w:rPr>
        <w:t xml:space="preserve">de </w:t>
      </w:r>
      <w:r w:rsidRPr="00A2551C" w:rsidR="008A56E0">
        <w:rPr>
          <w:lang w:val="fr-FR"/>
        </w:rPr>
        <w:t xml:space="preserve">transport </w:t>
      </w:r>
      <w:r w:rsidRPr="00A2551C" w:rsidR="00146316">
        <w:rPr>
          <w:lang w:val="fr-FR"/>
        </w:rPr>
        <w:t xml:space="preserve">du </w:t>
      </w:r>
      <w:r w:rsidRPr="00A2551C" w:rsidR="008A56E0">
        <w:rPr>
          <w:lang w:val="fr-FR"/>
        </w:rPr>
        <w:t>requérant</w:t>
      </w:r>
    </w:p>
    <w:p w:rsidRPr="00A2551C" w:rsidR="008A56E0" w:rsidP="00A2551C" w:rsidRDefault="008A56E0">
      <w:pPr>
        <w:pStyle w:val="ECHRHeading3"/>
        <w:rPr>
          <w:lang w:val="fr-FR"/>
        </w:rPr>
      </w:pPr>
      <w:r w:rsidRPr="00A2551C">
        <w:rPr>
          <w:lang w:val="fr-FR"/>
        </w:rPr>
        <w:t>1.  Les conditions de détention du requérant dans l</w:t>
      </w:r>
      <w:r w:rsidRPr="00A2551C" w:rsidR="00F92667">
        <w:rPr>
          <w:lang w:val="fr-FR"/>
        </w:rPr>
        <w:t>a</w:t>
      </w:r>
      <w:r w:rsidRPr="00A2551C">
        <w:rPr>
          <w:lang w:val="fr-FR"/>
        </w:rPr>
        <w:t xml:space="preserve"> maison d</w:t>
      </w:r>
      <w:r w:rsidRPr="00A2551C" w:rsidR="00A2551C">
        <w:rPr>
          <w:lang w:val="fr-FR"/>
        </w:rPr>
        <w:t>’</w:t>
      </w:r>
      <w:r w:rsidRPr="00A2551C">
        <w:rPr>
          <w:lang w:val="fr-FR"/>
        </w:rPr>
        <w:t>arrêt</w:t>
      </w:r>
      <w:r w:rsidRPr="00A2551C" w:rsidR="00F92667">
        <w:rPr>
          <w:lang w:val="fr-FR"/>
        </w:rPr>
        <w:t xml:space="preserve"> SIZO-2 (</w:t>
      </w:r>
      <w:r w:rsidRPr="00A2551C" w:rsidR="00EC6BDF">
        <w:rPr>
          <w:lang w:val="fr-FR"/>
        </w:rPr>
        <w:t xml:space="preserve">Lefortovo) de la ville de Moscou, </w:t>
      </w:r>
      <w:r w:rsidRPr="00A2551C">
        <w:rPr>
          <w:lang w:val="fr-FR"/>
        </w:rPr>
        <w:t>dans les locaux</w:t>
      </w:r>
      <w:r w:rsidRPr="00A2551C" w:rsidR="00EC6BDF">
        <w:rPr>
          <w:lang w:val="fr-FR"/>
        </w:rPr>
        <w:t xml:space="preserve"> du tribunal </w:t>
      </w:r>
      <w:r w:rsidRPr="00A2551C">
        <w:rPr>
          <w:lang w:val="fr-FR"/>
        </w:rPr>
        <w:t>et les conditions de transport de l</w:t>
      </w:r>
      <w:r w:rsidRPr="00A2551C" w:rsidR="00A2551C">
        <w:rPr>
          <w:lang w:val="fr-FR"/>
        </w:rPr>
        <w:t>’</w:t>
      </w:r>
      <w:r w:rsidRPr="00A2551C">
        <w:rPr>
          <w:lang w:val="fr-FR"/>
        </w:rPr>
        <w:t xml:space="preserve">intéressé vers et depuis </w:t>
      </w:r>
      <w:r w:rsidRPr="00A2551C" w:rsidR="0028556A">
        <w:rPr>
          <w:lang w:val="fr-FR"/>
        </w:rPr>
        <w:t>celui-ci</w:t>
      </w:r>
    </w:p>
    <w:p w:rsidRPr="00A2551C" w:rsidR="00550B3A"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27</w:t>
      </w:r>
      <w:r w:rsidRPr="00A2551C">
        <w:rPr>
          <w:lang w:val="fr-FR"/>
        </w:rPr>
        <w:fldChar w:fldCharType="end"/>
      </w:r>
      <w:r w:rsidRPr="00A2551C">
        <w:rPr>
          <w:lang w:val="fr-FR"/>
        </w:rPr>
        <w:t>.  </w:t>
      </w:r>
      <w:r w:rsidRPr="00A2551C" w:rsidR="00550B3A">
        <w:rPr>
          <w:lang w:val="fr-FR"/>
        </w:rPr>
        <w:t>Le 18 janvier 2007, le requérant fut placé dans</w:t>
      </w:r>
      <w:r w:rsidRPr="00A2551C" w:rsidR="00146316">
        <w:rPr>
          <w:lang w:val="fr-FR"/>
        </w:rPr>
        <w:t xml:space="preserve"> la maison d</w:t>
      </w:r>
      <w:r w:rsidRPr="00A2551C" w:rsidR="00A2551C">
        <w:rPr>
          <w:lang w:val="fr-FR"/>
        </w:rPr>
        <w:t>’</w:t>
      </w:r>
      <w:r w:rsidRPr="00A2551C" w:rsidR="0011397D">
        <w:rPr>
          <w:lang w:val="fr-FR"/>
        </w:rPr>
        <w:t>arrêt SIZO-</w:t>
      </w:r>
      <w:r w:rsidRPr="00A2551C" w:rsidR="00146316">
        <w:rPr>
          <w:lang w:val="fr-FR"/>
        </w:rPr>
        <w:t xml:space="preserve">2 </w:t>
      </w:r>
      <w:r w:rsidRPr="00A2551C" w:rsidR="0011397D">
        <w:rPr>
          <w:lang w:val="fr-FR"/>
        </w:rPr>
        <w:t xml:space="preserve">(Lefortovo) </w:t>
      </w:r>
      <w:r w:rsidRPr="00A2551C" w:rsidR="00146316">
        <w:rPr>
          <w:lang w:val="fr-FR"/>
        </w:rPr>
        <w:t>de la ville de Moscou</w:t>
      </w:r>
      <w:r w:rsidRPr="00A2551C" w:rsidR="00231AB5">
        <w:rPr>
          <w:lang w:val="fr-FR"/>
        </w:rPr>
        <w:t xml:space="preserve"> (« la maison d</w:t>
      </w:r>
      <w:r w:rsidRPr="00A2551C" w:rsidR="00A2551C">
        <w:rPr>
          <w:lang w:val="fr-FR"/>
        </w:rPr>
        <w:t>’</w:t>
      </w:r>
      <w:r w:rsidRPr="00A2551C" w:rsidR="00231AB5">
        <w:rPr>
          <w:lang w:val="fr-FR"/>
        </w:rPr>
        <w:t>arrêt SIZO-2 »)</w:t>
      </w:r>
      <w:r w:rsidRPr="00A2551C" w:rsidR="00146316">
        <w:rPr>
          <w:lang w:val="fr-FR"/>
        </w:rPr>
        <w:t>.</w:t>
      </w:r>
    </w:p>
    <w:bookmarkStart w:name="condtreq1" w:id="11"/>
    <w:p w:rsidRPr="00A2551C" w:rsidR="00146316" w:rsidP="00A2551C" w:rsidRDefault="00550B3A">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28</w:t>
      </w:r>
      <w:r w:rsidRPr="00A2551C">
        <w:rPr>
          <w:lang w:val="fr-FR"/>
        </w:rPr>
        <w:fldChar w:fldCharType="end"/>
      </w:r>
      <w:bookmarkEnd w:id="11"/>
      <w:r w:rsidRPr="00A2551C">
        <w:rPr>
          <w:lang w:val="fr-FR"/>
        </w:rPr>
        <w:t xml:space="preserve">.  Dans le formulaire de requête soumis le 10 décembre 2010, le requérant décrit </w:t>
      </w:r>
      <w:r w:rsidRPr="00A2551C" w:rsidR="00F314E0">
        <w:rPr>
          <w:lang w:val="fr-FR"/>
        </w:rPr>
        <w:t>ses conditions de détention dans cette maison d</w:t>
      </w:r>
      <w:r w:rsidRPr="00A2551C" w:rsidR="00A2551C">
        <w:rPr>
          <w:lang w:val="fr-FR"/>
        </w:rPr>
        <w:t>’</w:t>
      </w:r>
      <w:r w:rsidRPr="00A2551C" w:rsidR="00F314E0">
        <w:rPr>
          <w:lang w:val="fr-FR"/>
        </w:rPr>
        <w:t>arrêt</w:t>
      </w:r>
      <w:r w:rsidRPr="00A2551C">
        <w:rPr>
          <w:lang w:val="fr-FR"/>
        </w:rPr>
        <w:t xml:space="preserve"> de la manière suivante : </w:t>
      </w:r>
      <w:r w:rsidRPr="00A2551C" w:rsidR="00B51897">
        <w:rPr>
          <w:lang w:val="fr-FR"/>
        </w:rPr>
        <w:t> </w:t>
      </w:r>
      <w:r w:rsidRPr="00A2551C" w:rsidR="00146316">
        <w:rPr>
          <w:lang w:val="fr-FR"/>
        </w:rPr>
        <w:t xml:space="preserve"> la superficie de la cellule dans laquelle il était placé ne dépassait pas 8,20 m</w:t>
      </w:r>
      <w:r w:rsidRPr="00A2551C" w:rsidR="00146316">
        <w:rPr>
          <w:vertAlign w:val="superscript"/>
          <w:lang w:val="fr-FR"/>
        </w:rPr>
        <w:t>2</w:t>
      </w:r>
      <w:r w:rsidRPr="00A2551C" w:rsidR="00146316">
        <w:rPr>
          <w:lang w:val="fr-FR"/>
        </w:rPr>
        <w:t xml:space="preserve"> et disposait de trois places de couchage, d</w:t>
      </w:r>
      <w:r w:rsidRPr="00A2551C" w:rsidR="00A2551C">
        <w:rPr>
          <w:lang w:val="fr-FR"/>
        </w:rPr>
        <w:t>’</w:t>
      </w:r>
      <w:r w:rsidRPr="00A2551C" w:rsidR="00146316">
        <w:rPr>
          <w:lang w:val="fr-FR"/>
        </w:rPr>
        <w:t>un lavabo et d</w:t>
      </w:r>
      <w:r w:rsidRPr="00A2551C" w:rsidR="00A2551C">
        <w:rPr>
          <w:lang w:val="fr-FR"/>
        </w:rPr>
        <w:t>’</w:t>
      </w:r>
      <w:r w:rsidRPr="00A2551C" w:rsidR="00146316">
        <w:rPr>
          <w:lang w:val="fr-FR"/>
        </w:rPr>
        <w:t>un WC</w:t>
      </w:r>
      <w:r w:rsidRPr="00A2551C">
        <w:rPr>
          <w:lang w:val="fr-FR"/>
        </w:rPr>
        <w:t xml:space="preserve"> ; </w:t>
      </w:r>
      <w:r w:rsidRPr="00A2551C" w:rsidR="00146316">
        <w:rPr>
          <w:lang w:val="fr-FR"/>
        </w:rPr>
        <w:t>il n</w:t>
      </w:r>
      <w:r w:rsidRPr="00A2551C" w:rsidR="00A2551C">
        <w:rPr>
          <w:lang w:val="fr-FR"/>
        </w:rPr>
        <w:t>’</w:t>
      </w:r>
      <w:r w:rsidRPr="00A2551C" w:rsidR="00146316">
        <w:rPr>
          <w:lang w:val="fr-FR"/>
        </w:rPr>
        <w:t>y avait pas d</w:t>
      </w:r>
      <w:r w:rsidRPr="00A2551C" w:rsidR="00A2551C">
        <w:rPr>
          <w:lang w:val="fr-FR"/>
        </w:rPr>
        <w:t>’</w:t>
      </w:r>
      <w:r w:rsidRPr="00A2551C" w:rsidR="009D3F22">
        <w:rPr>
          <w:lang w:val="fr-FR"/>
        </w:rPr>
        <w:t xml:space="preserve">eau chaude dans la cellule ; </w:t>
      </w:r>
      <w:r w:rsidRPr="00A2551C" w:rsidR="00146316">
        <w:rPr>
          <w:lang w:val="fr-FR"/>
        </w:rPr>
        <w:t>aucune cloison ne séparait les toilettes du reste de la cellule</w:t>
      </w:r>
      <w:r w:rsidRPr="00A2551C" w:rsidR="009D3F22">
        <w:rPr>
          <w:lang w:val="fr-FR"/>
        </w:rPr>
        <w:t> ;</w:t>
      </w:r>
      <w:r w:rsidRPr="00A2551C" w:rsidR="00146316">
        <w:rPr>
          <w:lang w:val="fr-FR"/>
        </w:rPr>
        <w:t xml:space="preserve"> cette dernière était éclairée par deux ampoules de jour comme de nu</w:t>
      </w:r>
      <w:r w:rsidRPr="00A2551C" w:rsidR="009D3F22">
        <w:rPr>
          <w:lang w:val="fr-FR"/>
        </w:rPr>
        <w:t xml:space="preserve">it ; </w:t>
      </w:r>
      <w:r w:rsidRPr="00A2551C" w:rsidR="00146316">
        <w:rPr>
          <w:lang w:val="fr-FR"/>
        </w:rPr>
        <w:t>il n</w:t>
      </w:r>
      <w:r w:rsidRPr="00A2551C" w:rsidR="00A2551C">
        <w:rPr>
          <w:lang w:val="fr-FR"/>
        </w:rPr>
        <w:t>’</w:t>
      </w:r>
      <w:r w:rsidRPr="00A2551C" w:rsidR="00146316">
        <w:rPr>
          <w:lang w:val="fr-FR"/>
        </w:rPr>
        <w:t>avait droit qu</w:t>
      </w:r>
      <w:r w:rsidRPr="00A2551C" w:rsidR="00A2551C">
        <w:rPr>
          <w:lang w:val="fr-FR"/>
        </w:rPr>
        <w:t>’</w:t>
      </w:r>
      <w:r w:rsidRPr="00A2551C" w:rsidR="00146316">
        <w:rPr>
          <w:lang w:val="fr-FR"/>
        </w:rPr>
        <w:t>à une heure de promenade par jour</w:t>
      </w:r>
      <w:r w:rsidRPr="00A2551C" w:rsidR="009D3F22">
        <w:rPr>
          <w:lang w:val="fr-FR"/>
        </w:rPr>
        <w:t xml:space="preserve"> effectuée</w:t>
      </w:r>
      <w:r w:rsidRPr="00A2551C" w:rsidR="00146316">
        <w:rPr>
          <w:lang w:val="fr-FR"/>
        </w:rPr>
        <w:t>, en même temps que trois autres détenus, dans une cour de 10 m</w:t>
      </w:r>
      <w:r w:rsidRPr="00A2551C" w:rsidR="00146316">
        <w:rPr>
          <w:vertAlign w:val="superscript"/>
          <w:lang w:val="fr-FR"/>
        </w:rPr>
        <w:t>2</w:t>
      </w:r>
      <w:r w:rsidRPr="00A2551C" w:rsidR="00146316">
        <w:rPr>
          <w:lang w:val="fr-FR"/>
        </w:rPr>
        <w:t xml:space="preserve"> entourée de murs d</w:t>
      </w:r>
      <w:r w:rsidRPr="00A2551C" w:rsidR="00A2551C">
        <w:rPr>
          <w:lang w:val="fr-FR"/>
        </w:rPr>
        <w:t>’</w:t>
      </w:r>
      <w:r w:rsidRPr="00A2551C" w:rsidR="00146316">
        <w:rPr>
          <w:lang w:val="fr-FR"/>
        </w:rPr>
        <w:t>une hauteur de 3 mètres et recouverte par un grillage.</w:t>
      </w:r>
    </w:p>
    <w:bookmarkStart w:name="tranreq1" w:id="12"/>
    <w:p w:rsidRPr="00A2551C" w:rsidR="00146316"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29</w:t>
      </w:r>
      <w:r w:rsidRPr="00A2551C">
        <w:rPr>
          <w:lang w:val="fr-FR"/>
        </w:rPr>
        <w:fldChar w:fldCharType="end"/>
      </w:r>
      <w:bookmarkEnd w:id="12"/>
      <w:r w:rsidRPr="00A2551C">
        <w:rPr>
          <w:lang w:val="fr-FR"/>
        </w:rPr>
        <w:t>.  </w:t>
      </w:r>
      <w:r w:rsidRPr="00A2551C" w:rsidR="00146316">
        <w:rPr>
          <w:lang w:val="fr-FR"/>
        </w:rPr>
        <w:t>S</w:t>
      </w:r>
      <w:r w:rsidRPr="00A2551C" w:rsidR="00A2551C">
        <w:rPr>
          <w:lang w:val="fr-FR"/>
        </w:rPr>
        <w:t>’</w:t>
      </w:r>
      <w:r w:rsidRPr="00A2551C" w:rsidR="00146316">
        <w:rPr>
          <w:lang w:val="fr-FR"/>
        </w:rPr>
        <w:t xml:space="preserve">agissant de ses conditions de transport vers le </w:t>
      </w:r>
      <w:r w:rsidRPr="00A2551C" w:rsidR="008A56E0">
        <w:rPr>
          <w:lang w:val="fr-FR"/>
        </w:rPr>
        <w:t>tribunal</w:t>
      </w:r>
      <w:r w:rsidRPr="00A2551C" w:rsidR="00146316">
        <w:rPr>
          <w:lang w:val="fr-FR"/>
        </w:rPr>
        <w:t>, le requérant expose que son transfert se faisait au moyen de fourgons cellulaires, que la superficie de ceux-ci ne dépassait pas 9 m² et que ces véhicules accueillaient jusqu</w:t>
      </w:r>
      <w:r w:rsidRPr="00A2551C" w:rsidR="00A2551C">
        <w:rPr>
          <w:lang w:val="fr-FR"/>
        </w:rPr>
        <w:t>’</w:t>
      </w:r>
      <w:r w:rsidRPr="00A2551C" w:rsidR="00146316">
        <w:rPr>
          <w:lang w:val="fr-FR"/>
        </w:rPr>
        <w:t>à vingt-six détenus à la fois. Il précise que, les jours des audiences tenues dans le cadre de son procès pénal, il était transporté seul dans un compartiment de 1 m² situé à l</w:t>
      </w:r>
      <w:r w:rsidRPr="00A2551C" w:rsidR="00A2551C">
        <w:rPr>
          <w:lang w:val="fr-FR"/>
        </w:rPr>
        <w:t>’</w:t>
      </w:r>
      <w:r w:rsidRPr="00A2551C" w:rsidR="00146316">
        <w:rPr>
          <w:lang w:val="fr-FR"/>
        </w:rPr>
        <w:t>intérieur de ces fourgons. Il allègue qu</w:t>
      </w:r>
      <w:r w:rsidRPr="00A2551C" w:rsidR="00A2551C">
        <w:rPr>
          <w:lang w:val="fr-FR"/>
        </w:rPr>
        <w:t>’</w:t>
      </w:r>
      <w:r w:rsidRPr="00A2551C" w:rsidR="00146316">
        <w:rPr>
          <w:lang w:val="fr-FR"/>
        </w:rPr>
        <w:t>il passait entre cinq et six heures, et parfois même jusqu</w:t>
      </w:r>
      <w:r w:rsidRPr="00A2551C" w:rsidR="00A2551C">
        <w:rPr>
          <w:lang w:val="fr-FR"/>
        </w:rPr>
        <w:t>’</w:t>
      </w:r>
      <w:r w:rsidRPr="00A2551C" w:rsidR="00146316">
        <w:rPr>
          <w:lang w:val="fr-FR"/>
        </w:rPr>
        <w:t>à dix heures, dans ces véhicules.</w:t>
      </w:r>
    </w:p>
    <w:bookmarkStart w:name="condrtibreq" w:id="13"/>
    <w:p w:rsidRPr="00A2551C" w:rsidR="0014248D"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30</w:t>
      </w:r>
      <w:r w:rsidRPr="00A2551C">
        <w:rPr>
          <w:lang w:val="fr-FR"/>
        </w:rPr>
        <w:fldChar w:fldCharType="end"/>
      </w:r>
      <w:bookmarkEnd w:id="13"/>
      <w:r w:rsidRPr="00A2551C">
        <w:rPr>
          <w:lang w:val="fr-FR"/>
        </w:rPr>
        <w:t>.  </w:t>
      </w:r>
      <w:r w:rsidRPr="00A2551C" w:rsidR="00146316">
        <w:rPr>
          <w:lang w:val="fr-FR"/>
        </w:rPr>
        <w:t>Enfin, en ce qui concerne ses conditions de détention dans les locaux de cette juridiction, le requérant indique qu</w:t>
      </w:r>
      <w:r w:rsidRPr="00A2551C" w:rsidR="00A2551C">
        <w:rPr>
          <w:lang w:val="fr-FR"/>
        </w:rPr>
        <w:t>’</w:t>
      </w:r>
      <w:r w:rsidRPr="00A2551C" w:rsidR="00146316">
        <w:rPr>
          <w:lang w:val="fr-FR"/>
        </w:rPr>
        <w:t xml:space="preserve">il était placé, dès son arrivée dans </w:t>
      </w:r>
      <w:r w:rsidRPr="00A2551C" w:rsidR="00F314E0">
        <w:rPr>
          <w:lang w:val="fr-FR"/>
        </w:rPr>
        <w:t>l</w:t>
      </w:r>
      <w:r w:rsidRPr="00A2551C" w:rsidR="00146316">
        <w:rPr>
          <w:lang w:val="fr-FR"/>
        </w:rPr>
        <w:t>es locaux</w:t>
      </w:r>
      <w:r w:rsidRPr="00A2551C" w:rsidR="00F314E0">
        <w:rPr>
          <w:lang w:val="fr-FR"/>
        </w:rPr>
        <w:t xml:space="preserve"> en question</w:t>
      </w:r>
      <w:r w:rsidRPr="00A2551C" w:rsidR="00146316">
        <w:rPr>
          <w:lang w:val="fr-FR"/>
        </w:rPr>
        <w:t>, dans une cellule</w:t>
      </w:r>
      <w:r w:rsidRPr="00A2551C" w:rsidR="00EC6BDF">
        <w:rPr>
          <w:lang w:val="fr-FR"/>
        </w:rPr>
        <w:t>, pour être ensuite conduit au prétoire</w:t>
      </w:r>
      <w:r w:rsidRPr="00A2551C" w:rsidR="00146316">
        <w:rPr>
          <w:lang w:val="fr-FR"/>
        </w:rPr>
        <w:t>. Il ajoute que celle-ci mesurait</w:t>
      </w:r>
      <w:r w:rsidRPr="00A2551C" w:rsidR="008A56E0">
        <w:rPr>
          <w:lang w:val="fr-FR"/>
        </w:rPr>
        <w:t xml:space="preserve"> 1 </w:t>
      </w:r>
      <w:r w:rsidRPr="00A2551C" w:rsidR="00146316">
        <w:rPr>
          <w:lang w:val="fr-FR"/>
        </w:rPr>
        <w:t>m</w:t>
      </w:r>
      <w:r w:rsidRPr="00A2551C" w:rsidR="00146316">
        <w:rPr>
          <w:vertAlign w:val="superscript"/>
          <w:lang w:val="fr-FR"/>
        </w:rPr>
        <w:t>2</w:t>
      </w:r>
      <w:r w:rsidRPr="00A2551C" w:rsidR="00146316">
        <w:rPr>
          <w:lang w:val="fr-FR"/>
        </w:rPr>
        <w:t>, qu</w:t>
      </w:r>
      <w:r w:rsidRPr="00A2551C" w:rsidR="00A2551C">
        <w:rPr>
          <w:lang w:val="fr-FR"/>
        </w:rPr>
        <w:t>’</w:t>
      </w:r>
      <w:r w:rsidRPr="00A2551C" w:rsidR="00146316">
        <w:rPr>
          <w:lang w:val="fr-FR"/>
        </w:rPr>
        <w:t>elle ne disposait que d</w:t>
      </w:r>
      <w:r w:rsidRPr="00A2551C" w:rsidR="00A2551C">
        <w:rPr>
          <w:lang w:val="fr-FR"/>
        </w:rPr>
        <w:t>’</w:t>
      </w:r>
      <w:r w:rsidRPr="00A2551C" w:rsidR="00146316">
        <w:rPr>
          <w:lang w:val="fr-FR"/>
        </w:rPr>
        <w:t>un banc et qu</w:t>
      </w:r>
      <w:r w:rsidRPr="00A2551C" w:rsidR="00A2551C">
        <w:rPr>
          <w:lang w:val="fr-FR"/>
        </w:rPr>
        <w:t>’</w:t>
      </w:r>
      <w:r w:rsidRPr="00A2551C" w:rsidR="00146316">
        <w:rPr>
          <w:lang w:val="fr-FR"/>
        </w:rPr>
        <w:t>elle ne comportait ni fenêtres, ni toilettes, ni arrivée d</w:t>
      </w:r>
      <w:r w:rsidRPr="00A2551C" w:rsidR="00A2551C">
        <w:rPr>
          <w:lang w:val="fr-FR"/>
        </w:rPr>
        <w:t>’</w:t>
      </w:r>
      <w:r w:rsidRPr="00A2551C" w:rsidR="00146316">
        <w:rPr>
          <w:lang w:val="fr-FR"/>
        </w:rPr>
        <w:t>eau, ni ventilation. Il dit aussi qu</w:t>
      </w:r>
      <w:r w:rsidRPr="00A2551C" w:rsidR="00A2551C">
        <w:rPr>
          <w:lang w:val="fr-FR"/>
        </w:rPr>
        <w:t>’</w:t>
      </w:r>
      <w:r w:rsidRPr="00A2551C" w:rsidR="00146316">
        <w:rPr>
          <w:lang w:val="fr-FR"/>
        </w:rPr>
        <w:t>il y était détenu avec une à trois personnes.</w:t>
      </w:r>
    </w:p>
    <w:p w:rsidRPr="00A2551C" w:rsidR="0014248D" w:rsidP="00A2551C" w:rsidRDefault="008A56E0">
      <w:pPr>
        <w:pStyle w:val="ECHRHeading3"/>
        <w:keepNext w:val="0"/>
        <w:keepLines w:val="0"/>
        <w:rPr>
          <w:lang w:val="fr-FR"/>
        </w:rPr>
      </w:pPr>
      <w:r w:rsidRPr="00A2551C">
        <w:rPr>
          <w:lang w:val="fr-FR"/>
        </w:rPr>
        <w:t>2</w:t>
      </w:r>
      <w:r w:rsidRPr="00A2551C" w:rsidR="00146316">
        <w:rPr>
          <w:lang w:val="fr-FR"/>
        </w:rPr>
        <w:t>.  Les conditions et le régime de détention du requérant dans la colonie pénitentiaire à régime spécial n</w:t>
      </w:r>
      <w:r w:rsidRPr="00A2551C" w:rsidR="00146316">
        <w:rPr>
          <w:vertAlign w:val="superscript"/>
          <w:lang w:val="fr-FR"/>
        </w:rPr>
        <w:t>o</w:t>
      </w:r>
      <w:r w:rsidRPr="00A2551C" w:rsidR="00146316">
        <w:rPr>
          <w:lang w:val="fr-FR"/>
        </w:rPr>
        <w:t> IK–1</w:t>
      </w:r>
      <w:r w:rsidRPr="00A2551C" w:rsidR="00EC6BDF">
        <w:rPr>
          <w:lang w:val="fr-FR"/>
        </w:rPr>
        <w:t xml:space="preserve"> de la région de Mordovie</w:t>
      </w:r>
    </w:p>
    <w:p w:rsidRPr="00A2551C" w:rsidR="00782F2C" w:rsidP="00A2551C" w:rsidRDefault="00F92667">
      <w:pPr>
        <w:pStyle w:val="ECHRHeading4"/>
        <w:keepNext w:val="0"/>
        <w:keepLines w:val="0"/>
        <w:rPr>
          <w:lang w:val="fr-FR"/>
        </w:rPr>
      </w:pPr>
      <w:r w:rsidRPr="00A2551C">
        <w:rPr>
          <w:lang w:val="fr-FR"/>
        </w:rPr>
        <w:t>a)  </w:t>
      </w:r>
      <w:r w:rsidRPr="00A2551C" w:rsidR="00782F2C">
        <w:rPr>
          <w:lang w:val="fr-FR"/>
        </w:rPr>
        <w:t>Les conditions matérielles</w:t>
      </w:r>
    </w:p>
    <w:p w:rsidRPr="00A2551C" w:rsidR="0076324D"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31</w:t>
      </w:r>
      <w:r w:rsidRPr="00A2551C">
        <w:rPr>
          <w:lang w:val="fr-FR"/>
        </w:rPr>
        <w:fldChar w:fldCharType="end"/>
      </w:r>
      <w:r w:rsidRPr="00A2551C">
        <w:rPr>
          <w:lang w:val="fr-FR"/>
        </w:rPr>
        <w:t>.  </w:t>
      </w:r>
      <w:r w:rsidRPr="00A2551C" w:rsidR="00146316">
        <w:rPr>
          <w:lang w:val="fr-FR"/>
        </w:rPr>
        <w:t xml:space="preserve">Le </w:t>
      </w:r>
      <w:r w:rsidRPr="00A2551C" w:rsidR="0082650B">
        <w:rPr>
          <w:lang w:val="fr-FR"/>
        </w:rPr>
        <w:t>6</w:t>
      </w:r>
      <w:r w:rsidRPr="00A2551C" w:rsidR="00146316">
        <w:rPr>
          <w:lang w:val="fr-FR"/>
        </w:rPr>
        <w:t xml:space="preserve"> novembre 2011, le requérant fut placé dans la colonie pénitentiaire à régime spécial n</w:t>
      </w:r>
      <w:r w:rsidRPr="00A2551C" w:rsidR="00146316">
        <w:rPr>
          <w:vertAlign w:val="superscript"/>
          <w:lang w:val="fr-FR"/>
        </w:rPr>
        <w:t>o</w:t>
      </w:r>
      <w:r w:rsidRPr="00A2551C" w:rsidR="00146316">
        <w:rPr>
          <w:lang w:val="fr-FR"/>
        </w:rPr>
        <w:t> IK–1</w:t>
      </w:r>
      <w:r w:rsidRPr="00A2551C" w:rsidR="00231AB5">
        <w:rPr>
          <w:lang w:val="fr-FR"/>
        </w:rPr>
        <w:t xml:space="preserve"> </w:t>
      </w:r>
      <w:r w:rsidRPr="00A2551C" w:rsidR="00146316">
        <w:rPr>
          <w:lang w:val="fr-FR"/>
        </w:rPr>
        <w:t>située dans la région de Mordovie</w:t>
      </w:r>
      <w:r w:rsidRPr="00A2551C" w:rsidR="00231AB5">
        <w:rPr>
          <w:lang w:val="fr-FR"/>
        </w:rPr>
        <w:t xml:space="preserve"> (« la colonie pénitentiaire »)</w:t>
      </w:r>
      <w:r w:rsidRPr="00A2551C" w:rsidR="00146316">
        <w:rPr>
          <w:lang w:val="fr-FR"/>
        </w:rPr>
        <w:t xml:space="preserve"> pour purger sa peine de réclusion à perpétuité.</w:t>
      </w:r>
    </w:p>
    <w:bookmarkStart w:name="condcreq1" w:id="14"/>
    <w:p w:rsidRPr="00A2551C" w:rsidR="0076324D"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32</w:t>
      </w:r>
      <w:r w:rsidRPr="00A2551C">
        <w:rPr>
          <w:lang w:val="fr-FR"/>
        </w:rPr>
        <w:fldChar w:fldCharType="end"/>
      </w:r>
      <w:bookmarkEnd w:id="14"/>
      <w:r w:rsidRPr="00A2551C">
        <w:rPr>
          <w:lang w:val="fr-FR"/>
        </w:rPr>
        <w:t>.  </w:t>
      </w:r>
      <w:r w:rsidRPr="00A2551C" w:rsidR="00782F2C">
        <w:rPr>
          <w:lang w:val="fr-FR"/>
        </w:rPr>
        <w:t xml:space="preserve">Dans </w:t>
      </w:r>
      <w:r w:rsidRPr="00A2551C" w:rsidR="00483BA6">
        <w:rPr>
          <w:lang w:val="fr-FR"/>
        </w:rPr>
        <w:t>le formulaire de requête soumis le 12 avril 2012, l</w:t>
      </w:r>
      <w:r w:rsidRPr="00A2551C" w:rsidR="00146316">
        <w:rPr>
          <w:lang w:val="fr-FR"/>
        </w:rPr>
        <w:t xml:space="preserve">e requérant </w:t>
      </w:r>
      <w:r w:rsidRPr="00A2551C" w:rsidR="008D6176">
        <w:rPr>
          <w:lang w:val="fr-FR"/>
        </w:rPr>
        <w:t xml:space="preserve">décrit </w:t>
      </w:r>
      <w:r w:rsidRPr="00A2551C" w:rsidR="00F314E0">
        <w:rPr>
          <w:lang w:val="fr-FR"/>
        </w:rPr>
        <w:t>s</w:t>
      </w:r>
      <w:r w:rsidRPr="00A2551C" w:rsidR="008D6176">
        <w:rPr>
          <w:lang w:val="fr-FR"/>
        </w:rPr>
        <w:t>es conditions de détention de la manière suivante :</w:t>
      </w:r>
      <w:r w:rsidRPr="00A2551C" w:rsidR="00146316">
        <w:rPr>
          <w:lang w:val="fr-FR"/>
        </w:rPr>
        <w:t xml:space="preserve"> la superficie de la cellule dans laquelle il était placé </w:t>
      </w:r>
      <w:r w:rsidRPr="00A2551C" w:rsidR="008D6176">
        <w:rPr>
          <w:lang w:val="fr-FR"/>
        </w:rPr>
        <w:t xml:space="preserve">avec deux autres personnes </w:t>
      </w:r>
      <w:r w:rsidRPr="00A2551C" w:rsidR="00146316">
        <w:rPr>
          <w:lang w:val="fr-FR"/>
        </w:rPr>
        <w:t>ne dépassait pas 12 m</w:t>
      </w:r>
      <w:r w:rsidRPr="00A2551C" w:rsidR="00146316">
        <w:rPr>
          <w:vertAlign w:val="superscript"/>
          <w:lang w:val="fr-FR"/>
        </w:rPr>
        <w:t>2</w:t>
      </w:r>
      <w:r w:rsidRPr="00A2551C" w:rsidR="008D6176">
        <w:rPr>
          <w:vertAlign w:val="superscript"/>
          <w:lang w:val="fr-FR"/>
        </w:rPr>
        <w:t> </w:t>
      </w:r>
      <w:r w:rsidRPr="00A2551C" w:rsidR="008D6176">
        <w:rPr>
          <w:lang w:val="fr-FR"/>
        </w:rPr>
        <w:t>;</w:t>
      </w:r>
      <w:r w:rsidRPr="00A2551C" w:rsidR="00483BA6">
        <w:rPr>
          <w:lang w:val="fr-FR"/>
        </w:rPr>
        <w:t xml:space="preserve"> </w:t>
      </w:r>
      <w:r w:rsidRPr="00A2551C" w:rsidR="00146316">
        <w:rPr>
          <w:lang w:val="fr-FR"/>
        </w:rPr>
        <w:t xml:space="preserve">celle-ci comprenait trois </w:t>
      </w:r>
      <w:r w:rsidRPr="00A2551C" w:rsidR="00483BA6">
        <w:rPr>
          <w:lang w:val="fr-FR"/>
        </w:rPr>
        <w:t>lits</w:t>
      </w:r>
      <w:r w:rsidRPr="00A2551C" w:rsidR="00146316">
        <w:rPr>
          <w:lang w:val="fr-FR"/>
        </w:rPr>
        <w:t>, un lavabo et des toilettes</w:t>
      </w:r>
      <w:r w:rsidRPr="00A2551C" w:rsidR="008D6176">
        <w:rPr>
          <w:lang w:val="fr-FR"/>
        </w:rPr>
        <w:t xml:space="preserve"> ; </w:t>
      </w:r>
      <w:r w:rsidRPr="00A2551C" w:rsidR="00146316">
        <w:rPr>
          <w:lang w:val="fr-FR"/>
        </w:rPr>
        <w:t>la cellule ne disposait que d</w:t>
      </w:r>
      <w:r w:rsidRPr="00A2551C" w:rsidR="00A2551C">
        <w:rPr>
          <w:lang w:val="fr-FR"/>
        </w:rPr>
        <w:t>’</w:t>
      </w:r>
      <w:r w:rsidRPr="00A2551C" w:rsidR="00146316">
        <w:rPr>
          <w:lang w:val="fr-FR"/>
        </w:rPr>
        <w:t>une petite fenêtre laissant pa</w:t>
      </w:r>
      <w:r w:rsidRPr="00A2551C" w:rsidR="008D6176">
        <w:rPr>
          <w:lang w:val="fr-FR"/>
        </w:rPr>
        <w:t xml:space="preserve">sser peu de lumière naturelle ; </w:t>
      </w:r>
      <w:r w:rsidRPr="00A2551C" w:rsidR="0064423F">
        <w:rPr>
          <w:lang w:val="fr-FR"/>
        </w:rPr>
        <w:t>la cellule</w:t>
      </w:r>
      <w:r w:rsidRPr="00A2551C" w:rsidR="00146316">
        <w:rPr>
          <w:lang w:val="fr-FR"/>
        </w:rPr>
        <w:t xml:space="preserve"> était mal isolée</w:t>
      </w:r>
      <w:r w:rsidRPr="00A2551C" w:rsidR="008D6176">
        <w:rPr>
          <w:lang w:val="fr-FR"/>
        </w:rPr>
        <w:t xml:space="preserve"> contre le froid et la chaleur ; </w:t>
      </w:r>
      <w:r w:rsidRPr="00A2551C" w:rsidR="00146316">
        <w:rPr>
          <w:lang w:val="fr-FR"/>
        </w:rPr>
        <w:t>les toilettes n</w:t>
      </w:r>
      <w:r w:rsidRPr="00A2551C" w:rsidR="00A2551C">
        <w:rPr>
          <w:lang w:val="fr-FR"/>
        </w:rPr>
        <w:t>’</w:t>
      </w:r>
      <w:r w:rsidRPr="00A2551C" w:rsidR="00146316">
        <w:rPr>
          <w:lang w:val="fr-FR"/>
        </w:rPr>
        <w:t>étaient séparées du reste de la cellule que par une cloison de 0,50 mètre de hauteur, ce qui</w:t>
      </w:r>
      <w:r w:rsidRPr="00A2551C" w:rsidR="00F314E0">
        <w:rPr>
          <w:lang w:val="fr-FR"/>
        </w:rPr>
        <w:t>,</w:t>
      </w:r>
      <w:r w:rsidRPr="00A2551C" w:rsidR="00146316">
        <w:rPr>
          <w:lang w:val="fr-FR"/>
        </w:rPr>
        <w:t xml:space="preserve"> selon lui</w:t>
      </w:r>
      <w:r w:rsidRPr="00A2551C" w:rsidR="00F314E0">
        <w:rPr>
          <w:lang w:val="fr-FR"/>
        </w:rPr>
        <w:t>,</w:t>
      </w:r>
      <w:r w:rsidRPr="00A2551C" w:rsidR="00146316">
        <w:rPr>
          <w:lang w:val="fr-FR"/>
        </w:rPr>
        <w:t xml:space="preserve"> privait les détenus de toute intimité et affectait les conditions d</w:t>
      </w:r>
      <w:r w:rsidRPr="00A2551C" w:rsidR="00A2551C">
        <w:rPr>
          <w:lang w:val="fr-FR"/>
        </w:rPr>
        <w:t>’</w:t>
      </w:r>
      <w:r w:rsidRPr="00A2551C" w:rsidR="0064423F">
        <w:rPr>
          <w:lang w:val="fr-FR"/>
        </w:rPr>
        <w:t xml:space="preserve">hygiène ; </w:t>
      </w:r>
      <w:r w:rsidRPr="00A2551C" w:rsidR="00146316">
        <w:rPr>
          <w:lang w:val="fr-FR"/>
        </w:rPr>
        <w:t xml:space="preserve">les draps étaient </w:t>
      </w:r>
      <w:r w:rsidRPr="00A2551C" w:rsidR="0064423F">
        <w:rPr>
          <w:lang w:val="fr-FR"/>
        </w:rPr>
        <w:t>extrêmement usés</w:t>
      </w:r>
      <w:r w:rsidRPr="00A2551C" w:rsidR="00D1387E">
        <w:rPr>
          <w:lang w:val="fr-FR"/>
        </w:rPr>
        <w:t xml:space="preserve"> et</w:t>
      </w:r>
      <w:r w:rsidRPr="00A2551C" w:rsidR="00146316">
        <w:rPr>
          <w:lang w:val="fr-FR"/>
        </w:rPr>
        <w:t xml:space="preserve"> n</w:t>
      </w:r>
      <w:r w:rsidRPr="00A2551C" w:rsidR="00A2551C">
        <w:rPr>
          <w:lang w:val="fr-FR"/>
        </w:rPr>
        <w:t>’</w:t>
      </w:r>
      <w:r w:rsidRPr="00A2551C" w:rsidR="00146316">
        <w:rPr>
          <w:lang w:val="fr-FR"/>
        </w:rPr>
        <w:t>étaient changés qu</w:t>
      </w:r>
      <w:r w:rsidRPr="00A2551C" w:rsidR="00A2551C">
        <w:rPr>
          <w:lang w:val="fr-FR"/>
        </w:rPr>
        <w:t>’</w:t>
      </w:r>
      <w:r w:rsidRPr="00A2551C" w:rsidR="00146316">
        <w:rPr>
          <w:lang w:val="fr-FR"/>
        </w:rPr>
        <w:t>une fois par mois</w:t>
      </w:r>
      <w:r w:rsidRPr="00A2551C" w:rsidR="0064423F">
        <w:rPr>
          <w:lang w:val="fr-FR"/>
        </w:rPr>
        <w:t xml:space="preserve"> ; </w:t>
      </w:r>
      <w:r w:rsidRPr="00A2551C" w:rsidR="00146316">
        <w:rPr>
          <w:lang w:val="fr-FR"/>
        </w:rPr>
        <w:t>il n</w:t>
      </w:r>
      <w:r w:rsidRPr="00A2551C" w:rsidR="00A2551C">
        <w:rPr>
          <w:lang w:val="fr-FR"/>
        </w:rPr>
        <w:t>’</w:t>
      </w:r>
      <w:r w:rsidRPr="00A2551C" w:rsidR="00146316">
        <w:rPr>
          <w:lang w:val="fr-FR"/>
        </w:rPr>
        <w:t xml:space="preserve">avait reçu que très peu de vêtements et ceux-ci </w:t>
      </w:r>
      <w:r w:rsidRPr="00A2551C" w:rsidR="00D1387E">
        <w:rPr>
          <w:lang w:val="fr-FR"/>
        </w:rPr>
        <w:t>étaient</w:t>
      </w:r>
      <w:r w:rsidRPr="00A2551C" w:rsidR="00146316">
        <w:rPr>
          <w:lang w:val="fr-FR"/>
        </w:rPr>
        <w:t xml:space="preserve"> </w:t>
      </w:r>
      <w:r w:rsidRPr="00A2551C" w:rsidR="00D1387E">
        <w:rPr>
          <w:lang w:val="fr-FR"/>
        </w:rPr>
        <w:t>in</w:t>
      </w:r>
      <w:r w:rsidRPr="00A2551C" w:rsidR="00146316">
        <w:rPr>
          <w:lang w:val="fr-FR"/>
        </w:rPr>
        <w:t>suffisants pour le protéger du froid en hiver</w:t>
      </w:r>
      <w:r w:rsidRPr="00A2551C" w:rsidR="0064423F">
        <w:rPr>
          <w:lang w:val="fr-FR"/>
        </w:rPr>
        <w:t xml:space="preserve"> ; </w:t>
      </w:r>
      <w:r w:rsidRPr="00A2551C" w:rsidR="00146316">
        <w:rPr>
          <w:lang w:val="fr-FR"/>
        </w:rPr>
        <w:t>il n</w:t>
      </w:r>
      <w:r w:rsidRPr="00A2551C" w:rsidR="00A2551C">
        <w:rPr>
          <w:lang w:val="fr-FR"/>
        </w:rPr>
        <w:t>’</w:t>
      </w:r>
      <w:r w:rsidRPr="00A2551C" w:rsidR="00146316">
        <w:rPr>
          <w:lang w:val="fr-FR"/>
        </w:rPr>
        <w:t>avait droit qu</w:t>
      </w:r>
      <w:r w:rsidRPr="00A2551C" w:rsidR="00A2551C">
        <w:rPr>
          <w:lang w:val="fr-FR"/>
        </w:rPr>
        <w:t>’</w:t>
      </w:r>
      <w:r w:rsidRPr="00A2551C" w:rsidR="00146316">
        <w:rPr>
          <w:lang w:val="fr-FR"/>
        </w:rPr>
        <w:t>à une heure de pro</w:t>
      </w:r>
      <w:r w:rsidRPr="00A2551C" w:rsidR="0064423F">
        <w:rPr>
          <w:lang w:val="fr-FR"/>
        </w:rPr>
        <w:t xml:space="preserve">menade par jour et </w:t>
      </w:r>
      <w:r w:rsidRPr="00A2551C" w:rsidR="00146316">
        <w:rPr>
          <w:lang w:val="fr-FR"/>
        </w:rPr>
        <w:t>il effectuait celle-ci seul dans une cour de 10 m</w:t>
      </w:r>
      <w:r w:rsidRPr="00A2551C" w:rsidR="00146316">
        <w:rPr>
          <w:vertAlign w:val="superscript"/>
          <w:lang w:val="fr-FR"/>
        </w:rPr>
        <w:t>2</w:t>
      </w:r>
      <w:r w:rsidRPr="00A2551C" w:rsidR="0064423F">
        <w:rPr>
          <w:vertAlign w:val="superscript"/>
          <w:lang w:val="fr-FR"/>
        </w:rPr>
        <w:t> </w:t>
      </w:r>
      <w:r w:rsidRPr="00A2551C" w:rsidR="0064423F">
        <w:rPr>
          <w:lang w:val="fr-FR"/>
        </w:rPr>
        <w:t xml:space="preserve">; </w:t>
      </w:r>
      <w:r w:rsidRPr="00A2551C" w:rsidR="00146316">
        <w:rPr>
          <w:lang w:val="fr-FR"/>
        </w:rPr>
        <w:t>il ne bénéficiait que d</w:t>
      </w:r>
      <w:r w:rsidRPr="00A2551C" w:rsidR="00A2551C">
        <w:rPr>
          <w:lang w:val="fr-FR"/>
        </w:rPr>
        <w:t>’</w:t>
      </w:r>
      <w:r w:rsidRPr="00A2551C" w:rsidR="00146316">
        <w:rPr>
          <w:lang w:val="fr-FR"/>
        </w:rPr>
        <w:t>une douch</w:t>
      </w:r>
      <w:r w:rsidRPr="00A2551C" w:rsidR="00483BA6">
        <w:rPr>
          <w:lang w:val="fr-FR"/>
        </w:rPr>
        <w:t>e de quinze minutes par semaine</w:t>
      </w:r>
      <w:r w:rsidRPr="00A2551C" w:rsidR="00146316">
        <w:rPr>
          <w:lang w:val="fr-FR"/>
        </w:rPr>
        <w:t>.</w:t>
      </w:r>
    </w:p>
    <w:p w:rsidRPr="00A2551C" w:rsidR="00782F2C" w:rsidP="00A2551C" w:rsidRDefault="00782F2C">
      <w:pPr>
        <w:pStyle w:val="ECHRHeading4"/>
        <w:rPr>
          <w:lang w:val="fr-FR"/>
        </w:rPr>
      </w:pPr>
      <w:r w:rsidRPr="00A2551C">
        <w:rPr>
          <w:lang w:val="fr-FR"/>
        </w:rPr>
        <w:t>b</w:t>
      </w:r>
      <w:r w:rsidRPr="00A2551C" w:rsidR="00F92667">
        <w:rPr>
          <w:lang w:val="fr-FR"/>
        </w:rPr>
        <w:t>)  </w:t>
      </w:r>
      <w:r w:rsidRPr="00A2551C">
        <w:rPr>
          <w:lang w:val="fr-FR"/>
        </w:rPr>
        <w:t>La vidéosurveillance</w:t>
      </w:r>
    </w:p>
    <w:bookmarkStart w:name="vidsurreq" w:id="15"/>
    <w:p w:rsidRPr="00A2551C" w:rsidR="00782F2C" w:rsidP="00A2551C" w:rsidRDefault="00782F2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33</w:t>
      </w:r>
      <w:r w:rsidRPr="00A2551C">
        <w:rPr>
          <w:lang w:val="fr-FR"/>
        </w:rPr>
        <w:fldChar w:fldCharType="end"/>
      </w:r>
      <w:bookmarkEnd w:id="15"/>
      <w:r w:rsidRPr="00A2551C">
        <w:rPr>
          <w:lang w:val="fr-FR"/>
        </w:rPr>
        <w:t>.  Le requérant indique que la cellule dans laquelle il était placé était équipée d</w:t>
      </w:r>
      <w:r w:rsidRPr="00A2551C" w:rsidR="00A2551C">
        <w:rPr>
          <w:lang w:val="fr-FR"/>
        </w:rPr>
        <w:t>’</w:t>
      </w:r>
      <w:r w:rsidRPr="00A2551C">
        <w:rPr>
          <w:lang w:val="fr-FR"/>
        </w:rPr>
        <w:t xml:space="preserve">un système de vidéosurveillance </w:t>
      </w:r>
      <w:r w:rsidRPr="00A2551C" w:rsidR="00D1387E">
        <w:rPr>
          <w:lang w:val="fr-FR"/>
        </w:rPr>
        <w:t>fonctionnant</w:t>
      </w:r>
      <w:r w:rsidRPr="00A2551C">
        <w:rPr>
          <w:lang w:val="fr-FR"/>
        </w:rPr>
        <w:t xml:space="preserve"> </w:t>
      </w:r>
      <w:r w:rsidRPr="00A2551C" w:rsidR="00D1387E">
        <w:rPr>
          <w:lang w:val="fr-FR"/>
        </w:rPr>
        <w:t>24</w:t>
      </w:r>
      <w:r w:rsidRPr="00A2551C">
        <w:rPr>
          <w:lang w:val="fr-FR"/>
        </w:rPr>
        <w:t xml:space="preserve"> heures sur </w:t>
      </w:r>
      <w:r w:rsidRPr="00A2551C" w:rsidR="00D1387E">
        <w:rPr>
          <w:lang w:val="fr-FR"/>
        </w:rPr>
        <w:t>24</w:t>
      </w:r>
      <w:r w:rsidRPr="00A2551C">
        <w:rPr>
          <w:lang w:val="fr-FR"/>
        </w:rPr>
        <w:t xml:space="preserve"> et qu</w:t>
      </w:r>
      <w:r w:rsidRPr="00A2551C" w:rsidR="00A2551C">
        <w:rPr>
          <w:lang w:val="fr-FR"/>
        </w:rPr>
        <w:t>’</w:t>
      </w:r>
      <w:r w:rsidRPr="00A2551C">
        <w:rPr>
          <w:lang w:val="fr-FR"/>
        </w:rPr>
        <w:t>il était constamment surveillé</w:t>
      </w:r>
      <w:r w:rsidRPr="00A2551C" w:rsidR="00D1387E">
        <w:rPr>
          <w:lang w:val="fr-FR"/>
        </w:rPr>
        <w:t>,</w:t>
      </w:r>
      <w:r w:rsidRPr="00A2551C">
        <w:rPr>
          <w:lang w:val="fr-FR"/>
        </w:rPr>
        <w:t xml:space="preserve"> soit directement par un gardien</w:t>
      </w:r>
      <w:r w:rsidRPr="00A2551C" w:rsidR="00D1387E">
        <w:rPr>
          <w:lang w:val="fr-FR"/>
        </w:rPr>
        <w:t>,</w:t>
      </w:r>
      <w:r w:rsidRPr="00A2551C">
        <w:rPr>
          <w:lang w:val="fr-FR"/>
        </w:rPr>
        <w:t xml:space="preserve"> soit par le biais de la vidéosurveillance.</w:t>
      </w:r>
    </w:p>
    <w:p w:rsidRPr="00A2551C" w:rsidR="00782F2C" w:rsidP="00A2551C" w:rsidRDefault="00782F2C">
      <w:pPr>
        <w:pStyle w:val="ECHRHeading4"/>
        <w:rPr>
          <w:lang w:val="fr-FR"/>
        </w:rPr>
      </w:pPr>
      <w:r w:rsidRPr="00A2551C">
        <w:rPr>
          <w:lang w:val="fr-FR"/>
        </w:rPr>
        <w:t>c)  Les visites familiales et le contact avec le monde extérieur</w:t>
      </w:r>
    </w:p>
    <w:bookmarkStart w:name="visreq1" w:id="16"/>
    <w:p w:rsidRPr="00A2551C" w:rsidR="00782F2C" w:rsidP="00A2551C" w:rsidRDefault="00782F2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34</w:t>
      </w:r>
      <w:r w:rsidRPr="00A2551C">
        <w:rPr>
          <w:lang w:val="fr-FR"/>
        </w:rPr>
        <w:fldChar w:fldCharType="end"/>
      </w:r>
      <w:bookmarkEnd w:id="16"/>
      <w:r w:rsidRPr="00A2551C">
        <w:rPr>
          <w:lang w:val="fr-FR"/>
        </w:rPr>
        <w:t>.  </w:t>
      </w:r>
      <w:r w:rsidRPr="00A2551C" w:rsidR="00B725FF">
        <w:rPr>
          <w:lang w:val="fr-FR"/>
        </w:rPr>
        <w:t>Dans le formulaire de requête soumis le 12 avril 2012, l</w:t>
      </w:r>
      <w:r w:rsidRPr="00A2551C">
        <w:rPr>
          <w:lang w:val="fr-FR"/>
        </w:rPr>
        <w:t>e requérant déclare que, en tant que personne condamnée à la réclusion à perpétuité, il n</w:t>
      </w:r>
      <w:r w:rsidRPr="00A2551C" w:rsidR="00A2551C">
        <w:rPr>
          <w:lang w:val="fr-FR"/>
        </w:rPr>
        <w:t>’</w:t>
      </w:r>
      <w:r w:rsidRPr="00A2551C">
        <w:rPr>
          <w:lang w:val="fr-FR"/>
        </w:rPr>
        <w:t>avait droit qu</w:t>
      </w:r>
      <w:r w:rsidRPr="00A2551C" w:rsidR="00A2551C">
        <w:rPr>
          <w:lang w:val="fr-FR"/>
        </w:rPr>
        <w:t>’</w:t>
      </w:r>
      <w:r w:rsidRPr="00A2551C">
        <w:rPr>
          <w:lang w:val="fr-FR"/>
        </w:rPr>
        <w:t xml:space="preserve">à deux courtes visites par an. Il </w:t>
      </w:r>
      <w:r w:rsidRPr="00A2551C" w:rsidR="00F314E0">
        <w:rPr>
          <w:lang w:val="fr-FR"/>
        </w:rPr>
        <w:t xml:space="preserve">indique </w:t>
      </w:r>
      <w:r w:rsidRPr="00A2551C">
        <w:rPr>
          <w:lang w:val="fr-FR"/>
        </w:rPr>
        <w:t>que ces visites duraient quatre heures, qu</w:t>
      </w:r>
      <w:r w:rsidRPr="00A2551C" w:rsidR="00A2551C">
        <w:rPr>
          <w:lang w:val="fr-FR"/>
        </w:rPr>
        <w:t>’</w:t>
      </w:r>
      <w:r w:rsidRPr="00A2551C">
        <w:rPr>
          <w:lang w:val="fr-FR"/>
        </w:rPr>
        <w:t xml:space="preserve">elles avaient lieu dans une salle où une cloison </w:t>
      </w:r>
      <w:r w:rsidRPr="00A2551C" w:rsidR="00EC6BDF">
        <w:rPr>
          <w:lang w:val="fr-FR"/>
        </w:rPr>
        <w:t xml:space="preserve">vitrée </w:t>
      </w:r>
      <w:r w:rsidRPr="00A2551C">
        <w:rPr>
          <w:lang w:val="fr-FR"/>
        </w:rPr>
        <w:t>l</w:t>
      </w:r>
      <w:r w:rsidRPr="00A2551C" w:rsidR="00A2551C">
        <w:rPr>
          <w:lang w:val="fr-FR"/>
        </w:rPr>
        <w:t>’</w:t>
      </w:r>
      <w:r w:rsidRPr="00A2551C">
        <w:rPr>
          <w:lang w:val="fr-FR"/>
        </w:rPr>
        <w:t xml:space="preserve">aurait séparé de ses proches et aurait empêché tout contact physique, et que, lors de ces visites, toute intimité était exclue en raison </w:t>
      </w:r>
      <w:r w:rsidRPr="00A2551C" w:rsidR="00A64B0A">
        <w:rPr>
          <w:lang w:val="fr-FR"/>
        </w:rPr>
        <w:t xml:space="preserve">de la </w:t>
      </w:r>
      <w:r w:rsidRPr="00A2551C">
        <w:rPr>
          <w:lang w:val="fr-FR"/>
        </w:rPr>
        <w:t xml:space="preserve">surveillance des gardiens. Il </w:t>
      </w:r>
      <w:r w:rsidRPr="00A2551C" w:rsidR="00F314E0">
        <w:rPr>
          <w:lang w:val="fr-FR"/>
        </w:rPr>
        <w:t xml:space="preserve">allègue </w:t>
      </w:r>
      <w:r w:rsidRPr="00A2551C">
        <w:rPr>
          <w:lang w:val="fr-FR"/>
        </w:rPr>
        <w:t>en outre qu</w:t>
      </w:r>
      <w:r w:rsidRPr="00A2551C" w:rsidR="00A2551C">
        <w:rPr>
          <w:lang w:val="fr-FR"/>
        </w:rPr>
        <w:t>’</w:t>
      </w:r>
      <w:r w:rsidRPr="00A2551C">
        <w:rPr>
          <w:lang w:val="fr-FR"/>
        </w:rPr>
        <w:t>il n</w:t>
      </w:r>
      <w:r w:rsidRPr="00A2551C" w:rsidR="00A2551C">
        <w:rPr>
          <w:lang w:val="fr-FR"/>
        </w:rPr>
        <w:t>’</w:t>
      </w:r>
      <w:r w:rsidRPr="00A2551C">
        <w:rPr>
          <w:lang w:val="fr-FR"/>
        </w:rPr>
        <w:t xml:space="preserve">était pas autorisé à téléphoner à ses proches </w:t>
      </w:r>
      <w:r w:rsidRPr="00A2551C" w:rsidR="00A64B0A">
        <w:rPr>
          <w:lang w:val="fr-FR"/>
        </w:rPr>
        <w:t xml:space="preserve">ni </w:t>
      </w:r>
      <w:r w:rsidRPr="00A2551C">
        <w:rPr>
          <w:lang w:val="fr-FR"/>
        </w:rPr>
        <w:t>à ses avocats.</w:t>
      </w:r>
    </w:p>
    <w:p w:rsidRPr="00A2551C" w:rsidR="00E77CB3" w:rsidP="00A2551C" w:rsidRDefault="00E77CB3">
      <w:pPr>
        <w:pStyle w:val="ECHRHeading1"/>
        <w:rPr>
          <w:lang w:val="fr-FR"/>
        </w:rPr>
      </w:pPr>
      <w:r w:rsidRPr="00A2551C">
        <w:rPr>
          <w:lang w:val="fr-FR"/>
        </w:rPr>
        <w:t>II.  LE DROIT ET LA PRATIQUE INTERNES PERTINENTS</w:t>
      </w:r>
    </w:p>
    <w:p w:rsidRPr="00A2551C" w:rsidR="00A33758" w:rsidP="00A2551C" w:rsidRDefault="00A33758">
      <w:pPr>
        <w:pStyle w:val="ECHRHeading2"/>
        <w:rPr>
          <w:lang w:val="fr-FR"/>
        </w:rPr>
      </w:pPr>
      <w:r w:rsidRPr="00A2551C">
        <w:rPr>
          <w:lang w:val="fr-FR"/>
        </w:rPr>
        <w:t>A.  </w:t>
      </w:r>
      <w:r w:rsidRPr="00A2551C" w:rsidR="00994DC1">
        <w:rPr>
          <w:lang w:val="fr-FR"/>
        </w:rPr>
        <w:t>Sur l</w:t>
      </w:r>
      <w:r w:rsidRPr="00A2551C" w:rsidR="00CB2C18">
        <w:rPr>
          <w:lang w:val="fr-FR"/>
        </w:rPr>
        <w:t>a</w:t>
      </w:r>
      <w:r w:rsidRPr="00A2551C">
        <w:rPr>
          <w:lang w:val="fr-FR"/>
        </w:rPr>
        <w:t xml:space="preserve"> publicité </w:t>
      </w:r>
      <w:r w:rsidRPr="00A2551C" w:rsidR="00994DC1">
        <w:rPr>
          <w:lang w:val="fr-FR"/>
        </w:rPr>
        <w:t>du procès pénal</w:t>
      </w:r>
      <w:r w:rsidRPr="00A2551C" w:rsidR="00F50B39">
        <w:rPr>
          <w:lang w:val="fr-FR"/>
        </w:rPr>
        <w:t xml:space="preserve"> et </w:t>
      </w:r>
      <w:r w:rsidRPr="00A2551C" w:rsidR="00994DC1">
        <w:rPr>
          <w:lang w:val="fr-FR"/>
        </w:rPr>
        <w:t>sur la contestation de décisions y relatives</w:t>
      </w:r>
    </w:p>
    <w:bookmarkStart w:name="cpp241" w:id="17"/>
    <w:p w:rsidRPr="00A2551C" w:rsidR="0076324D" w:rsidP="00A2551C" w:rsidRDefault="00CB2C1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35</w:t>
      </w:r>
      <w:r w:rsidRPr="00A2551C">
        <w:rPr>
          <w:lang w:val="fr-FR"/>
        </w:rPr>
        <w:fldChar w:fldCharType="end"/>
      </w:r>
      <w:bookmarkEnd w:id="17"/>
      <w:r w:rsidRPr="00A2551C">
        <w:rPr>
          <w:lang w:val="fr-FR"/>
        </w:rPr>
        <w:t>.  </w:t>
      </w:r>
      <w:r w:rsidRPr="00A2551C" w:rsidR="00276E2B">
        <w:rPr>
          <w:lang w:val="fr-FR"/>
        </w:rPr>
        <w:t>Selon</w:t>
      </w:r>
      <w:r w:rsidRPr="00A2551C">
        <w:rPr>
          <w:lang w:val="fr-FR"/>
        </w:rPr>
        <w:t xml:space="preserve"> l</w:t>
      </w:r>
      <w:r w:rsidRPr="00A2551C" w:rsidR="00A2551C">
        <w:rPr>
          <w:lang w:val="fr-FR"/>
        </w:rPr>
        <w:t>’</w:t>
      </w:r>
      <w:r w:rsidRPr="00A2551C">
        <w:rPr>
          <w:lang w:val="fr-FR"/>
        </w:rPr>
        <w:t>article 241 du CPP</w:t>
      </w:r>
      <w:r w:rsidRPr="00A2551C" w:rsidR="00E75C06">
        <w:rPr>
          <w:lang w:val="fr-FR"/>
        </w:rPr>
        <w:t>,</w:t>
      </w:r>
      <w:r w:rsidRPr="00A2551C" w:rsidR="00276E2B">
        <w:rPr>
          <w:lang w:val="fr-FR"/>
        </w:rPr>
        <w:t xml:space="preserve"> le procès devant toute juridiction </w:t>
      </w:r>
      <w:r w:rsidRPr="00A2551C">
        <w:rPr>
          <w:lang w:val="fr-FR"/>
        </w:rPr>
        <w:t>pénale</w:t>
      </w:r>
      <w:r w:rsidRPr="00A2551C" w:rsidR="00276E2B">
        <w:rPr>
          <w:lang w:val="fr-FR"/>
        </w:rPr>
        <w:t xml:space="preserve"> doit être public (§ 1). Le tribunal peut décider de tenir un procès à huis clos (§ 2), notamment si la publicité du procès peut </w:t>
      </w:r>
      <w:r w:rsidRPr="00A2551C" w:rsidR="00F50B39">
        <w:rPr>
          <w:lang w:val="fr-FR"/>
        </w:rPr>
        <w:t>dévoiler</w:t>
      </w:r>
      <w:r w:rsidRPr="00A2551C" w:rsidR="00276E2B">
        <w:rPr>
          <w:lang w:val="fr-FR"/>
        </w:rPr>
        <w:t xml:space="preserve"> un secret d</w:t>
      </w:r>
      <w:r w:rsidRPr="00A2551C" w:rsidR="00A2551C">
        <w:rPr>
          <w:lang w:val="fr-FR"/>
        </w:rPr>
        <w:t>’</w:t>
      </w:r>
      <w:r w:rsidRPr="00A2551C" w:rsidR="00F50B39">
        <w:rPr>
          <w:lang w:val="fr-FR"/>
        </w:rPr>
        <w:t xml:space="preserve">État ou </w:t>
      </w:r>
      <w:r w:rsidRPr="00A2551C" w:rsidR="00276E2B">
        <w:rPr>
          <w:lang w:val="fr-FR"/>
        </w:rPr>
        <w:t xml:space="preserve">toute information classifiée conformément à la loi fédérale (alinéa 1). </w:t>
      </w:r>
      <w:r w:rsidRPr="00A2551C" w:rsidR="001C23A1">
        <w:rPr>
          <w:lang w:val="fr-FR"/>
        </w:rPr>
        <w:t xml:space="preserve">À </w:t>
      </w:r>
      <w:r w:rsidRPr="00A2551C" w:rsidR="00F50B39">
        <w:rPr>
          <w:lang w:val="fr-FR"/>
        </w:rPr>
        <w:t>l</w:t>
      </w:r>
      <w:r w:rsidRPr="00A2551C" w:rsidR="00A2551C">
        <w:rPr>
          <w:lang w:val="fr-FR"/>
        </w:rPr>
        <w:t>’</w:t>
      </w:r>
      <w:r w:rsidRPr="00A2551C" w:rsidR="00F50B39">
        <w:rPr>
          <w:lang w:val="fr-FR"/>
        </w:rPr>
        <w:t>appui de sa décision de tenir le procès à huis clos, le t</w:t>
      </w:r>
      <w:r w:rsidRPr="00A2551C" w:rsidR="00276E2B">
        <w:rPr>
          <w:lang w:val="fr-FR"/>
        </w:rPr>
        <w:t xml:space="preserve">ribunal </w:t>
      </w:r>
      <w:r w:rsidRPr="00A2551C" w:rsidR="00F50B39">
        <w:rPr>
          <w:lang w:val="fr-FR"/>
        </w:rPr>
        <w:t>doit se référer à des faits concrets (§ 2.1). La décision du tribunal portant sur l</w:t>
      </w:r>
      <w:r w:rsidRPr="00A2551C" w:rsidR="00A2551C">
        <w:rPr>
          <w:lang w:val="fr-FR"/>
        </w:rPr>
        <w:t>’</w:t>
      </w:r>
      <w:r w:rsidRPr="00A2551C" w:rsidR="00F50B39">
        <w:rPr>
          <w:lang w:val="fr-FR"/>
        </w:rPr>
        <w:t xml:space="preserve">exclusion du public des débats peut concerner tout ou une partie du procès </w:t>
      </w:r>
      <w:r w:rsidRPr="00A2551C" w:rsidR="00994DC1">
        <w:rPr>
          <w:lang w:val="fr-FR"/>
        </w:rPr>
        <w:t xml:space="preserve">pénal </w:t>
      </w:r>
      <w:r w:rsidRPr="00A2551C" w:rsidR="00F50B39">
        <w:rPr>
          <w:lang w:val="fr-FR"/>
        </w:rPr>
        <w:t>(§ 3).</w:t>
      </w:r>
    </w:p>
    <w:bookmarkStart w:name="cpp227" w:id="18"/>
    <w:p w:rsidRPr="00A2551C" w:rsidR="0076324D" w:rsidP="00A2551C" w:rsidRDefault="00E75C06">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36</w:t>
      </w:r>
      <w:r w:rsidRPr="00A2551C">
        <w:rPr>
          <w:lang w:val="fr-FR"/>
        </w:rPr>
        <w:fldChar w:fldCharType="end"/>
      </w:r>
      <w:bookmarkEnd w:id="18"/>
      <w:r w:rsidRPr="00A2551C">
        <w:rPr>
          <w:lang w:val="fr-FR"/>
        </w:rPr>
        <w:t>.  Selon l</w:t>
      </w:r>
      <w:r w:rsidRPr="00A2551C" w:rsidR="00DB6DA0">
        <w:rPr>
          <w:lang w:val="fr-FR"/>
        </w:rPr>
        <w:t xml:space="preserve">es </w:t>
      </w:r>
      <w:r w:rsidRPr="00A2551C">
        <w:rPr>
          <w:lang w:val="fr-FR"/>
        </w:rPr>
        <w:t>article</w:t>
      </w:r>
      <w:r w:rsidRPr="00A2551C" w:rsidR="00DB6DA0">
        <w:rPr>
          <w:lang w:val="fr-FR"/>
        </w:rPr>
        <w:t>s</w:t>
      </w:r>
      <w:r w:rsidRPr="00A2551C">
        <w:rPr>
          <w:lang w:val="fr-FR"/>
        </w:rPr>
        <w:t xml:space="preserve"> 2</w:t>
      </w:r>
      <w:r w:rsidRPr="00A2551C" w:rsidR="00DB6DA0">
        <w:rPr>
          <w:lang w:val="fr-FR"/>
        </w:rPr>
        <w:t>27</w:t>
      </w:r>
      <w:r w:rsidRPr="00A2551C">
        <w:rPr>
          <w:lang w:val="fr-FR"/>
        </w:rPr>
        <w:t xml:space="preserve"> </w:t>
      </w:r>
      <w:r w:rsidRPr="00A2551C" w:rsidR="00DB6DA0">
        <w:rPr>
          <w:lang w:val="fr-FR"/>
        </w:rPr>
        <w:t xml:space="preserve">et 231 </w:t>
      </w:r>
      <w:r w:rsidRPr="00A2551C">
        <w:rPr>
          <w:lang w:val="fr-FR"/>
        </w:rPr>
        <w:t xml:space="preserve">du CPP en vigueur au moment des faits, </w:t>
      </w:r>
      <w:r w:rsidRPr="00A2551C" w:rsidR="00DB6DA0">
        <w:rPr>
          <w:lang w:val="fr-FR"/>
        </w:rPr>
        <w:t>dans sa décision rendue à l</w:t>
      </w:r>
      <w:r w:rsidRPr="00A2551C" w:rsidR="00A2551C">
        <w:rPr>
          <w:lang w:val="fr-FR"/>
        </w:rPr>
        <w:t>’</w:t>
      </w:r>
      <w:r w:rsidRPr="00A2551C" w:rsidR="00DB6DA0">
        <w:rPr>
          <w:lang w:val="fr-FR"/>
        </w:rPr>
        <w:t>issue d</w:t>
      </w:r>
      <w:r w:rsidRPr="00A2551C" w:rsidR="00A2551C">
        <w:rPr>
          <w:lang w:val="fr-FR"/>
        </w:rPr>
        <w:t>’</w:t>
      </w:r>
      <w:r w:rsidRPr="00A2551C" w:rsidR="00DB6DA0">
        <w:rPr>
          <w:lang w:val="fr-FR"/>
        </w:rPr>
        <w:t>une audience préliminaire</w:t>
      </w:r>
      <w:r w:rsidRPr="00A2551C" w:rsidR="00771B83">
        <w:rPr>
          <w:lang w:val="fr-FR"/>
        </w:rPr>
        <w:t xml:space="preserve"> portant sur le début de l</w:t>
      </w:r>
      <w:r w:rsidRPr="00A2551C" w:rsidR="00A2551C">
        <w:rPr>
          <w:lang w:val="fr-FR"/>
        </w:rPr>
        <w:t>’</w:t>
      </w:r>
      <w:r w:rsidRPr="00A2551C" w:rsidR="00771B83">
        <w:rPr>
          <w:lang w:val="fr-FR"/>
        </w:rPr>
        <w:t>examen judiciaire d</w:t>
      </w:r>
      <w:r w:rsidRPr="00A2551C" w:rsidR="00A2551C">
        <w:rPr>
          <w:lang w:val="fr-FR"/>
        </w:rPr>
        <w:t>’</w:t>
      </w:r>
      <w:r w:rsidRPr="00A2551C" w:rsidR="00771B83">
        <w:rPr>
          <w:lang w:val="fr-FR"/>
        </w:rPr>
        <w:t>une affaire pénale</w:t>
      </w:r>
      <w:r w:rsidRPr="00A2551C" w:rsidR="00DB6DA0">
        <w:rPr>
          <w:lang w:val="fr-FR"/>
        </w:rPr>
        <w:t xml:space="preserve">, </w:t>
      </w:r>
      <w:r w:rsidRPr="00A2551C">
        <w:rPr>
          <w:lang w:val="fr-FR"/>
        </w:rPr>
        <w:t>le juge chargé d</w:t>
      </w:r>
      <w:r w:rsidRPr="00A2551C" w:rsidR="00A2551C">
        <w:rPr>
          <w:lang w:val="fr-FR"/>
        </w:rPr>
        <w:t>’</w:t>
      </w:r>
      <w:r w:rsidRPr="00A2551C">
        <w:rPr>
          <w:lang w:val="fr-FR"/>
        </w:rPr>
        <w:t xml:space="preserve">examiner </w:t>
      </w:r>
      <w:r w:rsidRPr="00A2551C" w:rsidR="00771B83">
        <w:rPr>
          <w:lang w:val="fr-FR"/>
        </w:rPr>
        <w:t>ladite affaire</w:t>
      </w:r>
      <w:r w:rsidRPr="00A2551C">
        <w:rPr>
          <w:lang w:val="fr-FR"/>
        </w:rPr>
        <w:t xml:space="preserve"> </w:t>
      </w:r>
      <w:r w:rsidRPr="00A2551C" w:rsidR="00DB6DA0">
        <w:rPr>
          <w:lang w:val="fr-FR"/>
        </w:rPr>
        <w:t>d</w:t>
      </w:r>
      <w:r w:rsidRPr="00A2551C" w:rsidR="00771B83">
        <w:rPr>
          <w:lang w:val="fr-FR"/>
        </w:rPr>
        <w:t>evait</w:t>
      </w:r>
      <w:r w:rsidRPr="00A2551C" w:rsidR="00DB6DA0">
        <w:rPr>
          <w:lang w:val="fr-FR"/>
        </w:rPr>
        <w:t xml:space="preserve"> obligatoirement se prononcer sur la question de savoir si le procès à venir devait être tenu publiquement ou à huis clos.</w:t>
      </w:r>
    </w:p>
    <w:bookmarkStart w:name="cpp236" w:id="19"/>
    <w:p w:rsidRPr="00A2551C" w:rsidR="0076324D" w:rsidP="00A2551C" w:rsidRDefault="00F50B39">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37</w:t>
      </w:r>
      <w:r w:rsidRPr="00A2551C">
        <w:rPr>
          <w:lang w:val="fr-FR"/>
        </w:rPr>
        <w:fldChar w:fldCharType="end"/>
      </w:r>
      <w:bookmarkEnd w:id="19"/>
      <w:r w:rsidRPr="00A2551C">
        <w:rPr>
          <w:lang w:val="fr-FR"/>
        </w:rPr>
        <w:t>.  Selon l</w:t>
      </w:r>
      <w:r w:rsidRPr="00A2551C" w:rsidR="00A2551C">
        <w:rPr>
          <w:lang w:val="fr-FR"/>
        </w:rPr>
        <w:t>’</w:t>
      </w:r>
      <w:r w:rsidRPr="00A2551C">
        <w:rPr>
          <w:lang w:val="fr-FR"/>
        </w:rPr>
        <w:t>article 236</w:t>
      </w:r>
      <w:r w:rsidRPr="00A2551C" w:rsidR="00DB6DA0">
        <w:rPr>
          <w:lang w:val="fr-FR"/>
        </w:rPr>
        <w:t> § 7</w:t>
      </w:r>
      <w:r w:rsidRPr="00A2551C">
        <w:rPr>
          <w:lang w:val="fr-FR"/>
        </w:rPr>
        <w:t xml:space="preserve"> du CPP</w:t>
      </w:r>
      <w:r w:rsidRPr="00A2551C" w:rsidR="00E75C06">
        <w:rPr>
          <w:lang w:val="fr-FR"/>
        </w:rPr>
        <w:t xml:space="preserve"> en vigueur au moment des faits, la décision prise à l</w:t>
      </w:r>
      <w:r w:rsidRPr="00A2551C" w:rsidR="00A2551C">
        <w:rPr>
          <w:lang w:val="fr-FR"/>
        </w:rPr>
        <w:t>’</w:t>
      </w:r>
      <w:r w:rsidRPr="00A2551C" w:rsidR="00E75C06">
        <w:rPr>
          <w:lang w:val="fr-FR"/>
        </w:rPr>
        <w:t>issue d</w:t>
      </w:r>
      <w:r w:rsidRPr="00A2551C" w:rsidR="00A2551C">
        <w:rPr>
          <w:lang w:val="fr-FR"/>
        </w:rPr>
        <w:t>’</w:t>
      </w:r>
      <w:r w:rsidRPr="00A2551C" w:rsidR="00E75C06">
        <w:rPr>
          <w:lang w:val="fr-FR"/>
        </w:rPr>
        <w:t>une audience préliminaire n</w:t>
      </w:r>
      <w:r w:rsidRPr="00A2551C" w:rsidR="00A2551C">
        <w:rPr>
          <w:lang w:val="fr-FR"/>
        </w:rPr>
        <w:t>’</w:t>
      </w:r>
      <w:r w:rsidRPr="00A2551C" w:rsidR="00E75C06">
        <w:rPr>
          <w:lang w:val="fr-FR"/>
        </w:rPr>
        <w:t xml:space="preserve">était </w:t>
      </w:r>
      <w:r w:rsidRPr="00A2551C" w:rsidR="00DB6DA0">
        <w:rPr>
          <w:lang w:val="fr-FR"/>
        </w:rPr>
        <w:t xml:space="preserve">susceptible </w:t>
      </w:r>
      <w:r w:rsidRPr="00A2551C" w:rsidR="000C5F07">
        <w:rPr>
          <w:lang w:val="fr-FR"/>
        </w:rPr>
        <w:t>d</w:t>
      </w:r>
      <w:r w:rsidRPr="00A2551C" w:rsidR="00A2551C">
        <w:rPr>
          <w:lang w:val="fr-FR"/>
        </w:rPr>
        <w:t>’</w:t>
      </w:r>
      <w:r w:rsidRPr="00A2551C" w:rsidR="000C5F07">
        <w:rPr>
          <w:lang w:val="fr-FR"/>
        </w:rPr>
        <w:t xml:space="preserve">appel </w:t>
      </w:r>
      <w:r w:rsidRPr="00A2551C" w:rsidR="00771B83">
        <w:rPr>
          <w:lang w:val="fr-FR"/>
        </w:rPr>
        <w:t>que dans deux cas de figure : si la décision portait sur l</w:t>
      </w:r>
      <w:r w:rsidRPr="00A2551C" w:rsidR="00A2551C">
        <w:rPr>
          <w:lang w:val="fr-FR"/>
        </w:rPr>
        <w:t>’</w:t>
      </w:r>
      <w:r w:rsidRPr="00A2551C" w:rsidR="00771B83">
        <w:rPr>
          <w:lang w:val="fr-FR"/>
        </w:rPr>
        <w:t xml:space="preserve">application </w:t>
      </w:r>
      <w:r w:rsidRPr="00A2551C" w:rsidR="00E75C06">
        <w:rPr>
          <w:lang w:val="fr-FR"/>
        </w:rPr>
        <w:t>d</w:t>
      </w:r>
      <w:r w:rsidRPr="00A2551C" w:rsidR="00A2551C">
        <w:rPr>
          <w:lang w:val="fr-FR"/>
        </w:rPr>
        <w:t>’</w:t>
      </w:r>
      <w:r w:rsidRPr="00A2551C" w:rsidR="00E75C06">
        <w:rPr>
          <w:lang w:val="fr-FR"/>
        </w:rPr>
        <w:t xml:space="preserve">une mesure restrictive de </w:t>
      </w:r>
      <w:r w:rsidRPr="00A2551C" w:rsidR="00EC6BDF">
        <w:rPr>
          <w:lang w:val="fr-FR"/>
        </w:rPr>
        <w:t>liberté à l</w:t>
      </w:r>
      <w:r w:rsidRPr="00A2551C" w:rsidR="00A2551C">
        <w:rPr>
          <w:lang w:val="fr-FR"/>
        </w:rPr>
        <w:t>’</w:t>
      </w:r>
      <w:r w:rsidRPr="00A2551C" w:rsidR="00EC6BDF">
        <w:rPr>
          <w:lang w:val="fr-FR"/>
        </w:rPr>
        <w:t>égard de l</w:t>
      </w:r>
      <w:r w:rsidRPr="00A2551C" w:rsidR="00A2551C">
        <w:rPr>
          <w:lang w:val="fr-FR"/>
        </w:rPr>
        <w:t>’</w:t>
      </w:r>
      <w:r w:rsidRPr="00A2551C" w:rsidR="00EC6BDF">
        <w:rPr>
          <w:lang w:val="fr-FR"/>
        </w:rPr>
        <w:t xml:space="preserve">accusé </w:t>
      </w:r>
      <w:r w:rsidRPr="00A2551C" w:rsidR="000C5F07">
        <w:rPr>
          <w:lang w:val="fr-FR"/>
        </w:rPr>
        <w:t>ou</w:t>
      </w:r>
      <w:r w:rsidRPr="00A2551C" w:rsidR="00771B83">
        <w:rPr>
          <w:lang w:val="fr-FR"/>
        </w:rPr>
        <w:t xml:space="preserve"> </w:t>
      </w:r>
      <w:r w:rsidRPr="00A2551C" w:rsidR="000C5F07">
        <w:rPr>
          <w:lang w:val="fr-FR"/>
        </w:rPr>
        <w:t xml:space="preserve">si </w:t>
      </w:r>
      <w:r w:rsidRPr="00A2551C" w:rsidR="00771B83">
        <w:rPr>
          <w:lang w:val="fr-FR"/>
        </w:rPr>
        <w:t>la décision</w:t>
      </w:r>
      <w:r w:rsidRPr="00A2551C" w:rsidR="00E75C06">
        <w:rPr>
          <w:lang w:val="fr-FR"/>
        </w:rPr>
        <w:t xml:space="preserve"> met</w:t>
      </w:r>
      <w:r w:rsidRPr="00A2551C" w:rsidR="000C5F07">
        <w:rPr>
          <w:lang w:val="fr-FR"/>
        </w:rPr>
        <w:t>tait</w:t>
      </w:r>
      <w:r w:rsidRPr="00A2551C" w:rsidR="00E75C06">
        <w:rPr>
          <w:lang w:val="fr-FR"/>
        </w:rPr>
        <w:t xml:space="preserve"> fin aux poursuites pénales dirigées contre ce dernier. </w:t>
      </w:r>
      <w:r w:rsidRPr="00A2551C" w:rsidR="000C5F07">
        <w:rPr>
          <w:lang w:val="fr-FR"/>
        </w:rPr>
        <w:t>Dans ces circonstances, la décision ne pouvait être frappée d</w:t>
      </w:r>
      <w:r w:rsidRPr="00A2551C" w:rsidR="00A2551C">
        <w:rPr>
          <w:lang w:val="fr-FR"/>
        </w:rPr>
        <w:t>’</w:t>
      </w:r>
      <w:r w:rsidRPr="00A2551C" w:rsidR="000C5F07">
        <w:rPr>
          <w:lang w:val="fr-FR"/>
        </w:rPr>
        <w:t>appel que dans ses parties relatives aux cas de figure susmentionnés.</w:t>
      </w:r>
    </w:p>
    <w:p w:rsidRPr="00A2551C" w:rsidR="00A33758" w:rsidP="00A2551C" w:rsidRDefault="00A33758">
      <w:pPr>
        <w:pStyle w:val="ECHRHeading2"/>
        <w:rPr>
          <w:lang w:val="fr-FR"/>
        </w:rPr>
      </w:pPr>
      <w:r w:rsidRPr="00A2551C">
        <w:rPr>
          <w:lang w:val="fr-FR"/>
        </w:rPr>
        <w:t>B.  Sur le régime de détention des personnes condamnées à la réclusion à perpétuité</w:t>
      </w:r>
    </w:p>
    <w:p w:rsidRPr="00A2551C" w:rsidR="00146316"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38</w:t>
      </w:r>
      <w:r w:rsidRPr="00A2551C">
        <w:rPr>
          <w:lang w:val="fr-FR"/>
        </w:rPr>
        <w:fldChar w:fldCharType="end"/>
      </w:r>
      <w:r w:rsidRPr="00A2551C" w:rsidR="00E77CB3">
        <w:rPr>
          <w:lang w:val="fr-FR"/>
        </w:rPr>
        <w:t>.  </w:t>
      </w:r>
      <w:r w:rsidRPr="00A2551C" w:rsidR="00146316">
        <w:rPr>
          <w:lang w:val="fr-FR"/>
        </w:rPr>
        <w:t>Le droit et la pratique internes pertinents relatifs au régime de détention des personnes condamnées à la réclusion à perpétuité sont résumés dans l</w:t>
      </w:r>
      <w:r w:rsidRPr="00A2551C" w:rsidR="00A2551C">
        <w:rPr>
          <w:lang w:val="fr-FR"/>
        </w:rPr>
        <w:t>’</w:t>
      </w:r>
      <w:r w:rsidRPr="00A2551C" w:rsidR="00146316">
        <w:rPr>
          <w:lang w:val="fr-FR"/>
        </w:rPr>
        <w:t xml:space="preserve">arrêt </w:t>
      </w:r>
      <w:proofErr w:type="spellStart"/>
      <w:r w:rsidRPr="00A2551C" w:rsidR="00146316">
        <w:rPr>
          <w:i/>
          <w:lang w:val="fr-FR"/>
        </w:rPr>
        <w:t>Khoroshenko</w:t>
      </w:r>
      <w:proofErr w:type="spellEnd"/>
      <w:r w:rsidRPr="00A2551C" w:rsidR="00146316">
        <w:rPr>
          <w:i/>
          <w:lang w:val="fr-FR"/>
        </w:rPr>
        <w:t xml:space="preserve"> c. Russie </w:t>
      </w:r>
      <w:r w:rsidRPr="00A2551C" w:rsidR="00146316">
        <w:rPr>
          <w:lang w:val="fr-FR"/>
        </w:rPr>
        <w:t>([GC], n</w:t>
      </w:r>
      <w:r w:rsidRPr="00A2551C" w:rsidR="00146316">
        <w:rPr>
          <w:vertAlign w:val="superscript"/>
          <w:lang w:val="fr-FR"/>
        </w:rPr>
        <w:t>o</w:t>
      </w:r>
      <w:r w:rsidRPr="00A2551C" w:rsidR="00146316">
        <w:rPr>
          <w:lang w:val="fr-FR"/>
        </w:rPr>
        <w:t> 41418/04</w:t>
      </w:r>
      <w:r w:rsidRPr="00A2551C" w:rsidR="00A33758">
        <w:rPr>
          <w:lang w:val="fr-FR"/>
        </w:rPr>
        <w:t>, §§ 32</w:t>
      </w:r>
      <w:r w:rsidRPr="00A2551C" w:rsidR="00A33758">
        <w:rPr>
          <w:lang w:val="fr-FR"/>
        </w:rPr>
        <w:noBreakHyphen/>
      </w:r>
      <w:r w:rsidRPr="00A2551C" w:rsidR="00146316">
        <w:rPr>
          <w:lang w:val="fr-FR"/>
        </w:rPr>
        <w:t>57, CEDH 2015).</w:t>
      </w:r>
    </w:p>
    <w:p w:rsidRPr="00A2551C" w:rsidR="0076324D" w:rsidP="00A2551C" w:rsidRDefault="000543B2">
      <w:pPr>
        <w:pStyle w:val="ECHRHeading2"/>
        <w:rPr>
          <w:lang w:val="fr-FR"/>
        </w:rPr>
      </w:pPr>
      <w:r w:rsidRPr="00A2551C">
        <w:rPr>
          <w:lang w:val="fr-FR"/>
        </w:rPr>
        <w:t xml:space="preserve">C.  Sur la vidéosurveillance de détenus </w:t>
      </w:r>
      <w:r w:rsidRPr="00A2551C" w:rsidR="00EC6BDF">
        <w:rPr>
          <w:lang w:val="fr-FR"/>
        </w:rPr>
        <w:t>purgeant une peine privative de liberté</w:t>
      </w:r>
    </w:p>
    <w:p w:rsidRPr="00A2551C" w:rsidR="0038488B" w:rsidP="00A2551C" w:rsidRDefault="0038488B">
      <w:pPr>
        <w:pStyle w:val="ECHRHeading3"/>
        <w:rPr>
          <w:lang w:val="fr-FR"/>
        </w:rPr>
      </w:pPr>
      <w:r w:rsidRPr="00A2551C">
        <w:rPr>
          <w:lang w:val="fr-FR"/>
        </w:rPr>
        <w:t>1. </w:t>
      </w:r>
      <w:r w:rsidRPr="00A2551C" w:rsidR="00F20581">
        <w:rPr>
          <w:lang w:val="fr-FR"/>
        </w:rPr>
        <w:t> </w:t>
      </w:r>
      <w:r w:rsidRPr="00A2551C">
        <w:rPr>
          <w:lang w:val="fr-FR"/>
        </w:rPr>
        <w:t>Le code de l</w:t>
      </w:r>
      <w:r w:rsidRPr="00A2551C" w:rsidR="00A2551C">
        <w:rPr>
          <w:lang w:val="fr-FR"/>
        </w:rPr>
        <w:t>’</w:t>
      </w:r>
      <w:r w:rsidRPr="00A2551C">
        <w:rPr>
          <w:lang w:val="fr-FR"/>
        </w:rPr>
        <w:t>exécution des sanctions pénales du 8 janvier 1997 (« le</w:t>
      </w:r>
      <w:r w:rsidRPr="00A2551C" w:rsidR="00A2551C">
        <w:rPr>
          <w:lang w:val="fr-FR"/>
        </w:rPr>
        <w:t> </w:t>
      </w:r>
      <w:r w:rsidRPr="00A2551C">
        <w:rPr>
          <w:lang w:val="fr-FR"/>
        </w:rPr>
        <w:t>CESP »)</w:t>
      </w:r>
    </w:p>
    <w:bookmarkStart w:name="cesp83" w:id="20"/>
    <w:p w:rsidRPr="00A2551C" w:rsidR="00146316"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39</w:t>
      </w:r>
      <w:r w:rsidRPr="00A2551C">
        <w:rPr>
          <w:lang w:val="fr-FR"/>
        </w:rPr>
        <w:fldChar w:fldCharType="end"/>
      </w:r>
      <w:bookmarkEnd w:id="20"/>
      <w:r w:rsidRPr="00A2551C">
        <w:rPr>
          <w:lang w:val="fr-FR"/>
        </w:rPr>
        <w:t>.  </w:t>
      </w:r>
      <w:r w:rsidRPr="00A2551C" w:rsidR="000543B2">
        <w:rPr>
          <w:lang w:val="fr-FR"/>
        </w:rPr>
        <w:t>Selon l</w:t>
      </w:r>
      <w:r w:rsidRPr="00A2551C" w:rsidR="00A2551C">
        <w:rPr>
          <w:lang w:val="fr-FR"/>
        </w:rPr>
        <w:t>’</w:t>
      </w:r>
      <w:r w:rsidRPr="00A2551C" w:rsidR="000543B2">
        <w:rPr>
          <w:lang w:val="fr-FR"/>
        </w:rPr>
        <w:t>article 83 d</w:t>
      </w:r>
      <w:r w:rsidRPr="00A2551C" w:rsidR="00146316">
        <w:rPr>
          <w:lang w:val="fr-FR"/>
        </w:rPr>
        <w:t xml:space="preserve">u </w:t>
      </w:r>
      <w:r w:rsidRPr="00A2551C" w:rsidR="000543B2">
        <w:rPr>
          <w:lang w:val="fr-FR"/>
        </w:rPr>
        <w:t>CESP</w:t>
      </w:r>
      <w:r w:rsidRPr="00A2551C" w:rsidR="00146316">
        <w:rPr>
          <w:lang w:val="fr-FR"/>
        </w:rPr>
        <w:t>, l</w:t>
      </w:r>
      <w:r w:rsidRPr="00A2551C" w:rsidR="00A2551C">
        <w:rPr>
          <w:lang w:val="fr-FR"/>
        </w:rPr>
        <w:t>’</w:t>
      </w:r>
      <w:r w:rsidRPr="00A2551C" w:rsidR="00146316">
        <w:rPr>
          <w:lang w:val="fr-FR"/>
        </w:rPr>
        <w:t>administration de l</w:t>
      </w:r>
      <w:r w:rsidRPr="00A2551C" w:rsidR="00A2551C">
        <w:rPr>
          <w:lang w:val="fr-FR"/>
        </w:rPr>
        <w:t>’</w:t>
      </w:r>
      <w:r w:rsidRPr="00A2551C" w:rsidR="00146316">
        <w:rPr>
          <w:lang w:val="fr-FR"/>
        </w:rPr>
        <w:t>établissement pénitentiaire a le droit d</w:t>
      </w:r>
      <w:r w:rsidRPr="00A2551C" w:rsidR="00A2551C">
        <w:rPr>
          <w:lang w:val="fr-FR"/>
        </w:rPr>
        <w:t>’</w:t>
      </w:r>
      <w:r w:rsidRPr="00A2551C" w:rsidR="00146316">
        <w:rPr>
          <w:lang w:val="fr-FR"/>
        </w:rPr>
        <w:t>utiliser des moyens audiovisuels, électroniques et d</w:t>
      </w:r>
      <w:r w:rsidRPr="00A2551C" w:rsidR="00A2551C">
        <w:rPr>
          <w:lang w:val="fr-FR"/>
        </w:rPr>
        <w:t>’</w:t>
      </w:r>
      <w:r w:rsidRPr="00A2551C" w:rsidR="00146316">
        <w:rPr>
          <w:lang w:val="fr-FR"/>
        </w:rPr>
        <w:t xml:space="preserve">autres moyens techniques de surveillance et de contrôle aux fins de </w:t>
      </w:r>
      <w:r w:rsidRPr="00A2551C" w:rsidR="00BA02C2">
        <w:rPr>
          <w:lang w:val="fr-FR"/>
        </w:rPr>
        <w:t xml:space="preserve">la </w:t>
      </w:r>
      <w:r w:rsidRPr="00A2551C" w:rsidR="00146316">
        <w:rPr>
          <w:lang w:val="fr-FR"/>
        </w:rPr>
        <w:t>prévention des évasions, des manquements au régime de détention et d</w:t>
      </w:r>
      <w:r w:rsidRPr="00A2551C" w:rsidR="00A2551C">
        <w:rPr>
          <w:lang w:val="fr-FR"/>
        </w:rPr>
        <w:t>’</w:t>
      </w:r>
      <w:r w:rsidRPr="00A2551C" w:rsidR="00146316">
        <w:rPr>
          <w:lang w:val="fr-FR"/>
        </w:rPr>
        <w:t xml:space="preserve">autres infractions, ainsi que de </w:t>
      </w:r>
      <w:r w:rsidRPr="00A2551C" w:rsidR="00BA02C2">
        <w:rPr>
          <w:lang w:val="fr-FR"/>
        </w:rPr>
        <w:t xml:space="preserve">la </w:t>
      </w:r>
      <w:r w:rsidRPr="00A2551C" w:rsidR="00146316">
        <w:rPr>
          <w:lang w:val="fr-FR"/>
        </w:rPr>
        <w:t>collecte d</w:t>
      </w:r>
      <w:r w:rsidRPr="00A2551C" w:rsidR="00A2551C">
        <w:rPr>
          <w:lang w:val="fr-FR"/>
        </w:rPr>
        <w:t>’</w:t>
      </w:r>
      <w:r w:rsidRPr="00A2551C" w:rsidR="00146316">
        <w:rPr>
          <w:lang w:val="fr-FR"/>
        </w:rPr>
        <w:t xml:space="preserve">informations sur la conduite des personnes condamnées (§ 1). </w:t>
      </w:r>
      <w:r w:rsidRPr="00A2551C" w:rsidR="000543B2">
        <w:rPr>
          <w:lang w:val="fr-FR"/>
        </w:rPr>
        <w:t>L</w:t>
      </w:r>
      <w:r w:rsidRPr="00A2551C" w:rsidR="00A2551C">
        <w:rPr>
          <w:lang w:val="fr-FR"/>
        </w:rPr>
        <w:t>’</w:t>
      </w:r>
      <w:r w:rsidRPr="00A2551C" w:rsidR="00146316">
        <w:rPr>
          <w:lang w:val="fr-FR"/>
        </w:rPr>
        <w:t>administration de l</w:t>
      </w:r>
      <w:r w:rsidRPr="00A2551C" w:rsidR="00A2551C">
        <w:rPr>
          <w:lang w:val="fr-FR"/>
        </w:rPr>
        <w:t>’</w:t>
      </w:r>
      <w:r w:rsidRPr="00A2551C" w:rsidR="00146316">
        <w:rPr>
          <w:lang w:val="fr-FR"/>
        </w:rPr>
        <w:t xml:space="preserve">établissement pénitentiaire doit, par </w:t>
      </w:r>
      <w:r w:rsidRPr="00A2551C" w:rsidR="00F314E0">
        <w:rPr>
          <w:lang w:val="fr-FR"/>
        </w:rPr>
        <w:t>le biais d</w:t>
      </w:r>
      <w:r w:rsidRPr="00A2551C" w:rsidR="00A2551C">
        <w:rPr>
          <w:lang w:val="fr-FR"/>
        </w:rPr>
        <w:t>’</w:t>
      </w:r>
      <w:r w:rsidRPr="00A2551C" w:rsidR="00F314E0">
        <w:rPr>
          <w:lang w:val="fr-FR"/>
        </w:rPr>
        <w:t xml:space="preserve">une </w:t>
      </w:r>
      <w:r w:rsidRPr="00A2551C" w:rsidR="00146316">
        <w:rPr>
          <w:lang w:val="fr-FR"/>
        </w:rPr>
        <w:t xml:space="preserve">notification écrite, informer les personnes condamnées que des moyens techniques de surveillance et de contrôle sont utilisés à leur encontre (§ 2). </w:t>
      </w:r>
      <w:r w:rsidRPr="00A2551C" w:rsidR="000543B2">
        <w:rPr>
          <w:lang w:val="fr-FR"/>
        </w:rPr>
        <w:t>La</w:t>
      </w:r>
      <w:r w:rsidRPr="00A2551C" w:rsidR="00146316">
        <w:rPr>
          <w:lang w:val="fr-FR"/>
        </w:rPr>
        <w:t xml:space="preserve"> liste desdits moyens ainsi que les modalités de leur utilisation </w:t>
      </w:r>
      <w:r w:rsidRPr="00A2551C" w:rsidR="00EC6BDF">
        <w:rPr>
          <w:lang w:val="fr-FR"/>
        </w:rPr>
        <w:t>doivent être établies</w:t>
      </w:r>
      <w:r w:rsidRPr="00A2551C" w:rsidR="00146316">
        <w:rPr>
          <w:lang w:val="fr-FR"/>
        </w:rPr>
        <w:t xml:space="preserve"> par la législation nationale (§ 3).</w:t>
      </w:r>
    </w:p>
    <w:p w:rsidRPr="00A2551C" w:rsidR="0038488B" w:rsidP="00A2551C" w:rsidRDefault="0038488B">
      <w:pPr>
        <w:pStyle w:val="ECHRHeading3"/>
        <w:rPr>
          <w:lang w:val="fr-FR"/>
        </w:rPr>
      </w:pPr>
      <w:r w:rsidRPr="00A2551C">
        <w:rPr>
          <w:lang w:val="fr-FR"/>
        </w:rPr>
        <w:t>2.  </w:t>
      </w:r>
      <w:r w:rsidRPr="00A2551C" w:rsidR="00865B77">
        <w:rPr>
          <w:lang w:val="fr-FR"/>
        </w:rPr>
        <w:t>Arrêtés</w:t>
      </w:r>
      <w:r w:rsidRPr="00A2551C">
        <w:rPr>
          <w:lang w:val="fr-FR"/>
        </w:rPr>
        <w:t xml:space="preserve"> du ministère de la Justice</w:t>
      </w:r>
    </w:p>
    <w:bookmarkStart w:name="arr204" w:id="21"/>
    <w:p w:rsidRPr="00A2551C" w:rsidR="0076324D" w:rsidP="00A2551C" w:rsidRDefault="0038488B">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40</w:t>
      </w:r>
      <w:r w:rsidRPr="00A2551C">
        <w:rPr>
          <w:lang w:val="fr-FR"/>
        </w:rPr>
        <w:fldChar w:fldCharType="end"/>
      </w:r>
      <w:bookmarkEnd w:id="21"/>
      <w:r w:rsidRPr="00A2551C">
        <w:rPr>
          <w:lang w:val="fr-FR"/>
        </w:rPr>
        <w:t>.  Par un arrêté du 3 novembre 2005</w:t>
      </w:r>
      <w:r w:rsidRPr="00A2551C" w:rsidR="00785D56">
        <w:rPr>
          <w:lang w:val="fr-FR"/>
        </w:rPr>
        <w:t xml:space="preserve"> n</w:t>
      </w:r>
      <w:r w:rsidRPr="00A2551C" w:rsidR="00785D56">
        <w:rPr>
          <w:vertAlign w:val="superscript"/>
          <w:lang w:val="fr-FR"/>
        </w:rPr>
        <w:t>o</w:t>
      </w:r>
      <w:r w:rsidRPr="00A2551C" w:rsidR="00785D56">
        <w:rPr>
          <w:lang w:val="fr-FR"/>
        </w:rPr>
        <w:t> 204 (</w:t>
      </w:r>
      <w:proofErr w:type="spellStart"/>
      <w:r w:rsidRPr="00A2551C" w:rsidR="00785D56">
        <w:rPr>
          <w:lang w:val="fr-FR"/>
        </w:rPr>
        <w:t>dsp</w:t>
      </w:r>
      <w:proofErr w:type="spellEnd"/>
      <w:r w:rsidRPr="00A2551C" w:rsidR="00785D56">
        <w:rPr>
          <w:lang w:val="fr-FR"/>
        </w:rPr>
        <w:t>)</w:t>
      </w:r>
      <w:r w:rsidRPr="00A2551C">
        <w:rPr>
          <w:lang w:val="fr-FR"/>
        </w:rPr>
        <w:t xml:space="preserve">, le ministère de la Justice a entériné </w:t>
      </w:r>
      <w:r w:rsidRPr="00A2551C" w:rsidR="00865B77">
        <w:rPr>
          <w:lang w:val="fr-FR"/>
        </w:rPr>
        <w:t>une instruction</w:t>
      </w:r>
      <w:r w:rsidRPr="00A2551C">
        <w:rPr>
          <w:lang w:val="fr-FR"/>
        </w:rPr>
        <w:t xml:space="preserve"> relative à </w:t>
      </w:r>
      <w:r w:rsidRPr="00A2551C" w:rsidR="00865B77">
        <w:rPr>
          <w:lang w:val="fr-FR"/>
        </w:rPr>
        <w:t>l</w:t>
      </w:r>
      <w:r w:rsidRPr="00A2551C">
        <w:rPr>
          <w:lang w:val="fr-FR"/>
        </w:rPr>
        <w:t xml:space="preserve">a surveillance de suspects, </w:t>
      </w:r>
      <w:r w:rsidRPr="00A2551C" w:rsidR="00785D56">
        <w:rPr>
          <w:lang w:val="fr-FR"/>
        </w:rPr>
        <w:t>d</w:t>
      </w:r>
      <w:r w:rsidRPr="00A2551C" w:rsidR="00A2551C">
        <w:rPr>
          <w:lang w:val="fr-FR"/>
        </w:rPr>
        <w:t>’</w:t>
      </w:r>
      <w:r w:rsidRPr="00A2551C">
        <w:rPr>
          <w:lang w:val="fr-FR"/>
        </w:rPr>
        <w:t xml:space="preserve">accusés </w:t>
      </w:r>
      <w:r w:rsidRPr="00A2551C" w:rsidR="00785D56">
        <w:rPr>
          <w:lang w:val="fr-FR"/>
        </w:rPr>
        <w:t>et</w:t>
      </w:r>
      <w:r w:rsidRPr="00A2551C">
        <w:rPr>
          <w:lang w:val="fr-FR"/>
        </w:rPr>
        <w:t xml:space="preserve"> </w:t>
      </w:r>
      <w:r w:rsidRPr="00A2551C" w:rsidR="00785D56">
        <w:rPr>
          <w:lang w:val="fr-FR"/>
        </w:rPr>
        <w:t xml:space="preserve">de </w:t>
      </w:r>
      <w:r w:rsidRPr="00A2551C">
        <w:rPr>
          <w:lang w:val="fr-FR"/>
        </w:rPr>
        <w:t>condamné</w:t>
      </w:r>
      <w:r w:rsidRPr="00A2551C" w:rsidR="00785D56">
        <w:rPr>
          <w:lang w:val="fr-FR"/>
        </w:rPr>
        <w:t>s</w:t>
      </w:r>
      <w:r w:rsidRPr="00A2551C">
        <w:rPr>
          <w:lang w:val="fr-FR"/>
        </w:rPr>
        <w:t xml:space="preserve"> </w:t>
      </w:r>
      <w:r w:rsidRPr="00A2551C" w:rsidR="00785D56">
        <w:rPr>
          <w:lang w:val="fr-FR"/>
        </w:rPr>
        <w:t>détenus</w:t>
      </w:r>
      <w:r w:rsidRPr="00A2551C">
        <w:rPr>
          <w:lang w:val="fr-FR"/>
        </w:rPr>
        <w:t xml:space="preserve"> dans </w:t>
      </w:r>
      <w:r w:rsidRPr="00A2551C" w:rsidR="00785D56">
        <w:rPr>
          <w:lang w:val="fr-FR"/>
        </w:rPr>
        <w:t>l</w:t>
      </w:r>
      <w:r w:rsidRPr="00A2551C">
        <w:rPr>
          <w:lang w:val="fr-FR"/>
        </w:rPr>
        <w:t>es maisons d</w:t>
      </w:r>
      <w:r w:rsidRPr="00A2551C" w:rsidR="00A2551C">
        <w:rPr>
          <w:lang w:val="fr-FR"/>
        </w:rPr>
        <w:t>’</w:t>
      </w:r>
      <w:r w:rsidRPr="00A2551C">
        <w:rPr>
          <w:lang w:val="fr-FR"/>
        </w:rPr>
        <w:t xml:space="preserve">arrêt et </w:t>
      </w:r>
      <w:r w:rsidRPr="00A2551C" w:rsidR="00785D56">
        <w:rPr>
          <w:lang w:val="fr-FR"/>
        </w:rPr>
        <w:t>l</w:t>
      </w:r>
      <w:r w:rsidRPr="00A2551C">
        <w:rPr>
          <w:lang w:val="fr-FR"/>
        </w:rPr>
        <w:t>es prisons</w:t>
      </w:r>
      <w:r w:rsidRPr="00A2551C" w:rsidR="00865B77">
        <w:rPr>
          <w:lang w:val="fr-FR"/>
        </w:rPr>
        <w:t>. Le</w:t>
      </w:r>
      <w:r w:rsidRPr="00A2551C" w:rsidR="00785D56">
        <w:rPr>
          <w:lang w:val="fr-FR"/>
        </w:rPr>
        <w:t xml:space="preserve"> 25 mai 2011, </w:t>
      </w:r>
      <w:r w:rsidRPr="00A2551C" w:rsidR="00865B77">
        <w:rPr>
          <w:lang w:val="fr-FR"/>
        </w:rPr>
        <w:t>cet arrêté a été modifié par l</w:t>
      </w:r>
      <w:r w:rsidRPr="00A2551C" w:rsidR="00A2551C">
        <w:rPr>
          <w:lang w:val="fr-FR"/>
        </w:rPr>
        <w:t>’</w:t>
      </w:r>
      <w:r w:rsidRPr="00A2551C" w:rsidR="00865B77">
        <w:rPr>
          <w:lang w:val="fr-FR"/>
        </w:rPr>
        <w:t>arrêté n</w:t>
      </w:r>
      <w:r w:rsidRPr="00A2551C" w:rsidR="00865B77">
        <w:rPr>
          <w:vertAlign w:val="superscript"/>
          <w:lang w:val="fr-FR"/>
        </w:rPr>
        <w:t>o</w:t>
      </w:r>
      <w:r w:rsidRPr="00A2551C" w:rsidR="00865B77">
        <w:rPr>
          <w:lang w:val="fr-FR"/>
        </w:rPr>
        <w:t> 166 (</w:t>
      </w:r>
      <w:proofErr w:type="spellStart"/>
      <w:r w:rsidRPr="00A2551C" w:rsidR="00865B77">
        <w:rPr>
          <w:lang w:val="fr-FR"/>
        </w:rPr>
        <w:t>dsp</w:t>
      </w:r>
      <w:proofErr w:type="spellEnd"/>
      <w:r w:rsidRPr="00A2551C" w:rsidR="00865B77">
        <w:rPr>
          <w:lang w:val="fr-FR"/>
        </w:rPr>
        <w:t>).</w:t>
      </w:r>
    </w:p>
    <w:bookmarkStart w:name="arr252" w:id="22"/>
    <w:p w:rsidRPr="00A2551C" w:rsidR="00C734D7" w:rsidP="00A2551C" w:rsidRDefault="00B5189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41</w:t>
      </w:r>
      <w:r w:rsidRPr="00A2551C">
        <w:rPr>
          <w:lang w:val="fr-FR"/>
        </w:rPr>
        <w:fldChar w:fldCharType="end"/>
      </w:r>
      <w:bookmarkEnd w:id="22"/>
      <w:r w:rsidRPr="00A2551C">
        <w:rPr>
          <w:lang w:val="fr-FR"/>
        </w:rPr>
        <w:t>.  </w:t>
      </w:r>
      <w:r w:rsidRPr="00A2551C" w:rsidR="00146316">
        <w:rPr>
          <w:lang w:val="fr-FR"/>
        </w:rPr>
        <w:t>Par un arrêté du 13 juillet 2006</w:t>
      </w:r>
      <w:r w:rsidRPr="00A2551C" w:rsidR="00785D56">
        <w:rPr>
          <w:lang w:val="fr-FR"/>
        </w:rPr>
        <w:t xml:space="preserve"> n</w:t>
      </w:r>
      <w:r w:rsidRPr="00A2551C" w:rsidR="00785D56">
        <w:rPr>
          <w:vertAlign w:val="superscript"/>
          <w:lang w:val="fr-FR"/>
        </w:rPr>
        <w:t>o</w:t>
      </w:r>
      <w:r w:rsidRPr="00A2551C" w:rsidR="00785D56">
        <w:rPr>
          <w:lang w:val="fr-FR"/>
        </w:rPr>
        <w:t> 252 (</w:t>
      </w:r>
      <w:proofErr w:type="spellStart"/>
      <w:r w:rsidRPr="00A2551C" w:rsidR="00785D56">
        <w:rPr>
          <w:lang w:val="fr-FR"/>
        </w:rPr>
        <w:t>dsp</w:t>
      </w:r>
      <w:proofErr w:type="spellEnd"/>
      <w:r w:rsidRPr="00A2551C" w:rsidR="00785D56">
        <w:rPr>
          <w:lang w:val="fr-FR"/>
        </w:rPr>
        <w:t>)</w:t>
      </w:r>
      <w:r w:rsidRPr="00A2551C" w:rsidR="00146316">
        <w:rPr>
          <w:lang w:val="fr-FR"/>
        </w:rPr>
        <w:t>, le ministère de la Justice a entériné la directive relative à la surveillance des détenus dans les colonies pénitentiaires.</w:t>
      </w:r>
    </w:p>
    <w:bookmarkStart w:name="arrpubl" w:id="23"/>
    <w:p w:rsidRPr="00A2551C" w:rsidR="0076324D" w:rsidP="00A2551C" w:rsidRDefault="00C734D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42</w:t>
      </w:r>
      <w:r w:rsidRPr="00A2551C">
        <w:rPr>
          <w:lang w:val="fr-FR"/>
        </w:rPr>
        <w:fldChar w:fldCharType="end"/>
      </w:r>
      <w:bookmarkEnd w:id="23"/>
      <w:r w:rsidRPr="00A2551C">
        <w:rPr>
          <w:lang w:val="fr-FR"/>
        </w:rPr>
        <w:t xml:space="preserve">.  Les arrêtés susmentionnés sont </w:t>
      </w:r>
      <w:r w:rsidRPr="00A2551C" w:rsidR="00146316">
        <w:rPr>
          <w:lang w:val="fr-FR"/>
        </w:rPr>
        <w:t>classé</w:t>
      </w:r>
      <w:r w:rsidRPr="00A2551C">
        <w:rPr>
          <w:lang w:val="fr-FR"/>
        </w:rPr>
        <w:t>s</w:t>
      </w:r>
      <w:r w:rsidRPr="00A2551C" w:rsidR="00146316">
        <w:rPr>
          <w:lang w:val="fr-FR"/>
        </w:rPr>
        <w:t xml:space="preserve"> « à usage interne seulement » et </w:t>
      </w:r>
      <w:r w:rsidRPr="00A2551C">
        <w:rPr>
          <w:lang w:val="fr-FR"/>
        </w:rPr>
        <w:t xml:space="preserve">ne sont </w:t>
      </w:r>
      <w:r w:rsidRPr="00A2551C" w:rsidR="00146316">
        <w:rPr>
          <w:lang w:val="fr-FR"/>
        </w:rPr>
        <w:t>donc pas accessible</w:t>
      </w:r>
      <w:r w:rsidRPr="00A2551C" w:rsidR="0086469F">
        <w:rPr>
          <w:lang w:val="fr-FR"/>
        </w:rPr>
        <w:t>s</w:t>
      </w:r>
      <w:r w:rsidRPr="00A2551C" w:rsidR="00146316">
        <w:rPr>
          <w:lang w:val="fr-FR"/>
        </w:rPr>
        <w:t xml:space="preserve"> au p</w:t>
      </w:r>
      <w:r w:rsidRPr="00A2551C" w:rsidR="00994DC1">
        <w:rPr>
          <w:lang w:val="fr-FR"/>
        </w:rPr>
        <w:t>ublic.</w:t>
      </w:r>
    </w:p>
    <w:p w:rsidRPr="00A2551C" w:rsidR="00842F67" w:rsidP="00A2551C" w:rsidRDefault="00842F67">
      <w:pPr>
        <w:pStyle w:val="ECHRHeading3"/>
        <w:rPr>
          <w:lang w:val="fr-FR"/>
        </w:rPr>
      </w:pPr>
      <w:r w:rsidRPr="00A2551C">
        <w:rPr>
          <w:lang w:val="fr-FR"/>
        </w:rPr>
        <w:t>3.  La jurisprudence de la Cour constitutionnelle de la Fédération de Russie</w:t>
      </w:r>
    </w:p>
    <w:bookmarkStart w:name="jurcons" w:id="24"/>
    <w:p w:rsidRPr="00A2551C" w:rsidR="0076324D" w:rsidP="00A2551C" w:rsidRDefault="00842F6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43</w:t>
      </w:r>
      <w:r w:rsidRPr="00A2551C">
        <w:rPr>
          <w:lang w:val="fr-FR"/>
        </w:rPr>
        <w:fldChar w:fldCharType="end"/>
      </w:r>
      <w:bookmarkEnd w:id="24"/>
      <w:r w:rsidRPr="00A2551C">
        <w:rPr>
          <w:lang w:val="fr-FR"/>
        </w:rPr>
        <w:t>.  Par sa décision du 19 octobre 2</w:t>
      </w:r>
      <w:r w:rsidRPr="00A2551C" w:rsidR="004A5357">
        <w:rPr>
          <w:lang w:val="fr-FR"/>
        </w:rPr>
        <w:t>0</w:t>
      </w:r>
      <w:r w:rsidRPr="00A2551C">
        <w:rPr>
          <w:lang w:val="fr-FR"/>
        </w:rPr>
        <w:t>1</w:t>
      </w:r>
      <w:r w:rsidRPr="00A2551C" w:rsidR="004A5357">
        <w:rPr>
          <w:lang w:val="fr-FR"/>
        </w:rPr>
        <w:t>0</w:t>
      </w:r>
      <w:r w:rsidRPr="00A2551C">
        <w:rPr>
          <w:lang w:val="fr-FR"/>
        </w:rPr>
        <w:t xml:space="preserve"> n</w:t>
      </w:r>
      <w:r w:rsidRPr="00A2551C">
        <w:rPr>
          <w:vertAlign w:val="superscript"/>
          <w:lang w:val="fr-FR"/>
        </w:rPr>
        <w:t>o </w:t>
      </w:r>
      <w:r w:rsidRPr="00A2551C">
        <w:rPr>
          <w:lang w:val="fr-FR"/>
        </w:rPr>
        <w:t>1393-O-O, la Cour constitutionnelle a rejeté la plainte introduite par M.U.</w:t>
      </w:r>
      <w:r w:rsidRPr="00A2551C" w:rsidR="0095121C">
        <w:rPr>
          <w:lang w:val="fr-FR"/>
        </w:rPr>
        <w:t>,</w:t>
      </w:r>
      <w:r w:rsidRPr="00A2551C">
        <w:rPr>
          <w:lang w:val="fr-FR"/>
        </w:rPr>
        <w:t xml:space="preserve"> qui contestait </w:t>
      </w:r>
      <w:r w:rsidRPr="00A2551C" w:rsidR="00CC26CC">
        <w:rPr>
          <w:lang w:val="fr-FR"/>
        </w:rPr>
        <w:t xml:space="preserve">entre autres </w:t>
      </w:r>
      <w:r w:rsidRPr="00A2551C">
        <w:rPr>
          <w:lang w:val="fr-FR"/>
        </w:rPr>
        <w:t>la constitutionnalité de l</w:t>
      </w:r>
      <w:r w:rsidRPr="00A2551C" w:rsidR="00A2551C">
        <w:rPr>
          <w:lang w:val="fr-FR"/>
        </w:rPr>
        <w:t>’</w:t>
      </w:r>
      <w:r w:rsidRPr="00A2551C">
        <w:rPr>
          <w:lang w:val="fr-FR"/>
        </w:rPr>
        <w:t>article 83 § 1 du CESP. M.U. se plaignait que cette disposition autorisait l</w:t>
      </w:r>
      <w:r w:rsidRPr="00A2551C" w:rsidR="00A2551C">
        <w:rPr>
          <w:lang w:val="fr-FR"/>
        </w:rPr>
        <w:t>’</w:t>
      </w:r>
      <w:r w:rsidRPr="00A2551C">
        <w:rPr>
          <w:lang w:val="fr-FR"/>
        </w:rPr>
        <w:t>administration pénitentiaire à utiliser des moyens de vidéosurveillance à l</w:t>
      </w:r>
      <w:r w:rsidRPr="00A2551C" w:rsidR="00A2551C">
        <w:rPr>
          <w:lang w:val="fr-FR"/>
        </w:rPr>
        <w:t>’</w:t>
      </w:r>
      <w:r w:rsidRPr="00A2551C">
        <w:rPr>
          <w:lang w:val="fr-FR"/>
        </w:rPr>
        <w:t xml:space="preserve">égard de détenus </w:t>
      </w:r>
      <w:r w:rsidRPr="00A2551C" w:rsidR="00811E6E">
        <w:rPr>
          <w:lang w:val="fr-FR"/>
        </w:rPr>
        <w:t>24 heures sur 24</w:t>
      </w:r>
      <w:r w:rsidRPr="00A2551C" w:rsidR="0095121C">
        <w:rPr>
          <w:lang w:val="fr-FR"/>
        </w:rPr>
        <w:t>,</w:t>
      </w:r>
      <w:r w:rsidRPr="00A2551C" w:rsidR="00811E6E">
        <w:rPr>
          <w:lang w:val="fr-FR"/>
        </w:rPr>
        <w:t xml:space="preserve"> ce qui </w:t>
      </w:r>
      <w:r w:rsidRPr="00A2551C" w:rsidR="0095121C">
        <w:rPr>
          <w:lang w:val="fr-FR"/>
        </w:rPr>
        <w:t xml:space="preserve">était selon lui </w:t>
      </w:r>
      <w:r w:rsidRPr="00A2551C" w:rsidR="00811E6E">
        <w:rPr>
          <w:lang w:val="fr-FR"/>
        </w:rPr>
        <w:t>contraire à l</w:t>
      </w:r>
      <w:r w:rsidRPr="00A2551C" w:rsidR="00A2551C">
        <w:rPr>
          <w:lang w:val="fr-FR"/>
        </w:rPr>
        <w:t>’</w:t>
      </w:r>
      <w:r w:rsidRPr="00A2551C" w:rsidR="00811E6E">
        <w:rPr>
          <w:lang w:val="fr-FR"/>
        </w:rPr>
        <w:t xml:space="preserve">article 21 de la Constitution </w:t>
      </w:r>
      <w:r w:rsidRPr="00A2551C" w:rsidR="0095121C">
        <w:rPr>
          <w:lang w:val="fr-FR"/>
        </w:rPr>
        <w:t>consacrant</w:t>
      </w:r>
      <w:r w:rsidRPr="00A2551C" w:rsidR="00811E6E">
        <w:rPr>
          <w:lang w:val="fr-FR"/>
        </w:rPr>
        <w:t xml:space="preserve"> le droit </w:t>
      </w:r>
      <w:r w:rsidRPr="00A2551C" w:rsidR="00FE0EC5">
        <w:rPr>
          <w:lang w:val="fr-FR"/>
        </w:rPr>
        <w:t xml:space="preserve">de chacun </w:t>
      </w:r>
      <w:r w:rsidRPr="00A2551C" w:rsidR="004A5357">
        <w:rPr>
          <w:lang w:val="fr-FR"/>
        </w:rPr>
        <w:t>au respect de sa</w:t>
      </w:r>
      <w:r w:rsidRPr="00A2551C" w:rsidR="00811E6E">
        <w:rPr>
          <w:lang w:val="fr-FR"/>
        </w:rPr>
        <w:t xml:space="preserve"> dignité. </w:t>
      </w:r>
      <w:r w:rsidRPr="00A2551C" w:rsidR="005C4B9A">
        <w:rPr>
          <w:lang w:val="fr-FR"/>
        </w:rPr>
        <w:t>La décision</w:t>
      </w:r>
      <w:r w:rsidRPr="00A2551C" w:rsidR="0095121C">
        <w:rPr>
          <w:lang w:val="fr-FR"/>
        </w:rPr>
        <w:t>,</w:t>
      </w:r>
      <w:r w:rsidRPr="00A2551C" w:rsidR="005C4B9A">
        <w:rPr>
          <w:lang w:val="fr-FR"/>
        </w:rPr>
        <w:t xml:space="preserve"> dans</w:t>
      </w:r>
      <w:r w:rsidRPr="00A2551C" w:rsidR="00FE0EC5">
        <w:rPr>
          <w:lang w:val="fr-FR"/>
        </w:rPr>
        <w:t xml:space="preserve"> </w:t>
      </w:r>
      <w:r w:rsidRPr="00A2551C" w:rsidR="005C4B9A">
        <w:rPr>
          <w:lang w:val="fr-FR"/>
        </w:rPr>
        <w:t>ses parties</w:t>
      </w:r>
      <w:r w:rsidRPr="00A2551C" w:rsidR="00FE0EC5">
        <w:rPr>
          <w:lang w:val="fr-FR"/>
        </w:rPr>
        <w:t xml:space="preserve"> pertinentes en l</w:t>
      </w:r>
      <w:r w:rsidRPr="00A2551C" w:rsidR="00A2551C">
        <w:rPr>
          <w:lang w:val="fr-FR"/>
        </w:rPr>
        <w:t>’</w:t>
      </w:r>
      <w:r w:rsidRPr="00A2551C" w:rsidR="00FE0EC5">
        <w:rPr>
          <w:lang w:val="fr-FR"/>
        </w:rPr>
        <w:t>espèce</w:t>
      </w:r>
      <w:r w:rsidRPr="00A2551C" w:rsidR="0095121C">
        <w:rPr>
          <w:lang w:val="fr-FR"/>
        </w:rPr>
        <w:t>,</w:t>
      </w:r>
      <w:r w:rsidRPr="00A2551C" w:rsidR="00FE0EC5">
        <w:rPr>
          <w:lang w:val="fr-FR"/>
        </w:rPr>
        <w:t xml:space="preserve"> </w:t>
      </w:r>
      <w:r w:rsidRPr="00A2551C" w:rsidR="005C4B9A">
        <w:rPr>
          <w:lang w:val="fr-FR"/>
        </w:rPr>
        <w:t>s</w:t>
      </w:r>
      <w:r w:rsidRPr="00A2551C" w:rsidR="00FE0EC5">
        <w:rPr>
          <w:lang w:val="fr-FR"/>
        </w:rPr>
        <w:t>e lit comme suit :</w:t>
      </w:r>
    </w:p>
    <w:p w:rsidRPr="00A2551C" w:rsidR="00024804" w:rsidP="00A2551C" w:rsidRDefault="00FE0EC5">
      <w:pPr>
        <w:pStyle w:val="ECHRParaQuote"/>
        <w:rPr>
          <w:lang w:val="fr-FR"/>
        </w:rPr>
      </w:pPr>
      <w:r w:rsidRPr="00A2551C">
        <w:rPr>
          <w:lang w:val="fr-FR"/>
        </w:rPr>
        <w:t xml:space="preserve">« La Cour constitutionnelle </w:t>
      </w:r>
      <w:r w:rsidRPr="00A2551C" w:rsidR="00E76BA9">
        <w:rPr>
          <w:lang w:val="fr-FR"/>
        </w:rPr>
        <w:t>(</w:t>
      </w:r>
      <w:r w:rsidRPr="00A2551C" w:rsidR="0076324D">
        <w:rPr>
          <w:lang w:val="fr-FR"/>
        </w:rPr>
        <w:t>...</w:t>
      </w:r>
      <w:r w:rsidRPr="00A2551C" w:rsidR="00E76BA9">
        <w:rPr>
          <w:lang w:val="fr-FR"/>
        </w:rPr>
        <w:t xml:space="preserve">) </w:t>
      </w:r>
      <w:r w:rsidRPr="00A2551C">
        <w:rPr>
          <w:lang w:val="fr-FR"/>
        </w:rPr>
        <w:t xml:space="preserve">a indiqué à plusieurs reprises </w:t>
      </w:r>
      <w:r w:rsidRPr="00A2551C" w:rsidR="00E76BA9">
        <w:rPr>
          <w:lang w:val="fr-FR"/>
        </w:rPr>
        <w:t>que, lorsque l</w:t>
      </w:r>
      <w:r w:rsidRPr="00A2551C" w:rsidR="00A2551C">
        <w:rPr>
          <w:lang w:val="fr-FR"/>
        </w:rPr>
        <w:t>’</w:t>
      </w:r>
      <w:r w:rsidRPr="00A2551C" w:rsidR="00E76BA9">
        <w:rPr>
          <w:lang w:val="fr-FR"/>
        </w:rPr>
        <w:t>État prévoit une peine d</w:t>
      </w:r>
      <w:r w:rsidRPr="00A2551C" w:rsidR="00A2551C">
        <w:rPr>
          <w:lang w:val="fr-FR"/>
        </w:rPr>
        <w:t>’</w:t>
      </w:r>
      <w:r w:rsidRPr="00A2551C" w:rsidR="00E76BA9">
        <w:rPr>
          <w:lang w:val="fr-FR"/>
        </w:rPr>
        <w:t xml:space="preserve">emprisonnement à titre de punition, il agit à la fois dans le sens de ses propres intérêts et dans ceux </w:t>
      </w:r>
      <w:r w:rsidRPr="00A2551C" w:rsidR="00BF3C48">
        <w:rPr>
          <w:lang w:val="fr-FR"/>
        </w:rPr>
        <w:t>de la société et de ses membres</w:t>
      </w:r>
      <w:r w:rsidRPr="00A2551C" w:rsidR="008272BF">
        <w:rPr>
          <w:lang w:val="fr-FR"/>
        </w:rPr>
        <w:t> ;</w:t>
      </w:r>
      <w:r w:rsidRPr="00A2551C" w:rsidR="00BF3C48">
        <w:rPr>
          <w:lang w:val="fr-FR"/>
        </w:rPr>
        <w:t xml:space="preserve"> e</w:t>
      </w:r>
      <w:r w:rsidRPr="00A2551C" w:rsidR="00E76BA9">
        <w:rPr>
          <w:lang w:val="fr-FR"/>
        </w:rPr>
        <w:t>n même temps, l</w:t>
      </w:r>
      <w:r w:rsidRPr="00A2551C" w:rsidR="00A2551C">
        <w:rPr>
          <w:lang w:val="fr-FR"/>
        </w:rPr>
        <w:t>’</w:t>
      </w:r>
      <w:r w:rsidRPr="00A2551C" w:rsidR="00E76BA9">
        <w:rPr>
          <w:lang w:val="fr-FR"/>
        </w:rPr>
        <w:t xml:space="preserve">exécution [de cette punition] modifie le rythme de vie de la personne concernée et ses relations avec autrui, et </w:t>
      </w:r>
      <w:r w:rsidRPr="00A2551C" w:rsidR="0088473D">
        <w:rPr>
          <w:lang w:val="fr-FR"/>
        </w:rPr>
        <w:t xml:space="preserve">exerce une influence </w:t>
      </w:r>
      <w:r w:rsidRPr="00A2551C" w:rsidR="00E76BA9">
        <w:rPr>
          <w:lang w:val="fr-FR"/>
        </w:rPr>
        <w:t>morale</w:t>
      </w:r>
      <w:r w:rsidRPr="00A2551C" w:rsidR="0088473D">
        <w:rPr>
          <w:lang w:val="fr-FR"/>
        </w:rPr>
        <w:t xml:space="preserve"> et psychologique</w:t>
      </w:r>
      <w:r w:rsidRPr="00A2551C" w:rsidR="00E76BA9">
        <w:rPr>
          <w:lang w:val="fr-FR"/>
        </w:rPr>
        <w:t xml:space="preserve"> spécifique</w:t>
      </w:r>
      <w:r w:rsidRPr="00A2551C" w:rsidR="0088473D">
        <w:rPr>
          <w:lang w:val="fr-FR"/>
        </w:rPr>
        <w:t xml:space="preserve"> à son égard</w:t>
      </w:r>
      <w:r w:rsidRPr="00A2551C" w:rsidR="00E76BA9">
        <w:rPr>
          <w:lang w:val="fr-FR"/>
        </w:rPr>
        <w:t xml:space="preserve">, </w:t>
      </w:r>
      <w:r w:rsidRPr="00A2551C" w:rsidR="0088473D">
        <w:rPr>
          <w:lang w:val="fr-FR"/>
        </w:rPr>
        <w:t>entraînant ainsi</w:t>
      </w:r>
      <w:r w:rsidRPr="00A2551C" w:rsidR="00E76BA9">
        <w:rPr>
          <w:lang w:val="fr-FR"/>
        </w:rPr>
        <w:t xml:space="preserve"> une restriction non seulement des droits et libertés de cette personne en tant que citoyen mais également de </w:t>
      </w:r>
      <w:r w:rsidRPr="00A2551C" w:rsidR="0088473D">
        <w:rPr>
          <w:lang w:val="fr-FR"/>
        </w:rPr>
        <w:t>[</w:t>
      </w:r>
      <w:r w:rsidRPr="00A2551C" w:rsidR="00E76BA9">
        <w:rPr>
          <w:lang w:val="fr-FR"/>
        </w:rPr>
        <w:t>ses droits</w:t>
      </w:r>
      <w:r w:rsidRPr="00A2551C" w:rsidR="0088473D">
        <w:rPr>
          <w:lang w:val="fr-FR"/>
        </w:rPr>
        <w:t>]</w:t>
      </w:r>
      <w:r w:rsidRPr="00A2551C" w:rsidR="00E76BA9">
        <w:rPr>
          <w:lang w:val="fr-FR"/>
        </w:rPr>
        <w:t xml:space="preserve"> en tant qu</w:t>
      </w:r>
      <w:r w:rsidRPr="00A2551C" w:rsidR="00A2551C">
        <w:rPr>
          <w:lang w:val="fr-FR"/>
        </w:rPr>
        <w:t>’</w:t>
      </w:r>
      <w:r w:rsidRPr="00A2551C" w:rsidR="00E76BA9">
        <w:rPr>
          <w:lang w:val="fr-FR"/>
        </w:rPr>
        <w:t xml:space="preserve">individu ; de toute façon, la personne qui commet </w:t>
      </w:r>
      <w:r w:rsidRPr="00A2551C" w:rsidR="00024804">
        <w:rPr>
          <w:lang w:val="fr-FR"/>
        </w:rPr>
        <w:t xml:space="preserve">sciemment </w:t>
      </w:r>
      <w:r w:rsidRPr="00A2551C" w:rsidR="00E76BA9">
        <w:rPr>
          <w:lang w:val="fr-FR"/>
        </w:rPr>
        <w:t xml:space="preserve">une infraction doit </w:t>
      </w:r>
      <w:r w:rsidRPr="00A2551C" w:rsidR="0056278A">
        <w:rPr>
          <w:lang w:val="fr-FR"/>
        </w:rPr>
        <w:t>s</w:t>
      </w:r>
      <w:r w:rsidRPr="00A2551C" w:rsidR="00A2551C">
        <w:rPr>
          <w:lang w:val="fr-FR"/>
        </w:rPr>
        <w:t>’</w:t>
      </w:r>
      <w:r w:rsidRPr="00A2551C" w:rsidR="0056278A">
        <w:rPr>
          <w:lang w:val="fr-FR"/>
        </w:rPr>
        <w:t>attendre</w:t>
      </w:r>
      <w:r w:rsidRPr="00A2551C" w:rsidR="00E76BA9">
        <w:rPr>
          <w:lang w:val="fr-FR"/>
        </w:rPr>
        <w:t xml:space="preserve"> </w:t>
      </w:r>
      <w:r w:rsidRPr="00A2551C" w:rsidR="008272BF">
        <w:rPr>
          <w:lang w:val="fr-FR"/>
        </w:rPr>
        <w:t xml:space="preserve">à ce </w:t>
      </w:r>
      <w:r w:rsidRPr="00A2551C" w:rsidR="00E76BA9">
        <w:rPr>
          <w:lang w:val="fr-FR"/>
        </w:rPr>
        <w:t xml:space="preserve">que </w:t>
      </w:r>
      <w:r w:rsidRPr="00A2551C" w:rsidR="00024804">
        <w:rPr>
          <w:lang w:val="fr-FR"/>
        </w:rPr>
        <w:t xml:space="preserve">[sa conduite illégale] </w:t>
      </w:r>
      <w:r w:rsidRPr="00A2551C" w:rsidR="008272BF">
        <w:rPr>
          <w:lang w:val="fr-FR"/>
        </w:rPr>
        <w:t>entraîne</w:t>
      </w:r>
      <w:r w:rsidRPr="00A2551C" w:rsidR="00024804">
        <w:rPr>
          <w:lang w:val="fr-FR"/>
        </w:rPr>
        <w:t xml:space="preserve"> la privation de sa liberté </w:t>
      </w:r>
      <w:r w:rsidRPr="00A2551C" w:rsidR="0088473D">
        <w:rPr>
          <w:lang w:val="fr-FR"/>
        </w:rPr>
        <w:t xml:space="preserve">[physique] </w:t>
      </w:r>
      <w:r w:rsidRPr="00A2551C" w:rsidR="00024804">
        <w:rPr>
          <w:lang w:val="fr-FR"/>
        </w:rPr>
        <w:t xml:space="preserve">et la restriction de ses droits et libertés, y compris de son droit de communiquer avec </w:t>
      </w:r>
      <w:r w:rsidRPr="00A2551C" w:rsidR="0088473D">
        <w:rPr>
          <w:lang w:val="fr-FR"/>
        </w:rPr>
        <w:t>l</w:t>
      </w:r>
      <w:r w:rsidRPr="00A2551C" w:rsidR="00024804">
        <w:rPr>
          <w:lang w:val="fr-FR"/>
        </w:rPr>
        <w:t>es membres de sa famille</w:t>
      </w:r>
      <w:r w:rsidRPr="00A2551C" w:rsidR="008272BF">
        <w:rPr>
          <w:lang w:val="fr-FR"/>
        </w:rPr>
        <w:t xml:space="preserve"> et</w:t>
      </w:r>
      <w:r w:rsidRPr="00A2551C" w:rsidR="00024804">
        <w:rPr>
          <w:lang w:val="fr-FR"/>
        </w:rPr>
        <w:t xml:space="preserve"> </w:t>
      </w:r>
      <w:r w:rsidRPr="00A2551C" w:rsidR="008272BF">
        <w:rPr>
          <w:lang w:val="fr-FR"/>
        </w:rPr>
        <w:t xml:space="preserve">de son </w:t>
      </w:r>
      <w:r w:rsidRPr="00A2551C" w:rsidR="00024804">
        <w:rPr>
          <w:lang w:val="fr-FR"/>
        </w:rPr>
        <w:t>droit au respect de sa vie privée et familiale</w:t>
      </w:r>
      <w:r w:rsidRPr="00A2551C" w:rsidR="000B4717">
        <w:rPr>
          <w:lang w:val="fr-FR"/>
        </w:rPr>
        <w:t xml:space="preserve"> et au secret de ses communications personnelles et familiales</w:t>
      </w:r>
      <w:r w:rsidRPr="00A2551C" w:rsidR="0088473D">
        <w:rPr>
          <w:lang w:val="fr-FR"/>
        </w:rPr>
        <w:t xml:space="preserve"> (</w:t>
      </w:r>
      <w:r w:rsidRPr="00A2551C" w:rsidR="0076324D">
        <w:rPr>
          <w:lang w:val="fr-FR"/>
        </w:rPr>
        <w:t>...</w:t>
      </w:r>
      <w:r w:rsidRPr="00A2551C" w:rsidR="0088473D">
        <w:rPr>
          <w:lang w:val="fr-FR"/>
        </w:rPr>
        <w:t>)</w:t>
      </w:r>
    </w:p>
    <w:p w:rsidRPr="00A2551C" w:rsidR="0076324D" w:rsidP="00A2551C" w:rsidRDefault="0088473D">
      <w:pPr>
        <w:pStyle w:val="ECHRParaQuote"/>
        <w:rPr>
          <w:lang w:val="fr-FR"/>
        </w:rPr>
      </w:pPr>
      <w:r w:rsidRPr="00A2551C">
        <w:rPr>
          <w:lang w:val="fr-FR"/>
        </w:rPr>
        <w:t>Conformément à l</w:t>
      </w:r>
      <w:r w:rsidRPr="00A2551C" w:rsidR="00A2551C">
        <w:rPr>
          <w:lang w:val="fr-FR"/>
        </w:rPr>
        <w:t>’</w:t>
      </w:r>
      <w:r w:rsidRPr="00A2551C">
        <w:rPr>
          <w:lang w:val="fr-FR"/>
        </w:rPr>
        <w:t>article 83</w:t>
      </w:r>
      <w:r w:rsidRPr="00A2551C" w:rsidR="004A5357">
        <w:rPr>
          <w:lang w:val="fr-FR"/>
        </w:rPr>
        <w:t> </w:t>
      </w:r>
      <w:r w:rsidRPr="00A2551C">
        <w:rPr>
          <w:lang w:val="fr-FR"/>
        </w:rPr>
        <w:t>§ 1 du CESP, l</w:t>
      </w:r>
      <w:r w:rsidRPr="00A2551C" w:rsidR="00A2551C">
        <w:rPr>
          <w:lang w:val="fr-FR"/>
        </w:rPr>
        <w:t>’</w:t>
      </w:r>
      <w:r w:rsidRPr="00A2551C">
        <w:rPr>
          <w:lang w:val="fr-FR"/>
        </w:rPr>
        <w:t>administration de l</w:t>
      </w:r>
      <w:r w:rsidRPr="00A2551C" w:rsidR="00A2551C">
        <w:rPr>
          <w:lang w:val="fr-FR"/>
        </w:rPr>
        <w:t>’</w:t>
      </w:r>
      <w:r w:rsidRPr="00A2551C">
        <w:rPr>
          <w:lang w:val="fr-FR"/>
        </w:rPr>
        <w:t>établissement pénitentiaire a le droit d</w:t>
      </w:r>
      <w:r w:rsidRPr="00A2551C" w:rsidR="00A2551C">
        <w:rPr>
          <w:lang w:val="fr-FR"/>
        </w:rPr>
        <w:t>’</w:t>
      </w:r>
      <w:r w:rsidRPr="00A2551C">
        <w:rPr>
          <w:lang w:val="fr-FR"/>
        </w:rPr>
        <w:t>utiliser des moyens audiovisuels, électroniques et d</w:t>
      </w:r>
      <w:r w:rsidRPr="00A2551C" w:rsidR="00A2551C">
        <w:rPr>
          <w:lang w:val="fr-FR"/>
        </w:rPr>
        <w:t>’</w:t>
      </w:r>
      <w:r w:rsidRPr="00A2551C">
        <w:rPr>
          <w:lang w:val="fr-FR"/>
        </w:rPr>
        <w:t>autres moyens techniques de surveillance et de contrôle aux fins de la prévention des évasions, des manquements au régime de détention et d</w:t>
      </w:r>
      <w:r w:rsidRPr="00A2551C" w:rsidR="00A2551C">
        <w:rPr>
          <w:lang w:val="fr-FR"/>
        </w:rPr>
        <w:t>’</w:t>
      </w:r>
      <w:r w:rsidRPr="00A2551C">
        <w:rPr>
          <w:lang w:val="fr-FR"/>
        </w:rPr>
        <w:t>autres infractions, ainsi que de la collecte d</w:t>
      </w:r>
      <w:r w:rsidRPr="00A2551C" w:rsidR="00A2551C">
        <w:rPr>
          <w:lang w:val="fr-FR"/>
        </w:rPr>
        <w:t>’</w:t>
      </w:r>
      <w:r w:rsidRPr="00A2551C">
        <w:rPr>
          <w:lang w:val="fr-FR"/>
        </w:rPr>
        <w:t>informations sur la conduite des personnes condamnées.</w:t>
      </w:r>
      <w:r w:rsidRPr="00A2551C" w:rsidR="000B4717">
        <w:rPr>
          <w:lang w:val="fr-FR"/>
        </w:rPr>
        <w:t xml:space="preserve"> L</w:t>
      </w:r>
      <w:r w:rsidRPr="00A2551C" w:rsidR="00A2551C">
        <w:rPr>
          <w:lang w:val="fr-FR"/>
        </w:rPr>
        <w:t>’</w:t>
      </w:r>
      <w:r w:rsidRPr="00A2551C" w:rsidR="001447BE">
        <w:rPr>
          <w:lang w:val="fr-FR"/>
        </w:rPr>
        <w:t>article </w:t>
      </w:r>
      <w:r w:rsidRPr="00A2551C" w:rsidR="000B4717">
        <w:rPr>
          <w:lang w:val="fr-FR"/>
        </w:rPr>
        <w:t>34 § 1 de la loi n</w:t>
      </w:r>
      <w:r w:rsidRPr="00A2551C" w:rsidR="0076324D">
        <w:rPr>
          <w:vertAlign w:val="superscript"/>
          <w:lang w:val="fr-FR"/>
        </w:rPr>
        <w:t>o</w:t>
      </w:r>
      <w:r w:rsidRPr="00A2551C" w:rsidR="000B4717">
        <w:rPr>
          <w:lang w:val="fr-FR"/>
        </w:rPr>
        <w:t>103-FZ du 15 juillet 1995 sur la détention provisoire des personnes suspectées ou accusées d</w:t>
      </w:r>
      <w:r w:rsidRPr="00A2551C" w:rsidR="00A2551C">
        <w:rPr>
          <w:lang w:val="fr-FR"/>
        </w:rPr>
        <w:t>’</w:t>
      </w:r>
      <w:r w:rsidRPr="00A2551C" w:rsidR="000B4717">
        <w:rPr>
          <w:lang w:val="fr-FR"/>
        </w:rPr>
        <w:t>infractions pénales prévoit également l</w:t>
      </w:r>
      <w:r w:rsidRPr="00A2551C" w:rsidR="00A2551C">
        <w:rPr>
          <w:lang w:val="fr-FR"/>
        </w:rPr>
        <w:t>’</w:t>
      </w:r>
      <w:r w:rsidRPr="00A2551C" w:rsidR="000B4717">
        <w:rPr>
          <w:lang w:val="fr-FR"/>
        </w:rPr>
        <w:t>utilisation de dispositifs audio et vidéo aux fins de la surveillance de détenus.</w:t>
      </w:r>
    </w:p>
    <w:p w:rsidRPr="00A2551C" w:rsidR="0088473D" w:rsidP="00A2551C" w:rsidRDefault="000B4717">
      <w:pPr>
        <w:pStyle w:val="ECHRParaQuote"/>
        <w:rPr>
          <w:lang w:val="fr-FR"/>
        </w:rPr>
      </w:pPr>
      <w:r w:rsidRPr="00A2551C">
        <w:rPr>
          <w:lang w:val="fr-FR"/>
        </w:rPr>
        <w:t>Le pouvoir de l</w:t>
      </w:r>
      <w:r w:rsidRPr="00A2551C" w:rsidR="00A2551C">
        <w:rPr>
          <w:lang w:val="fr-FR"/>
        </w:rPr>
        <w:t>’</w:t>
      </w:r>
      <w:r w:rsidRPr="00A2551C">
        <w:rPr>
          <w:lang w:val="fr-FR"/>
        </w:rPr>
        <w:t>administration des maisons d</w:t>
      </w:r>
      <w:r w:rsidRPr="00A2551C" w:rsidR="00A2551C">
        <w:rPr>
          <w:lang w:val="fr-FR"/>
        </w:rPr>
        <w:t>’</w:t>
      </w:r>
      <w:r w:rsidRPr="00A2551C">
        <w:rPr>
          <w:lang w:val="fr-FR"/>
        </w:rPr>
        <w:t>arrêt et des établissements pénitentiaires d</w:t>
      </w:r>
      <w:r w:rsidRPr="00A2551C" w:rsidR="00A2551C">
        <w:rPr>
          <w:lang w:val="fr-FR"/>
        </w:rPr>
        <w:t>’</w:t>
      </w:r>
      <w:r w:rsidRPr="00A2551C">
        <w:rPr>
          <w:lang w:val="fr-FR"/>
        </w:rPr>
        <w:t>utiliser des moyens techniques de surveillance et de contrôle de détenus fait partie du mécanisme visant à assurer la sécurité des</w:t>
      </w:r>
      <w:r w:rsidRPr="00A2551C" w:rsidR="005C77A7">
        <w:rPr>
          <w:lang w:val="fr-FR"/>
        </w:rPr>
        <w:t xml:space="preserve"> personnes </w:t>
      </w:r>
      <w:r w:rsidRPr="00A2551C">
        <w:rPr>
          <w:lang w:val="fr-FR"/>
        </w:rPr>
        <w:t>suspectées ou accusées [d</w:t>
      </w:r>
      <w:r w:rsidRPr="00A2551C" w:rsidR="00A2551C">
        <w:rPr>
          <w:lang w:val="fr-FR"/>
        </w:rPr>
        <w:t>’</w:t>
      </w:r>
      <w:r w:rsidRPr="00A2551C">
        <w:rPr>
          <w:lang w:val="fr-FR"/>
        </w:rPr>
        <w:t xml:space="preserve">infractions pénales], des condamnés et du personnel des établissements concernés, à </w:t>
      </w:r>
      <w:r w:rsidRPr="00A2551C" w:rsidR="00925AF5">
        <w:rPr>
          <w:lang w:val="fr-FR"/>
        </w:rPr>
        <w:t xml:space="preserve">faire respecter </w:t>
      </w:r>
      <w:r w:rsidRPr="00A2551C">
        <w:rPr>
          <w:lang w:val="fr-FR"/>
        </w:rPr>
        <w:t xml:space="preserve">le régime de détention </w:t>
      </w:r>
      <w:r w:rsidRPr="00A2551C" w:rsidR="00925AF5">
        <w:rPr>
          <w:lang w:val="fr-FR"/>
        </w:rPr>
        <w:t>par les personnes suspectées ou accusés [d</w:t>
      </w:r>
      <w:r w:rsidRPr="00A2551C" w:rsidR="00A2551C">
        <w:rPr>
          <w:lang w:val="fr-FR"/>
        </w:rPr>
        <w:t>’</w:t>
      </w:r>
      <w:r w:rsidRPr="00A2551C" w:rsidR="00925AF5">
        <w:rPr>
          <w:lang w:val="fr-FR"/>
        </w:rPr>
        <w:t xml:space="preserve">infractions pénales] et </w:t>
      </w:r>
      <w:r w:rsidRPr="00A2551C" w:rsidR="004A5357">
        <w:rPr>
          <w:lang w:val="fr-FR"/>
        </w:rPr>
        <w:t>par le</w:t>
      </w:r>
      <w:r w:rsidRPr="00A2551C" w:rsidR="00925AF5">
        <w:rPr>
          <w:lang w:val="fr-FR"/>
        </w:rPr>
        <w:t>s condamnés ainsi qu</w:t>
      </w:r>
      <w:r w:rsidRPr="00A2551C" w:rsidR="00A2551C">
        <w:rPr>
          <w:lang w:val="fr-FR"/>
        </w:rPr>
        <w:t>’</w:t>
      </w:r>
      <w:r w:rsidRPr="00A2551C" w:rsidR="00925AF5">
        <w:rPr>
          <w:lang w:val="fr-FR"/>
        </w:rPr>
        <w:t>à garantir le respect de leurs droits [mais aussi] à les faire respecter leur obligations (</w:t>
      </w:r>
      <w:r w:rsidRPr="00A2551C" w:rsidR="0076324D">
        <w:rPr>
          <w:lang w:val="fr-FR"/>
        </w:rPr>
        <w:t>...</w:t>
      </w:r>
      <w:r w:rsidRPr="00A2551C" w:rsidR="00925AF5">
        <w:rPr>
          <w:lang w:val="fr-FR"/>
        </w:rPr>
        <w:t>) c</w:t>
      </w:r>
      <w:r w:rsidRPr="00A2551C" w:rsidR="00A2551C">
        <w:rPr>
          <w:lang w:val="fr-FR"/>
        </w:rPr>
        <w:t>’</w:t>
      </w:r>
      <w:r w:rsidRPr="00A2551C" w:rsidR="00925AF5">
        <w:rPr>
          <w:lang w:val="fr-FR"/>
        </w:rPr>
        <w:t xml:space="preserve">est pourquoi le pouvoir </w:t>
      </w:r>
      <w:r w:rsidRPr="00A2551C" w:rsidR="0056278A">
        <w:rPr>
          <w:lang w:val="fr-FR"/>
        </w:rPr>
        <w:t>[d</w:t>
      </w:r>
      <w:r w:rsidRPr="00A2551C" w:rsidR="00A2551C">
        <w:rPr>
          <w:lang w:val="fr-FR"/>
        </w:rPr>
        <w:t>’</w:t>
      </w:r>
      <w:r w:rsidRPr="00A2551C" w:rsidR="0056278A">
        <w:rPr>
          <w:lang w:val="fr-FR"/>
        </w:rPr>
        <w:t xml:space="preserve">utiliser </w:t>
      </w:r>
      <w:r w:rsidRPr="00A2551C">
        <w:rPr>
          <w:lang w:val="fr-FR"/>
        </w:rPr>
        <w:t>des mo</w:t>
      </w:r>
      <w:r w:rsidRPr="00A2551C" w:rsidR="0056278A">
        <w:rPr>
          <w:lang w:val="fr-FR"/>
        </w:rPr>
        <w:t xml:space="preserve">yens techniques de surveillance] </w:t>
      </w:r>
      <w:r w:rsidRPr="00A2551C" w:rsidR="00925AF5">
        <w:rPr>
          <w:lang w:val="fr-FR"/>
        </w:rPr>
        <w:t>susmentionné tel que prévu par les dispositions litigieuses poursuit des buts constitutionnels importants et ne peut être considéré comme une restriction disproportionnée des droits du plaignant (</w:t>
      </w:r>
      <w:r w:rsidRPr="00A2551C" w:rsidR="0076324D">
        <w:rPr>
          <w:lang w:val="fr-FR"/>
        </w:rPr>
        <w:t>...</w:t>
      </w:r>
      <w:r w:rsidRPr="00A2551C" w:rsidR="00925AF5">
        <w:rPr>
          <w:lang w:val="fr-FR"/>
        </w:rPr>
        <w:t>) »</w:t>
      </w:r>
    </w:p>
    <w:p w:rsidRPr="00A2551C" w:rsidR="00C734D7" w:rsidP="00A2551C" w:rsidRDefault="00842F67">
      <w:pPr>
        <w:pStyle w:val="ECHRHeading3"/>
        <w:rPr>
          <w:lang w:val="fr-FR"/>
        </w:rPr>
      </w:pPr>
      <w:r w:rsidRPr="00A2551C">
        <w:rPr>
          <w:lang w:val="fr-FR"/>
        </w:rPr>
        <w:t>4</w:t>
      </w:r>
      <w:r w:rsidRPr="00A2551C" w:rsidR="000151DE">
        <w:rPr>
          <w:lang w:val="fr-FR"/>
        </w:rPr>
        <w:t>.  </w:t>
      </w:r>
      <w:r w:rsidRPr="00A2551C" w:rsidR="00C734D7">
        <w:rPr>
          <w:lang w:val="fr-FR"/>
        </w:rPr>
        <w:t>La jurisprudence de la Cour suprême de la Fédération de Russie</w:t>
      </w:r>
    </w:p>
    <w:bookmarkStart w:name="coursup1" w:id="25"/>
    <w:p w:rsidRPr="00A2551C" w:rsidR="0076324D" w:rsidP="00A2551C" w:rsidRDefault="00C734D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44</w:t>
      </w:r>
      <w:r w:rsidRPr="00A2551C">
        <w:rPr>
          <w:lang w:val="fr-FR"/>
        </w:rPr>
        <w:fldChar w:fldCharType="end"/>
      </w:r>
      <w:bookmarkEnd w:id="25"/>
      <w:r w:rsidRPr="00A2551C">
        <w:rPr>
          <w:lang w:val="fr-FR"/>
        </w:rPr>
        <w:t xml:space="preserve">.  Dans </w:t>
      </w:r>
      <w:r w:rsidRPr="00A2551C" w:rsidR="00961149">
        <w:rPr>
          <w:lang w:val="fr-FR"/>
        </w:rPr>
        <w:t xml:space="preserve">ses </w:t>
      </w:r>
      <w:r w:rsidRPr="00A2551C">
        <w:rPr>
          <w:lang w:val="fr-FR"/>
        </w:rPr>
        <w:t xml:space="preserve">décisions </w:t>
      </w:r>
      <w:r w:rsidRPr="00A2551C" w:rsidR="00961149">
        <w:rPr>
          <w:lang w:val="fr-FR"/>
        </w:rPr>
        <w:t>n</w:t>
      </w:r>
      <w:r w:rsidRPr="00A2551C" w:rsidR="00961149">
        <w:rPr>
          <w:vertAlign w:val="superscript"/>
          <w:lang w:val="fr-FR"/>
        </w:rPr>
        <w:t>os</w:t>
      </w:r>
      <w:r w:rsidRPr="00A2551C" w:rsidR="00961149">
        <w:rPr>
          <w:lang w:val="fr-FR"/>
        </w:rPr>
        <w:t> GKPI11-2151 et n</w:t>
      </w:r>
      <w:r w:rsidRPr="00A2551C" w:rsidR="00961149">
        <w:rPr>
          <w:vertAlign w:val="superscript"/>
          <w:lang w:val="fr-FR"/>
        </w:rPr>
        <w:t>o</w:t>
      </w:r>
      <w:r w:rsidRPr="00A2551C" w:rsidR="00961149">
        <w:rPr>
          <w:lang w:val="fr-FR"/>
        </w:rPr>
        <w:t xml:space="preserve"> AKPI15-37 </w:t>
      </w:r>
      <w:r w:rsidRPr="00A2551C">
        <w:rPr>
          <w:lang w:val="fr-FR"/>
        </w:rPr>
        <w:t>du 13 février 2012 et du 2 avril 2015</w:t>
      </w:r>
      <w:r w:rsidRPr="00A2551C" w:rsidR="00961149">
        <w:rPr>
          <w:lang w:val="fr-FR"/>
        </w:rPr>
        <w:t xml:space="preserve"> respectivement</w:t>
      </w:r>
      <w:r w:rsidRPr="00A2551C">
        <w:rPr>
          <w:lang w:val="fr-FR"/>
        </w:rPr>
        <w:t>, la Cour suprême a jugé que l</w:t>
      </w:r>
      <w:r w:rsidRPr="00A2551C" w:rsidR="00A2551C">
        <w:rPr>
          <w:lang w:val="fr-FR"/>
        </w:rPr>
        <w:t>’</w:t>
      </w:r>
      <w:r w:rsidRPr="00A2551C">
        <w:rPr>
          <w:lang w:val="fr-FR"/>
        </w:rPr>
        <w:t>arrêté n</w:t>
      </w:r>
      <w:r w:rsidRPr="00A2551C">
        <w:rPr>
          <w:vertAlign w:val="superscript"/>
          <w:lang w:val="fr-FR"/>
        </w:rPr>
        <w:t>o</w:t>
      </w:r>
      <w:r w:rsidRPr="00A2551C">
        <w:rPr>
          <w:lang w:val="fr-FR"/>
        </w:rPr>
        <w:t> 252 (</w:t>
      </w:r>
      <w:proofErr w:type="spellStart"/>
      <w:r w:rsidRPr="00A2551C">
        <w:rPr>
          <w:lang w:val="fr-FR"/>
        </w:rPr>
        <w:t>dsp</w:t>
      </w:r>
      <w:proofErr w:type="spellEnd"/>
      <w:r w:rsidRPr="00A2551C">
        <w:rPr>
          <w:lang w:val="fr-FR"/>
        </w:rPr>
        <w:t>) ne devait pas être publié au motif qu</w:t>
      </w:r>
      <w:r w:rsidRPr="00A2551C" w:rsidR="00A2551C">
        <w:rPr>
          <w:lang w:val="fr-FR"/>
        </w:rPr>
        <w:t>’</w:t>
      </w:r>
      <w:r w:rsidRPr="00A2551C">
        <w:rPr>
          <w:lang w:val="fr-FR"/>
        </w:rPr>
        <w:t>il renfermait des informations confidentielles destinées à un usage restreint.</w:t>
      </w:r>
    </w:p>
    <w:bookmarkStart w:name="coursup2" w:id="26"/>
    <w:p w:rsidRPr="00A2551C" w:rsidR="0076324D" w:rsidP="00A2551C" w:rsidRDefault="00C734D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45</w:t>
      </w:r>
      <w:r w:rsidRPr="00A2551C">
        <w:rPr>
          <w:lang w:val="fr-FR"/>
        </w:rPr>
        <w:fldChar w:fldCharType="end"/>
      </w:r>
      <w:bookmarkEnd w:id="26"/>
      <w:r w:rsidRPr="00A2551C">
        <w:rPr>
          <w:lang w:val="fr-FR"/>
        </w:rPr>
        <w:t>.  </w:t>
      </w:r>
      <w:r w:rsidRPr="00A2551C" w:rsidR="005A5B44">
        <w:rPr>
          <w:lang w:val="fr-FR"/>
        </w:rPr>
        <w:t>Par</w:t>
      </w:r>
      <w:r w:rsidRPr="00A2551C">
        <w:rPr>
          <w:lang w:val="fr-FR"/>
        </w:rPr>
        <w:t xml:space="preserve"> </w:t>
      </w:r>
      <w:r w:rsidRPr="00A2551C" w:rsidR="00961149">
        <w:rPr>
          <w:lang w:val="fr-FR"/>
        </w:rPr>
        <w:t>sa</w:t>
      </w:r>
      <w:r w:rsidRPr="00A2551C">
        <w:rPr>
          <w:lang w:val="fr-FR"/>
        </w:rPr>
        <w:t xml:space="preserve"> décision</w:t>
      </w:r>
      <w:r w:rsidRPr="00A2551C" w:rsidR="00211CD1">
        <w:rPr>
          <w:lang w:val="fr-FR"/>
        </w:rPr>
        <w:t xml:space="preserve"> </w:t>
      </w:r>
      <w:r w:rsidRPr="00A2551C" w:rsidR="00961149">
        <w:rPr>
          <w:lang w:val="fr-FR"/>
        </w:rPr>
        <w:t>n</w:t>
      </w:r>
      <w:r w:rsidRPr="00A2551C" w:rsidR="00D467D7">
        <w:rPr>
          <w:vertAlign w:val="superscript"/>
          <w:lang w:val="fr-FR"/>
        </w:rPr>
        <w:t>o</w:t>
      </w:r>
      <w:r w:rsidRPr="00A2551C" w:rsidR="00961149">
        <w:rPr>
          <w:lang w:val="fr-FR"/>
        </w:rPr>
        <w:t xml:space="preserve"> AKPI14-81 </w:t>
      </w:r>
      <w:r w:rsidRPr="00A2551C" w:rsidR="00211CD1">
        <w:rPr>
          <w:lang w:val="fr-FR"/>
        </w:rPr>
        <w:t>du</w:t>
      </w:r>
      <w:r w:rsidRPr="00A2551C" w:rsidR="001F4D22">
        <w:rPr>
          <w:lang w:val="fr-FR"/>
        </w:rPr>
        <w:t xml:space="preserve"> 12 mars 2014, </w:t>
      </w:r>
      <w:r w:rsidRPr="00A2551C">
        <w:rPr>
          <w:lang w:val="fr-FR"/>
        </w:rPr>
        <w:t>la Cour suprême</w:t>
      </w:r>
      <w:r w:rsidRPr="00A2551C" w:rsidR="00DB0F35">
        <w:rPr>
          <w:lang w:val="fr-FR"/>
        </w:rPr>
        <w:t>, statuant en juridiction de première instance,</w:t>
      </w:r>
      <w:r w:rsidRPr="00A2551C">
        <w:rPr>
          <w:lang w:val="fr-FR"/>
        </w:rPr>
        <w:t xml:space="preserve"> a rejeté </w:t>
      </w:r>
      <w:r w:rsidRPr="00A2551C" w:rsidR="005A5B44">
        <w:rPr>
          <w:lang w:val="fr-FR"/>
        </w:rPr>
        <w:t>le</w:t>
      </w:r>
      <w:r w:rsidRPr="00A2551C">
        <w:rPr>
          <w:lang w:val="fr-FR"/>
        </w:rPr>
        <w:t xml:space="preserve"> recours de M.</w:t>
      </w:r>
      <w:r w:rsidRPr="00A2551C" w:rsidR="00A17C35">
        <w:rPr>
          <w:lang w:val="fr-FR"/>
        </w:rPr>
        <w:t>,</w:t>
      </w:r>
      <w:r w:rsidRPr="00A2551C">
        <w:rPr>
          <w:lang w:val="fr-FR"/>
        </w:rPr>
        <w:t xml:space="preserve"> </w:t>
      </w:r>
      <w:r w:rsidRPr="00A2551C" w:rsidR="004A5357">
        <w:rPr>
          <w:lang w:val="fr-FR"/>
        </w:rPr>
        <w:t>qui</w:t>
      </w:r>
      <w:r w:rsidRPr="00A2551C">
        <w:rPr>
          <w:lang w:val="fr-FR"/>
        </w:rPr>
        <w:t xml:space="preserve"> contest</w:t>
      </w:r>
      <w:r w:rsidRPr="00A2551C" w:rsidR="004A5357">
        <w:rPr>
          <w:lang w:val="fr-FR"/>
        </w:rPr>
        <w:t>ait</w:t>
      </w:r>
      <w:r w:rsidRPr="00A2551C">
        <w:rPr>
          <w:lang w:val="fr-FR"/>
        </w:rPr>
        <w:t xml:space="preserve"> </w:t>
      </w:r>
      <w:r w:rsidRPr="00A2551C" w:rsidR="005A5B44">
        <w:rPr>
          <w:lang w:val="fr-FR"/>
        </w:rPr>
        <w:t>la légalité d</w:t>
      </w:r>
      <w:r w:rsidRPr="00A2551C" w:rsidR="004D27FE">
        <w:rPr>
          <w:lang w:val="fr-FR"/>
        </w:rPr>
        <w:t>e l</w:t>
      </w:r>
      <w:r w:rsidRPr="00A2551C" w:rsidR="00A2551C">
        <w:rPr>
          <w:lang w:val="fr-FR"/>
        </w:rPr>
        <w:t>’</w:t>
      </w:r>
      <w:r w:rsidRPr="00A2551C" w:rsidR="005A5B44">
        <w:rPr>
          <w:lang w:val="fr-FR"/>
        </w:rPr>
        <w:t>arrêté n</w:t>
      </w:r>
      <w:r w:rsidRPr="00A2551C" w:rsidR="005A5B44">
        <w:rPr>
          <w:vertAlign w:val="superscript"/>
          <w:lang w:val="fr-FR"/>
        </w:rPr>
        <w:t>o</w:t>
      </w:r>
      <w:r w:rsidRPr="00A2551C" w:rsidR="005A5B44">
        <w:rPr>
          <w:lang w:val="fr-FR"/>
        </w:rPr>
        <w:t> 166</w:t>
      </w:r>
      <w:r w:rsidRPr="00A2551C" w:rsidR="004D27FE">
        <w:rPr>
          <w:lang w:val="fr-FR"/>
        </w:rPr>
        <w:t> </w:t>
      </w:r>
      <w:r w:rsidRPr="00A2551C" w:rsidR="005A5B44">
        <w:rPr>
          <w:lang w:val="fr-FR"/>
        </w:rPr>
        <w:t>(</w:t>
      </w:r>
      <w:proofErr w:type="spellStart"/>
      <w:r w:rsidRPr="00A2551C" w:rsidR="005A5B44">
        <w:rPr>
          <w:lang w:val="fr-FR"/>
        </w:rPr>
        <w:t>dsp</w:t>
      </w:r>
      <w:proofErr w:type="spellEnd"/>
      <w:r w:rsidRPr="00A2551C" w:rsidR="005A5B44">
        <w:rPr>
          <w:lang w:val="fr-FR"/>
        </w:rPr>
        <w:t>) du 25 mai 2011. Dans son recours, M. soutenait que l</w:t>
      </w:r>
      <w:r w:rsidRPr="00A2551C" w:rsidR="00A2551C">
        <w:rPr>
          <w:lang w:val="fr-FR"/>
        </w:rPr>
        <w:t>’</w:t>
      </w:r>
      <w:r w:rsidRPr="00A2551C" w:rsidR="005A5B44">
        <w:rPr>
          <w:lang w:val="fr-FR"/>
        </w:rPr>
        <w:t>alinéa 42.6 de l</w:t>
      </w:r>
      <w:r w:rsidRPr="00A2551C" w:rsidR="00A2551C">
        <w:rPr>
          <w:lang w:val="fr-FR"/>
        </w:rPr>
        <w:t>’</w:t>
      </w:r>
      <w:r w:rsidRPr="00A2551C" w:rsidR="005A5B44">
        <w:rPr>
          <w:lang w:val="fr-FR"/>
        </w:rPr>
        <w:t>instruction entérinée par l</w:t>
      </w:r>
      <w:r w:rsidRPr="00A2551C" w:rsidR="00A2551C">
        <w:rPr>
          <w:lang w:val="fr-FR"/>
        </w:rPr>
        <w:t>’</w:t>
      </w:r>
      <w:r w:rsidRPr="00A2551C" w:rsidR="005A5B44">
        <w:rPr>
          <w:lang w:val="fr-FR"/>
        </w:rPr>
        <w:t>arrêté n</w:t>
      </w:r>
      <w:r w:rsidRPr="00A2551C" w:rsidR="005A5B44">
        <w:rPr>
          <w:vertAlign w:val="superscript"/>
          <w:lang w:val="fr-FR"/>
        </w:rPr>
        <w:t>o</w:t>
      </w:r>
      <w:r w:rsidRPr="00A2551C" w:rsidR="005A5B44">
        <w:rPr>
          <w:lang w:val="fr-FR"/>
        </w:rPr>
        <w:t> 204 (</w:t>
      </w:r>
      <w:proofErr w:type="spellStart"/>
      <w:r w:rsidRPr="00A2551C" w:rsidR="005A5B44">
        <w:rPr>
          <w:lang w:val="fr-FR"/>
        </w:rPr>
        <w:t>dsp</w:t>
      </w:r>
      <w:proofErr w:type="spellEnd"/>
      <w:r w:rsidRPr="00A2551C" w:rsidR="005A5B44">
        <w:rPr>
          <w:lang w:val="fr-FR"/>
        </w:rPr>
        <w:t>)</w:t>
      </w:r>
      <w:r w:rsidRPr="00A2551C" w:rsidR="004D27FE">
        <w:rPr>
          <w:lang w:val="fr-FR"/>
        </w:rPr>
        <w:t xml:space="preserve"> du 3 novembre 2005 </w:t>
      </w:r>
      <w:r w:rsidRPr="00A2551C" w:rsidR="005A5B44">
        <w:rPr>
          <w:lang w:val="fr-FR"/>
        </w:rPr>
        <w:t>autorisait les autorités pénitentiaires à utiliser des systèmes de vidéosurveillance dans les locaux des établissements pénitentiaires « à l</w:t>
      </w:r>
      <w:r w:rsidRPr="00A2551C" w:rsidR="00A2551C">
        <w:rPr>
          <w:lang w:val="fr-FR"/>
        </w:rPr>
        <w:t>’</w:t>
      </w:r>
      <w:r w:rsidRPr="00A2551C" w:rsidR="005A5B44">
        <w:rPr>
          <w:lang w:val="fr-FR"/>
        </w:rPr>
        <w:t>exception des cellules » et que</w:t>
      </w:r>
      <w:r w:rsidRPr="00A2551C" w:rsidR="00A17C35">
        <w:rPr>
          <w:lang w:val="fr-FR"/>
        </w:rPr>
        <w:t>, à la</w:t>
      </w:r>
      <w:r w:rsidRPr="00A2551C" w:rsidR="005A5B44">
        <w:rPr>
          <w:lang w:val="fr-FR"/>
        </w:rPr>
        <w:t xml:space="preserve"> suite </w:t>
      </w:r>
      <w:r w:rsidRPr="00A2551C" w:rsidR="00A17C35">
        <w:rPr>
          <w:lang w:val="fr-FR"/>
        </w:rPr>
        <w:t xml:space="preserve">de </w:t>
      </w:r>
      <w:r w:rsidRPr="00A2551C" w:rsidR="005A5B44">
        <w:rPr>
          <w:lang w:val="fr-FR"/>
        </w:rPr>
        <w:t>l</w:t>
      </w:r>
      <w:r w:rsidRPr="00A2551C" w:rsidR="00A2551C">
        <w:rPr>
          <w:lang w:val="fr-FR"/>
        </w:rPr>
        <w:t>’</w:t>
      </w:r>
      <w:r w:rsidRPr="00A2551C" w:rsidR="005A5B44">
        <w:rPr>
          <w:lang w:val="fr-FR"/>
        </w:rPr>
        <w:t>adoption de l</w:t>
      </w:r>
      <w:r w:rsidRPr="00A2551C" w:rsidR="00A2551C">
        <w:rPr>
          <w:lang w:val="fr-FR"/>
        </w:rPr>
        <w:t>’</w:t>
      </w:r>
      <w:r w:rsidRPr="00A2551C" w:rsidR="005A5B44">
        <w:rPr>
          <w:lang w:val="fr-FR"/>
        </w:rPr>
        <w:t>arrêté n</w:t>
      </w:r>
      <w:r w:rsidRPr="00A2551C" w:rsidR="005A5B44">
        <w:rPr>
          <w:vertAlign w:val="superscript"/>
          <w:lang w:val="fr-FR"/>
        </w:rPr>
        <w:t>o</w:t>
      </w:r>
      <w:r w:rsidRPr="00A2551C" w:rsidR="005A5B44">
        <w:rPr>
          <w:lang w:val="fr-FR"/>
        </w:rPr>
        <w:t> 166 (</w:t>
      </w:r>
      <w:proofErr w:type="spellStart"/>
      <w:r w:rsidRPr="00A2551C" w:rsidR="005A5B44">
        <w:rPr>
          <w:lang w:val="fr-FR"/>
        </w:rPr>
        <w:t>dsp</w:t>
      </w:r>
      <w:proofErr w:type="spellEnd"/>
      <w:r w:rsidRPr="00A2551C" w:rsidR="005A5B44">
        <w:rPr>
          <w:lang w:val="fr-FR"/>
        </w:rPr>
        <w:t>) les mots « à l</w:t>
      </w:r>
      <w:r w:rsidRPr="00A2551C" w:rsidR="00A2551C">
        <w:rPr>
          <w:lang w:val="fr-FR"/>
        </w:rPr>
        <w:t>’</w:t>
      </w:r>
      <w:r w:rsidRPr="00A2551C" w:rsidR="005A5B44">
        <w:rPr>
          <w:lang w:val="fr-FR"/>
        </w:rPr>
        <w:t xml:space="preserve">exception des cellules » en ont été exclus. Selon M., dans sa version </w:t>
      </w:r>
      <w:r w:rsidRPr="00A2551C" w:rsidR="004D27FE">
        <w:rPr>
          <w:lang w:val="fr-FR"/>
        </w:rPr>
        <w:t>modifiée par l</w:t>
      </w:r>
      <w:r w:rsidRPr="00A2551C" w:rsidR="00A2551C">
        <w:rPr>
          <w:lang w:val="fr-FR"/>
        </w:rPr>
        <w:t>’</w:t>
      </w:r>
      <w:r w:rsidRPr="00A2551C" w:rsidR="004D27FE">
        <w:rPr>
          <w:lang w:val="fr-FR"/>
        </w:rPr>
        <w:t>arrêté n</w:t>
      </w:r>
      <w:r w:rsidRPr="00A2551C" w:rsidR="004D27FE">
        <w:rPr>
          <w:vertAlign w:val="superscript"/>
          <w:lang w:val="fr-FR"/>
        </w:rPr>
        <w:t>o</w:t>
      </w:r>
      <w:r w:rsidRPr="00A2551C" w:rsidR="004D27FE">
        <w:rPr>
          <w:lang w:val="fr-FR"/>
        </w:rPr>
        <w:t> 166 (</w:t>
      </w:r>
      <w:proofErr w:type="spellStart"/>
      <w:r w:rsidRPr="00A2551C" w:rsidR="004D27FE">
        <w:rPr>
          <w:lang w:val="fr-FR"/>
        </w:rPr>
        <w:t>dsp</w:t>
      </w:r>
      <w:proofErr w:type="spellEnd"/>
      <w:r w:rsidRPr="00A2551C" w:rsidR="004D27FE">
        <w:rPr>
          <w:lang w:val="fr-FR"/>
        </w:rPr>
        <w:t xml:space="preserve">), </w:t>
      </w:r>
      <w:r w:rsidRPr="00A2551C" w:rsidR="005A5B44">
        <w:rPr>
          <w:lang w:val="fr-FR"/>
        </w:rPr>
        <w:t>en vigueur après le 25 mai 2011, l</w:t>
      </w:r>
      <w:r w:rsidRPr="00A2551C" w:rsidR="00A2551C">
        <w:rPr>
          <w:lang w:val="fr-FR"/>
        </w:rPr>
        <w:t>’</w:t>
      </w:r>
      <w:r w:rsidRPr="00A2551C" w:rsidR="005A5B44">
        <w:rPr>
          <w:lang w:val="fr-FR"/>
        </w:rPr>
        <w:t xml:space="preserve">instruction permettait aux autorités pénitentiaires de placer les cellules sous vidéosurveillance </w:t>
      </w:r>
      <w:r w:rsidRPr="00A2551C" w:rsidR="001447BE">
        <w:rPr>
          <w:lang w:val="fr-FR"/>
        </w:rPr>
        <w:t>24 </w:t>
      </w:r>
      <w:r w:rsidRPr="00A2551C" w:rsidR="00DB0F35">
        <w:rPr>
          <w:lang w:val="fr-FR"/>
        </w:rPr>
        <w:t xml:space="preserve">heures sur 24 </w:t>
      </w:r>
      <w:r w:rsidRPr="00A2551C" w:rsidR="005A5B44">
        <w:rPr>
          <w:lang w:val="fr-FR"/>
        </w:rPr>
        <w:t xml:space="preserve">sans que ce placement </w:t>
      </w:r>
      <w:r w:rsidRPr="00A2551C" w:rsidR="00A17C35">
        <w:rPr>
          <w:lang w:val="fr-FR"/>
        </w:rPr>
        <w:t xml:space="preserve">fût </w:t>
      </w:r>
      <w:r w:rsidRPr="00A2551C" w:rsidR="005A5B44">
        <w:rPr>
          <w:lang w:val="fr-FR"/>
        </w:rPr>
        <w:t>autorisé par une décision judiciaire ou par une décision du directeur de l</w:t>
      </w:r>
      <w:r w:rsidRPr="00A2551C" w:rsidR="00A2551C">
        <w:rPr>
          <w:lang w:val="fr-FR"/>
        </w:rPr>
        <w:t>’</w:t>
      </w:r>
      <w:r w:rsidRPr="00A2551C" w:rsidR="005A5B44">
        <w:rPr>
          <w:lang w:val="fr-FR"/>
        </w:rPr>
        <w:t>établissement pénitentiaire</w:t>
      </w:r>
      <w:r w:rsidRPr="00A2551C" w:rsidR="00413ED7">
        <w:rPr>
          <w:lang w:val="fr-FR"/>
        </w:rPr>
        <w:t>,</w:t>
      </w:r>
      <w:r w:rsidRPr="00A2551C" w:rsidR="005A5B44">
        <w:rPr>
          <w:lang w:val="fr-FR"/>
        </w:rPr>
        <w:t xml:space="preserve"> ce qui </w:t>
      </w:r>
      <w:r w:rsidRPr="00A2551C" w:rsidR="00A17C35">
        <w:rPr>
          <w:lang w:val="fr-FR"/>
        </w:rPr>
        <w:t xml:space="preserve">portait selon lui </w:t>
      </w:r>
      <w:r w:rsidRPr="00A2551C" w:rsidR="005A5B44">
        <w:rPr>
          <w:lang w:val="fr-FR"/>
        </w:rPr>
        <w:t>atteinte au droit de</w:t>
      </w:r>
      <w:r w:rsidRPr="00A2551C" w:rsidR="00413ED7">
        <w:rPr>
          <w:lang w:val="fr-FR"/>
        </w:rPr>
        <w:t>s</w:t>
      </w:r>
      <w:r w:rsidRPr="00A2551C" w:rsidR="005A5B44">
        <w:rPr>
          <w:lang w:val="fr-FR"/>
        </w:rPr>
        <w:t xml:space="preserve"> détenus au respect de </w:t>
      </w:r>
      <w:r w:rsidRPr="00A2551C" w:rsidR="00413ED7">
        <w:rPr>
          <w:lang w:val="fr-FR"/>
        </w:rPr>
        <w:t xml:space="preserve">leur </w:t>
      </w:r>
      <w:r w:rsidRPr="00A2551C" w:rsidR="005A5B44">
        <w:rPr>
          <w:lang w:val="fr-FR"/>
        </w:rPr>
        <w:t>vie privée.</w:t>
      </w:r>
      <w:r w:rsidRPr="00A2551C" w:rsidR="00D44845">
        <w:rPr>
          <w:lang w:val="fr-FR"/>
        </w:rPr>
        <w:t xml:space="preserve"> </w:t>
      </w:r>
      <w:r w:rsidRPr="00A2551C" w:rsidR="0086469F">
        <w:rPr>
          <w:lang w:val="fr-FR"/>
        </w:rPr>
        <w:t xml:space="preserve">Indiquant </w:t>
      </w:r>
      <w:r w:rsidRPr="00A2551C" w:rsidR="00961149">
        <w:rPr>
          <w:lang w:val="fr-FR"/>
        </w:rPr>
        <w:t>que le pouvoir de l</w:t>
      </w:r>
      <w:r w:rsidRPr="00A2551C" w:rsidR="00A2551C">
        <w:rPr>
          <w:lang w:val="fr-FR"/>
        </w:rPr>
        <w:t>’</w:t>
      </w:r>
      <w:r w:rsidRPr="00A2551C" w:rsidR="00961149">
        <w:rPr>
          <w:lang w:val="fr-FR"/>
        </w:rPr>
        <w:t>administration pénitentiaire de recourir aux systèmes de vidéosurveillance fonctionnant 24 heures sur 24 était conforme à l</w:t>
      </w:r>
      <w:r w:rsidRPr="00A2551C" w:rsidR="00A2551C">
        <w:rPr>
          <w:lang w:val="fr-FR"/>
        </w:rPr>
        <w:t>’</w:t>
      </w:r>
      <w:r w:rsidRPr="00A2551C" w:rsidR="00961149">
        <w:rPr>
          <w:lang w:val="fr-FR"/>
        </w:rPr>
        <w:t>article 83 du CESP</w:t>
      </w:r>
      <w:r w:rsidRPr="00A2551C" w:rsidR="00D44845">
        <w:rPr>
          <w:lang w:val="fr-FR"/>
        </w:rPr>
        <w:t>, la Cour suprême a indiqué que l</w:t>
      </w:r>
      <w:r w:rsidRPr="00A2551C" w:rsidR="00A2551C">
        <w:rPr>
          <w:lang w:val="fr-FR"/>
        </w:rPr>
        <w:t>’</w:t>
      </w:r>
      <w:r w:rsidRPr="00A2551C" w:rsidR="00D44845">
        <w:rPr>
          <w:lang w:val="fr-FR"/>
        </w:rPr>
        <w:t>arrêté n</w:t>
      </w:r>
      <w:r w:rsidRPr="00A2551C" w:rsidR="00D44845">
        <w:rPr>
          <w:vertAlign w:val="superscript"/>
          <w:lang w:val="fr-FR"/>
        </w:rPr>
        <w:t>o</w:t>
      </w:r>
      <w:r w:rsidRPr="00A2551C" w:rsidR="00D44845">
        <w:rPr>
          <w:lang w:val="fr-FR"/>
        </w:rPr>
        <w:t> 166 (</w:t>
      </w:r>
      <w:proofErr w:type="spellStart"/>
      <w:r w:rsidRPr="00A2551C" w:rsidR="00D44845">
        <w:rPr>
          <w:lang w:val="fr-FR"/>
        </w:rPr>
        <w:t>dsp</w:t>
      </w:r>
      <w:proofErr w:type="spellEnd"/>
      <w:r w:rsidRPr="00A2551C" w:rsidR="00D44845">
        <w:rPr>
          <w:lang w:val="fr-FR"/>
        </w:rPr>
        <w:t>) mis en cause par l</w:t>
      </w:r>
      <w:r w:rsidRPr="00A2551C" w:rsidR="00A2551C">
        <w:rPr>
          <w:lang w:val="fr-FR"/>
        </w:rPr>
        <w:t>’</w:t>
      </w:r>
      <w:r w:rsidRPr="00A2551C" w:rsidR="00D44845">
        <w:rPr>
          <w:lang w:val="fr-FR"/>
        </w:rPr>
        <w:t>intéressé ne régissait pas « les modalités de l</w:t>
      </w:r>
      <w:r w:rsidRPr="00A2551C" w:rsidR="00A2551C">
        <w:rPr>
          <w:lang w:val="fr-FR"/>
        </w:rPr>
        <w:t>’</w:t>
      </w:r>
      <w:r w:rsidRPr="00A2551C" w:rsidR="00D44845">
        <w:rPr>
          <w:lang w:val="fr-FR"/>
        </w:rPr>
        <w:t xml:space="preserve">utilisation de caméras vidéo dans la zone soumise au régime pénitentiaire ». </w:t>
      </w:r>
      <w:r w:rsidRPr="00A2551C" w:rsidR="00961149">
        <w:rPr>
          <w:lang w:val="fr-FR"/>
        </w:rPr>
        <w:t xml:space="preserve">Elle a </w:t>
      </w:r>
      <w:r w:rsidRPr="00A2551C" w:rsidR="001A6810">
        <w:rPr>
          <w:lang w:val="fr-FR"/>
        </w:rPr>
        <w:t>ajouté</w:t>
      </w:r>
      <w:r w:rsidRPr="00A2551C" w:rsidR="00961149">
        <w:rPr>
          <w:lang w:val="fr-FR"/>
        </w:rPr>
        <w:t xml:space="preserve"> </w:t>
      </w:r>
      <w:r w:rsidRPr="00A2551C" w:rsidR="00DB0F35">
        <w:rPr>
          <w:lang w:val="fr-FR"/>
        </w:rPr>
        <w:t>que le placement d</w:t>
      </w:r>
      <w:r w:rsidRPr="00A2551C" w:rsidR="00A2551C">
        <w:rPr>
          <w:lang w:val="fr-FR"/>
        </w:rPr>
        <w:t>’</w:t>
      </w:r>
      <w:r w:rsidRPr="00A2551C" w:rsidR="00DB0F35">
        <w:rPr>
          <w:lang w:val="fr-FR"/>
        </w:rPr>
        <w:t xml:space="preserve">un détenu sous vidéosurveillance </w:t>
      </w:r>
      <w:r w:rsidRPr="00A2551C" w:rsidR="00961149">
        <w:rPr>
          <w:lang w:val="fr-FR"/>
        </w:rPr>
        <w:t>n</w:t>
      </w:r>
      <w:r w:rsidRPr="00A2551C" w:rsidR="00A2551C">
        <w:rPr>
          <w:lang w:val="fr-FR"/>
        </w:rPr>
        <w:t>’</w:t>
      </w:r>
      <w:r w:rsidRPr="00A2551C" w:rsidR="00961149">
        <w:rPr>
          <w:lang w:val="fr-FR"/>
        </w:rPr>
        <w:t>était pas conditionné par l</w:t>
      </w:r>
      <w:r w:rsidRPr="00A2551C" w:rsidR="00A2551C">
        <w:rPr>
          <w:lang w:val="fr-FR"/>
        </w:rPr>
        <w:t>’</w:t>
      </w:r>
      <w:r w:rsidRPr="00A2551C" w:rsidR="00961149">
        <w:rPr>
          <w:lang w:val="fr-FR"/>
        </w:rPr>
        <w:t>adoption préalable d</w:t>
      </w:r>
      <w:r w:rsidRPr="00A2551C" w:rsidR="00A2551C">
        <w:rPr>
          <w:lang w:val="fr-FR"/>
        </w:rPr>
        <w:t>’</w:t>
      </w:r>
      <w:r w:rsidRPr="00A2551C" w:rsidR="00961149">
        <w:rPr>
          <w:lang w:val="fr-FR"/>
        </w:rPr>
        <w:t>une décision quelconque et que seule la notification du détenu concerné par cette mesure était nécessaire.</w:t>
      </w:r>
    </w:p>
    <w:bookmarkStart w:name="coursup3" w:id="27"/>
    <w:p w:rsidRPr="00A2551C" w:rsidR="0076324D" w:rsidP="00A2551C" w:rsidRDefault="00961149">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46</w:t>
      </w:r>
      <w:r w:rsidRPr="00A2551C">
        <w:rPr>
          <w:lang w:val="fr-FR"/>
        </w:rPr>
        <w:fldChar w:fldCharType="end"/>
      </w:r>
      <w:bookmarkEnd w:id="27"/>
      <w:r w:rsidRPr="00A2551C">
        <w:rPr>
          <w:lang w:val="fr-FR"/>
        </w:rPr>
        <w:t>.  Par sa décision n</w:t>
      </w:r>
      <w:r w:rsidRPr="00A2551C" w:rsidR="0076324D">
        <w:rPr>
          <w:vertAlign w:val="superscript"/>
          <w:lang w:val="fr-FR"/>
        </w:rPr>
        <w:t>o</w:t>
      </w:r>
      <w:r w:rsidRPr="00A2551C">
        <w:rPr>
          <w:lang w:val="fr-FR"/>
        </w:rPr>
        <w:t xml:space="preserve"> APL14-240 du </w:t>
      </w:r>
      <w:r w:rsidRPr="00A2551C" w:rsidR="00DB0F35">
        <w:rPr>
          <w:lang w:val="fr-FR"/>
        </w:rPr>
        <w:t>19 juin 2014</w:t>
      </w:r>
      <w:r w:rsidRPr="00A2551C">
        <w:rPr>
          <w:lang w:val="fr-FR"/>
        </w:rPr>
        <w:t>, la Cour suprême, statuant en instance d</w:t>
      </w:r>
      <w:r w:rsidRPr="00A2551C" w:rsidR="00A2551C">
        <w:rPr>
          <w:lang w:val="fr-FR"/>
        </w:rPr>
        <w:t>’</w:t>
      </w:r>
      <w:r w:rsidRPr="00A2551C">
        <w:rPr>
          <w:lang w:val="fr-FR"/>
        </w:rPr>
        <w:t>appel, a confirmé la décision n</w:t>
      </w:r>
      <w:r w:rsidRPr="00A2551C" w:rsidR="0076324D">
        <w:rPr>
          <w:vertAlign w:val="superscript"/>
          <w:lang w:val="fr-FR"/>
        </w:rPr>
        <w:t>o</w:t>
      </w:r>
      <w:r w:rsidRPr="00A2551C">
        <w:rPr>
          <w:lang w:val="fr-FR"/>
        </w:rPr>
        <w:t> AKPI14</w:t>
      </w:r>
      <w:r w:rsidRPr="00A2551C">
        <w:rPr>
          <w:lang w:val="fr-FR"/>
        </w:rPr>
        <w:noBreakHyphen/>
        <w:t>81 du 12 mars 2014</w:t>
      </w:r>
      <w:r w:rsidRPr="00A2551C" w:rsidR="004D27FE">
        <w:rPr>
          <w:lang w:val="fr-FR"/>
        </w:rPr>
        <w:t xml:space="preserve">. </w:t>
      </w:r>
      <w:r w:rsidRPr="00A2551C" w:rsidR="0086469F">
        <w:rPr>
          <w:lang w:val="fr-FR"/>
        </w:rPr>
        <w:t>F</w:t>
      </w:r>
      <w:r w:rsidRPr="00A2551C" w:rsidR="004D27FE">
        <w:rPr>
          <w:lang w:val="fr-FR"/>
        </w:rPr>
        <w:t xml:space="preserve">aisant siennes les conclusions de la juge de première instance, elle a réitéré que </w:t>
      </w:r>
      <w:r w:rsidRPr="00A2551C" w:rsidR="00D44845">
        <w:rPr>
          <w:lang w:val="fr-FR"/>
        </w:rPr>
        <w:t>la disposition litigieuse de l</w:t>
      </w:r>
      <w:r w:rsidRPr="00A2551C" w:rsidR="00A2551C">
        <w:rPr>
          <w:lang w:val="fr-FR"/>
        </w:rPr>
        <w:t>’</w:t>
      </w:r>
      <w:r w:rsidRPr="00A2551C" w:rsidR="00D44845">
        <w:rPr>
          <w:lang w:val="fr-FR"/>
        </w:rPr>
        <w:t>arrêté n</w:t>
      </w:r>
      <w:r w:rsidRPr="00A2551C" w:rsidR="00D44845">
        <w:rPr>
          <w:vertAlign w:val="superscript"/>
          <w:lang w:val="fr-FR"/>
        </w:rPr>
        <w:t>o</w:t>
      </w:r>
      <w:r w:rsidRPr="00A2551C" w:rsidR="00D44845">
        <w:rPr>
          <w:lang w:val="fr-FR"/>
        </w:rPr>
        <w:t> 166 (</w:t>
      </w:r>
      <w:proofErr w:type="spellStart"/>
      <w:r w:rsidRPr="00A2551C" w:rsidR="00D44845">
        <w:rPr>
          <w:lang w:val="fr-FR"/>
        </w:rPr>
        <w:t>dsp</w:t>
      </w:r>
      <w:proofErr w:type="spellEnd"/>
      <w:r w:rsidRPr="00A2551C" w:rsidR="00D44845">
        <w:rPr>
          <w:lang w:val="fr-FR"/>
        </w:rPr>
        <w:t>) « consacrait des règles générales » qui visaient le contrôle du régime carcéral dans les maisons d</w:t>
      </w:r>
      <w:r w:rsidRPr="00A2551C" w:rsidR="00A2551C">
        <w:rPr>
          <w:lang w:val="fr-FR"/>
        </w:rPr>
        <w:t>’</w:t>
      </w:r>
      <w:r w:rsidRPr="00A2551C" w:rsidR="00D44845">
        <w:rPr>
          <w:lang w:val="fr-FR"/>
        </w:rPr>
        <w:t>arrêt et dans les prisons mais « ne régissait pas les modalités de l</w:t>
      </w:r>
      <w:r w:rsidRPr="00A2551C" w:rsidR="00A2551C">
        <w:rPr>
          <w:lang w:val="fr-FR"/>
        </w:rPr>
        <w:t>’</w:t>
      </w:r>
      <w:r w:rsidRPr="00A2551C" w:rsidR="00D44845">
        <w:rPr>
          <w:lang w:val="fr-FR"/>
        </w:rPr>
        <w:t xml:space="preserve">utilisation de caméras vidéo dans la zone soumise au régime pénitentiaire, y compris </w:t>
      </w:r>
      <w:r w:rsidRPr="00A2551C" w:rsidR="0086469F">
        <w:rPr>
          <w:lang w:val="fr-FR"/>
        </w:rPr>
        <w:t>en ce qui concerne</w:t>
      </w:r>
      <w:r w:rsidRPr="00A2551C" w:rsidR="00D44845">
        <w:rPr>
          <w:lang w:val="fr-FR"/>
        </w:rPr>
        <w:t xml:space="preserve"> la vidéosurveillance du comportement de</w:t>
      </w:r>
      <w:r w:rsidRPr="00A2551C" w:rsidR="001A6810">
        <w:rPr>
          <w:lang w:val="fr-FR"/>
        </w:rPr>
        <w:t>s</w:t>
      </w:r>
      <w:r w:rsidRPr="00A2551C" w:rsidR="00D44845">
        <w:rPr>
          <w:lang w:val="fr-FR"/>
        </w:rPr>
        <w:t xml:space="preserve"> détenus dans les cellules ».</w:t>
      </w:r>
    </w:p>
    <w:p w:rsidRPr="00A2551C" w:rsidR="00BB47AF" w:rsidP="00A2551C" w:rsidRDefault="00A2551C">
      <w:pPr>
        <w:pStyle w:val="ECHRHeading1"/>
        <w:rPr>
          <w:lang w:val="fr-FR"/>
        </w:rPr>
      </w:pPr>
      <w:r w:rsidRPr="00A2551C">
        <w:rPr>
          <w:lang w:val="fr-FR"/>
        </w:rPr>
        <w:t xml:space="preserve">III.  LES TEXTES INTERNATIONAUX </w:t>
      </w:r>
      <w:r w:rsidRPr="00A2551C" w:rsidR="00BB47AF">
        <w:rPr>
          <w:lang w:val="fr-FR"/>
        </w:rPr>
        <w:t>PERTINENTS</w:t>
      </w:r>
    </w:p>
    <w:bookmarkStart w:name="rec200323" w:id="28"/>
    <w:p w:rsidRPr="00A2551C" w:rsidR="00BB47AF" w:rsidP="00A2551C" w:rsidRDefault="00BB47A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47</w:t>
      </w:r>
      <w:r w:rsidRPr="00A2551C">
        <w:rPr>
          <w:lang w:val="fr-FR"/>
        </w:rPr>
        <w:fldChar w:fldCharType="end"/>
      </w:r>
      <w:bookmarkEnd w:id="28"/>
      <w:r w:rsidRPr="00A2551C">
        <w:rPr>
          <w:lang w:val="fr-FR"/>
        </w:rPr>
        <w:t xml:space="preserve">.  Le passage pertinent de la Recommandation </w:t>
      </w:r>
      <w:proofErr w:type="spellStart"/>
      <w:r w:rsidRPr="00A2551C">
        <w:rPr>
          <w:lang w:val="fr-FR"/>
        </w:rPr>
        <w:t>Rec</w:t>
      </w:r>
      <w:proofErr w:type="spellEnd"/>
      <w:r w:rsidRPr="00A2551C">
        <w:rPr>
          <w:lang w:val="fr-FR"/>
        </w:rPr>
        <w:t>(2003)23 du Comité des Ministres concernant la gestion par les administrations pénitentiaires des condamnés à perpétuité et des autres détenus de longue durée, adoptée le 9</w:t>
      </w:r>
      <w:r w:rsidRPr="00A2551C" w:rsidR="002905AC">
        <w:rPr>
          <w:lang w:val="fr-FR"/>
        </w:rPr>
        <w:t> </w:t>
      </w:r>
      <w:r w:rsidRPr="00A2551C">
        <w:rPr>
          <w:lang w:val="fr-FR"/>
        </w:rPr>
        <w:t>octobre 2003, se lit comme suit :</w:t>
      </w:r>
    </w:p>
    <w:p w:rsidRPr="00A2551C" w:rsidR="00BB47AF" w:rsidP="00A2551C" w:rsidRDefault="00BB47AF">
      <w:pPr>
        <w:pStyle w:val="ECHRParaQuote"/>
        <w:rPr>
          <w:lang w:val="fr-FR"/>
        </w:rPr>
      </w:pPr>
      <w:r w:rsidRPr="00A2551C">
        <w:rPr>
          <w:lang w:val="fr-FR"/>
        </w:rPr>
        <w:t>« Sécurité et sûreté en prison</w:t>
      </w:r>
    </w:p>
    <w:p w:rsidRPr="00A2551C" w:rsidR="00BB47AF" w:rsidP="00A2551C" w:rsidRDefault="00BB47AF">
      <w:pPr>
        <w:pStyle w:val="ECHRParaQuote"/>
        <w:rPr>
          <w:lang w:val="fr-FR"/>
        </w:rPr>
      </w:pPr>
      <w:r w:rsidRPr="00A2551C">
        <w:rPr>
          <w:lang w:val="fr-FR"/>
        </w:rPr>
        <w:t>18.</w:t>
      </w:r>
      <w:r w:rsidRPr="00A2551C" w:rsidR="00F20581">
        <w:rPr>
          <w:lang w:val="fr-FR"/>
        </w:rPr>
        <w:t>  </w:t>
      </w:r>
      <w:proofErr w:type="gramStart"/>
      <w:r w:rsidRPr="00A2551C">
        <w:rPr>
          <w:i/>
          <w:lang w:val="fr-FR"/>
        </w:rPr>
        <w:t>a</w:t>
      </w:r>
      <w:proofErr w:type="gramEnd"/>
      <w:r w:rsidRPr="00A2551C">
        <w:rPr>
          <w:i/>
          <w:lang w:val="fr-FR"/>
        </w:rPr>
        <w:t>.</w:t>
      </w:r>
      <w:r w:rsidRPr="00A2551C">
        <w:rPr>
          <w:lang w:val="fr-FR"/>
        </w:rPr>
        <w:t>  Le maintien du contrôle en prison devrait être fondé sur le recours à la sécurité dynamique, c</w:t>
      </w:r>
      <w:r w:rsidRPr="00A2551C" w:rsidR="00A2551C">
        <w:rPr>
          <w:lang w:val="fr-FR"/>
        </w:rPr>
        <w:t>’</w:t>
      </w:r>
      <w:r w:rsidRPr="00A2551C">
        <w:rPr>
          <w:lang w:val="fr-FR"/>
        </w:rPr>
        <w:t>est-à-dire le développement par le personnel de relations positives avec les détenus, basées sur la fermeté et la loyauté, accompagnées d</w:t>
      </w:r>
      <w:r w:rsidRPr="00A2551C" w:rsidR="00A2551C">
        <w:rPr>
          <w:lang w:val="fr-FR"/>
        </w:rPr>
        <w:t>’</w:t>
      </w:r>
      <w:r w:rsidRPr="00A2551C">
        <w:rPr>
          <w:lang w:val="fr-FR"/>
        </w:rPr>
        <w:t>une connaissance de la situation individuelle des détenus et de tout risque que chacun d</w:t>
      </w:r>
      <w:r w:rsidRPr="00A2551C" w:rsidR="00A2551C">
        <w:rPr>
          <w:lang w:val="fr-FR"/>
        </w:rPr>
        <w:t>’</w:t>
      </w:r>
      <w:r w:rsidRPr="00A2551C">
        <w:rPr>
          <w:lang w:val="fr-FR"/>
        </w:rPr>
        <w:t>entre eux peut présenter.</w:t>
      </w:r>
    </w:p>
    <w:p w:rsidRPr="00A2551C" w:rsidR="00BB47AF" w:rsidP="00A2551C" w:rsidRDefault="00BB47AF">
      <w:pPr>
        <w:pStyle w:val="ECHRParaQuote"/>
        <w:rPr>
          <w:lang w:val="fr-FR"/>
        </w:rPr>
      </w:pPr>
      <w:r w:rsidRPr="00A2551C">
        <w:rPr>
          <w:i/>
          <w:lang w:val="fr-FR"/>
        </w:rPr>
        <w:t>b</w:t>
      </w:r>
      <w:r w:rsidRPr="00A2551C">
        <w:rPr>
          <w:lang w:val="fr-FR"/>
        </w:rPr>
        <w:t>.  Lorsque des dispositifs techniques tels que systèmes d</w:t>
      </w:r>
      <w:r w:rsidRPr="00A2551C" w:rsidR="00A2551C">
        <w:rPr>
          <w:lang w:val="fr-FR"/>
        </w:rPr>
        <w:t>’</w:t>
      </w:r>
      <w:r w:rsidRPr="00A2551C">
        <w:rPr>
          <w:lang w:val="fr-FR"/>
        </w:rPr>
        <w:t>alarme et télévisions en circuit fermé sont utilisés, ils devraient toujours l</w:t>
      </w:r>
      <w:r w:rsidRPr="00A2551C" w:rsidR="00A2551C">
        <w:rPr>
          <w:lang w:val="fr-FR"/>
        </w:rPr>
        <w:t>’</w:t>
      </w:r>
      <w:r w:rsidRPr="00A2551C">
        <w:rPr>
          <w:lang w:val="fr-FR"/>
        </w:rPr>
        <w:t>être en complément aux méthodes de sécurité dynamique.</w:t>
      </w:r>
      <w:r w:rsidRPr="00A2551C" w:rsidR="00BA02C2">
        <w:rPr>
          <w:lang w:val="fr-FR"/>
        </w:rPr>
        <w:t> »</w:t>
      </w:r>
    </w:p>
    <w:p w:rsidRPr="00A2551C" w:rsidR="003B257F" w:rsidP="00A2551C" w:rsidRDefault="00E77CB3">
      <w:pPr>
        <w:pStyle w:val="ECHRTitle1"/>
        <w:rPr>
          <w:lang w:val="fr-FR"/>
        </w:rPr>
      </w:pPr>
      <w:r w:rsidRPr="00A2551C">
        <w:rPr>
          <w:lang w:val="fr-FR"/>
        </w:rPr>
        <w:t>EN DROIT</w:t>
      </w:r>
    </w:p>
    <w:p w:rsidRPr="00A2551C" w:rsidR="00E77CB3" w:rsidP="00A2551C" w:rsidRDefault="00D733D1">
      <w:pPr>
        <w:pStyle w:val="ECHRHeading1"/>
        <w:rPr>
          <w:lang w:val="fr-FR"/>
        </w:rPr>
      </w:pPr>
      <w:r w:rsidRPr="00A2551C">
        <w:rPr>
          <w:lang w:val="fr-FR"/>
        </w:rPr>
        <w:t>I.</w:t>
      </w:r>
      <w:r w:rsidRPr="00A2551C" w:rsidR="00E77CB3">
        <w:rPr>
          <w:lang w:val="fr-FR"/>
        </w:rPr>
        <w:t>  SUR LA VIOLATION ALLÉGUÉE DE L</w:t>
      </w:r>
      <w:r w:rsidRPr="00A2551C" w:rsidR="00A2551C">
        <w:rPr>
          <w:lang w:val="fr-FR"/>
        </w:rPr>
        <w:t>’</w:t>
      </w:r>
      <w:r w:rsidRPr="00A2551C" w:rsidR="00E77CB3">
        <w:rPr>
          <w:lang w:val="fr-FR"/>
        </w:rPr>
        <w:t xml:space="preserve">ARTICLE </w:t>
      </w:r>
      <w:r w:rsidRPr="00A2551C" w:rsidR="00146316">
        <w:rPr>
          <w:lang w:val="fr-FR"/>
        </w:rPr>
        <w:t>3</w:t>
      </w:r>
      <w:r w:rsidRPr="00A2551C" w:rsidR="00E77CB3">
        <w:rPr>
          <w:lang w:val="fr-FR"/>
        </w:rPr>
        <w:t xml:space="preserve"> DE LA CONVENTION</w:t>
      </w:r>
    </w:p>
    <w:p w:rsidRPr="00A2551C" w:rsidR="00E77CB3"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48</w:t>
      </w:r>
      <w:r w:rsidRPr="00A2551C">
        <w:rPr>
          <w:lang w:val="fr-FR"/>
        </w:rPr>
        <w:fldChar w:fldCharType="end"/>
      </w:r>
      <w:r w:rsidRPr="00A2551C" w:rsidR="00E77CB3">
        <w:rPr>
          <w:lang w:val="fr-FR"/>
        </w:rPr>
        <w:t>.  </w:t>
      </w:r>
      <w:r w:rsidRPr="00A2551C" w:rsidR="00146316">
        <w:rPr>
          <w:lang w:val="fr-FR"/>
        </w:rPr>
        <w:t xml:space="preserve">Le requérant dénonce ses conditions de détention </w:t>
      </w:r>
      <w:r w:rsidRPr="00A2551C" w:rsidR="00EC6BDF">
        <w:rPr>
          <w:lang w:val="fr-FR"/>
        </w:rPr>
        <w:t>dans</w:t>
      </w:r>
      <w:r w:rsidRPr="00A2551C" w:rsidR="00146316">
        <w:rPr>
          <w:lang w:val="fr-FR"/>
        </w:rPr>
        <w:t xml:space="preserve"> la maison d</w:t>
      </w:r>
      <w:r w:rsidRPr="00A2551C" w:rsidR="00A2551C">
        <w:rPr>
          <w:lang w:val="fr-FR"/>
        </w:rPr>
        <w:t>’</w:t>
      </w:r>
      <w:r w:rsidRPr="00A2551C" w:rsidR="00146316">
        <w:rPr>
          <w:lang w:val="fr-FR"/>
        </w:rPr>
        <w:t>arrêt</w:t>
      </w:r>
      <w:r w:rsidRPr="00A2551C" w:rsidR="00550B3A">
        <w:rPr>
          <w:lang w:val="fr-FR"/>
        </w:rPr>
        <w:t xml:space="preserve"> SIZO</w:t>
      </w:r>
      <w:r w:rsidRPr="00A2551C" w:rsidR="00550B3A">
        <w:rPr>
          <w:lang w:val="fr-FR"/>
        </w:rPr>
        <w:noBreakHyphen/>
        <w:t>2</w:t>
      </w:r>
      <w:r w:rsidRPr="00A2551C" w:rsidR="00146316">
        <w:rPr>
          <w:lang w:val="fr-FR"/>
        </w:rPr>
        <w:t xml:space="preserve">, ses conditions de transport vers et depuis le </w:t>
      </w:r>
      <w:r w:rsidRPr="00A2551C" w:rsidR="008A56E0">
        <w:rPr>
          <w:lang w:val="fr-FR"/>
        </w:rPr>
        <w:t xml:space="preserve">tribunal </w:t>
      </w:r>
      <w:r w:rsidRPr="00A2551C" w:rsidR="00146316">
        <w:rPr>
          <w:lang w:val="fr-FR"/>
        </w:rPr>
        <w:t>lors du procès pénal dirigé contre lui, ses conditions de détention dans les locaux de cette juridiction ainsi que celles dans la colonie pénitentiaire. Il invoque l</w:t>
      </w:r>
      <w:r w:rsidRPr="00A2551C" w:rsidR="00A2551C">
        <w:rPr>
          <w:lang w:val="fr-FR"/>
        </w:rPr>
        <w:t>’</w:t>
      </w:r>
      <w:r w:rsidRPr="00A2551C" w:rsidR="00146316">
        <w:rPr>
          <w:lang w:val="fr-FR"/>
        </w:rPr>
        <w:t>article 3 de la Convention</w:t>
      </w:r>
      <w:r w:rsidRPr="00A2551C" w:rsidR="00E77CB3">
        <w:rPr>
          <w:lang w:val="fr-FR"/>
        </w:rPr>
        <w:t>, ainsi libellé :</w:t>
      </w:r>
    </w:p>
    <w:p w:rsidRPr="00A2551C" w:rsidR="00E77CB3" w:rsidP="00A2551C" w:rsidRDefault="00146316">
      <w:pPr>
        <w:pStyle w:val="ECHRParaQuote"/>
        <w:rPr>
          <w:lang w:val="fr-FR"/>
        </w:rPr>
      </w:pPr>
      <w:r w:rsidRPr="00A2551C">
        <w:rPr>
          <w:lang w:val="fr-FR"/>
        </w:rPr>
        <w:t>« Nul ne peut être soumis à la torture ni à des peines ou traitements inhumains ou dégradants. »</w:t>
      </w:r>
    </w:p>
    <w:p w:rsidRPr="00A2551C" w:rsidR="00146316" w:rsidP="00A2551C" w:rsidRDefault="00146316">
      <w:pPr>
        <w:pStyle w:val="ECHRHeading2"/>
        <w:rPr>
          <w:lang w:val="fr-FR"/>
        </w:rPr>
      </w:pPr>
      <w:r w:rsidRPr="00A2551C">
        <w:rPr>
          <w:lang w:val="fr-FR"/>
        </w:rPr>
        <w:t>A.  </w:t>
      </w:r>
      <w:r w:rsidRPr="00A2551C" w:rsidR="00F21820">
        <w:rPr>
          <w:iCs/>
          <w:lang w:val="fr-FR"/>
        </w:rPr>
        <w:t>Sur les conditions de détention du requérant dans la maison d</w:t>
      </w:r>
      <w:r w:rsidRPr="00A2551C" w:rsidR="00A2551C">
        <w:rPr>
          <w:iCs/>
          <w:lang w:val="fr-FR"/>
        </w:rPr>
        <w:t>’</w:t>
      </w:r>
      <w:r w:rsidRPr="00A2551C" w:rsidR="00F21820">
        <w:rPr>
          <w:iCs/>
          <w:lang w:val="fr-FR"/>
        </w:rPr>
        <w:t>arrêt</w:t>
      </w:r>
      <w:r w:rsidRPr="00A2551C" w:rsidR="00550B3A">
        <w:rPr>
          <w:iCs/>
          <w:lang w:val="fr-FR"/>
        </w:rPr>
        <w:t xml:space="preserve"> SIZO</w:t>
      </w:r>
      <w:r w:rsidRPr="00A2551C" w:rsidR="00550B3A">
        <w:rPr>
          <w:iCs/>
          <w:lang w:val="fr-FR"/>
        </w:rPr>
        <w:noBreakHyphen/>
        <w:t>2</w:t>
      </w:r>
      <w:r w:rsidRPr="00A2551C" w:rsidR="00F21820">
        <w:rPr>
          <w:iCs/>
          <w:lang w:val="fr-FR"/>
        </w:rPr>
        <w:t xml:space="preserve">, les conditions de </w:t>
      </w:r>
      <w:r w:rsidRPr="00A2551C" w:rsidR="00550B3A">
        <w:rPr>
          <w:iCs/>
          <w:lang w:val="fr-FR"/>
        </w:rPr>
        <w:t xml:space="preserve">son </w:t>
      </w:r>
      <w:r w:rsidRPr="00A2551C" w:rsidR="00F21820">
        <w:rPr>
          <w:iCs/>
          <w:lang w:val="fr-FR"/>
        </w:rPr>
        <w:t xml:space="preserve">transport vers et depuis le tribunal ainsi que les conditions de sa détention dans les locaux </w:t>
      </w:r>
      <w:r w:rsidRPr="00A2551C" w:rsidR="002905AC">
        <w:rPr>
          <w:iCs/>
          <w:lang w:val="fr-FR"/>
        </w:rPr>
        <w:t>de celui-ci</w:t>
      </w:r>
    </w:p>
    <w:p w:rsidRPr="00A2551C" w:rsidR="00167CBC" w:rsidP="00A2551C" w:rsidRDefault="00167CBC">
      <w:pPr>
        <w:pStyle w:val="ECHRHeading3"/>
        <w:rPr>
          <w:iCs/>
          <w:lang w:val="fr-FR"/>
        </w:rPr>
      </w:pPr>
      <w:r w:rsidRPr="00A2551C">
        <w:rPr>
          <w:iCs/>
          <w:lang w:val="fr-FR"/>
        </w:rPr>
        <w:t>1.  </w:t>
      </w:r>
      <w:r w:rsidRPr="00A2551C" w:rsidR="00F21820">
        <w:rPr>
          <w:iCs/>
          <w:lang w:val="fr-FR"/>
        </w:rPr>
        <w:t>Thèses des parties</w:t>
      </w:r>
    </w:p>
    <w:p w:rsidRPr="00A2551C" w:rsidR="008A56E0" w:rsidP="00A2551C" w:rsidRDefault="00167CBC">
      <w:pPr>
        <w:pStyle w:val="ECHRHeading4"/>
        <w:rPr>
          <w:lang w:val="fr-FR"/>
        </w:rPr>
      </w:pPr>
      <w:r w:rsidRPr="00A2551C">
        <w:rPr>
          <w:lang w:val="fr-FR"/>
        </w:rPr>
        <w:t>a)</w:t>
      </w:r>
      <w:r w:rsidRPr="00A2551C" w:rsidR="008A56E0">
        <w:rPr>
          <w:lang w:val="fr-FR"/>
        </w:rPr>
        <w:t>  Le Gouvernement</w:t>
      </w:r>
    </w:p>
    <w:p w:rsidRPr="00A2551C" w:rsidR="008469C5" w:rsidP="00A2551C" w:rsidRDefault="008469C5">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49</w:t>
      </w:r>
      <w:r w:rsidRPr="00A2551C">
        <w:rPr>
          <w:lang w:val="fr-FR"/>
        </w:rPr>
        <w:fldChar w:fldCharType="end"/>
      </w:r>
      <w:r w:rsidRPr="00A2551C">
        <w:rPr>
          <w:lang w:val="fr-FR"/>
        </w:rPr>
        <w:t>.  Le Gouvernement indique</w:t>
      </w:r>
      <w:r w:rsidRPr="00A2551C" w:rsidR="00472B47">
        <w:rPr>
          <w:lang w:val="fr-FR"/>
        </w:rPr>
        <w:t xml:space="preserve"> tout</w:t>
      </w:r>
      <w:r w:rsidRPr="00A2551C">
        <w:rPr>
          <w:lang w:val="fr-FR"/>
        </w:rPr>
        <w:t xml:space="preserve"> d</w:t>
      </w:r>
      <w:r w:rsidRPr="00A2551C" w:rsidR="00A2551C">
        <w:rPr>
          <w:lang w:val="fr-FR"/>
        </w:rPr>
        <w:t>’</w:t>
      </w:r>
      <w:r w:rsidRPr="00A2551C">
        <w:rPr>
          <w:lang w:val="fr-FR"/>
        </w:rPr>
        <w:t>abord que le requérant a été détenu dans la maison d</w:t>
      </w:r>
      <w:r w:rsidRPr="00A2551C" w:rsidR="00A2551C">
        <w:rPr>
          <w:lang w:val="fr-FR"/>
        </w:rPr>
        <w:t>’</w:t>
      </w:r>
      <w:r w:rsidRPr="00A2551C">
        <w:rPr>
          <w:lang w:val="fr-FR"/>
        </w:rPr>
        <w:t xml:space="preserve">arrêt </w:t>
      </w:r>
      <w:r w:rsidRPr="00A2551C" w:rsidR="00472B47">
        <w:rPr>
          <w:iCs/>
          <w:lang w:val="fr-FR"/>
        </w:rPr>
        <w:t>SIZO</w:t>
      </w:r>
      <w:r w:rsidRPr="00A2551C" w:rsidR="00472B47">
        <w:rPr>
          <w:iCs/>
          <w:lang w:val="fr-FR"/>
        </w:rPr>
        <w:noBreakHyphen/>
        <w:t xml:space="preserve">2 </w:t>
      </w:r>
      <w:r w:rsidRPr="00A2551C">
        <w:rPr>
          <w:lang w:val="fr-FR"/>
        </w:rPr>
        <w:t xml:space="preserve">du 18 janvier au 18 juillet 2007 et du 30 novembre 2007 au 6 novembre 2011. </w:t>
      </w:r>
      <w:r w:rsidRPr="00A2551C" w:rsidR="00472B47">
        <w:rPr>
          <w:lang w:val="fr-FR"/>
        </w:rPr>
        <w:t xml:space="preserve">Eu égard </w:t>
      </w:r>
      <w:r w:rsidRPr="00A2551C" w:rsidR="002905AC">
        <w:rPr>
          <w:lang w:val="fr-FR"/>
        </w:rPr>
        <w:t xml:space="preserve">au laps de temps écoulé </w:t>
      </w:r>
      <w:r w:rsidRPr="00A2551C">
        <w:rPr>
          <w:lang w:val="fr-FR"/>
        </w:rPr>
        <w:t xml:space="preserve">entre les deux périodes susmentionnées, </w:t>
      </w:r>
      <w:r w:rsidRPr="00A2551C" w:rsidR="00472B47">
        <w:rPr>
          <w:lang w:val="fr-FR"/>
        </w:rPr>
        <w:t>il</w:t>
      </w:r>
      <w:r w:rsidRPr="00A2551C">
        <w:rPr>
          <w:lang w:val="fr-FR"/>
        </w:rPr>
        <w:t xml:space="preserve"> soutient que le grief du requérant quant </w:t>
      </w:r>
      <w:r w:rsidRPr="00A2551C" w:rsidR="00167CBC">
        <w:rPr>
          <w:lang w:val="fr-FR"/>
        </w:rPr>
        <w:t xml:space="preserve">aux </w:t>
      </w:r>
      <w:r w:rsidRPr="00A2551C">
        <w:rPr>
          <w:lang w:val="fr-FR"/>
        </w:rPr>
        <w:t>conditions de</w:t>
      </w:r>
      <w:r w:rsidRPr="00A2551C" w:rsidR="00167CBC">
        <w:rPr>
          <w:lang w:val="fr-FR"/>
        </w:rPr>
        <w:t xml:space="preserve"> sa</w:t>
      </w:r>
      <w:r w:rsidRPr="00A2551C">
        <w:rPr>
          <w:lang w:val="fr-FR"/>
        </w:rPr>
        <w:t xml:space="preserve"> détention </w:t>
      </w:r>
      <w:r w:rsidRPr="00A2551C" w:rsidR="00EC6BDF">
        <w:rPr>
          <w:lang w:val="fr-FR"/>
        </w:rPr>
        <w:t xml:space="preserve">pendant la période </w:t>
      </w:r>
      <w:r w:rsidRPr="00A2551C" w:rsidR="001447BE">
        <w:rPr>
          <w:lang w:val="fr-FR"/>
        </w:rPr>
        <w:t>du 18 janvier au 18 </w:t>
      </w:r>
      <w:r w:rsidRPr="00A2551C">
        <w:rPr>
          <w:lang w:val="fr-FR"/>
        </w:rPr>
        <w:t>juillet 2007 au sein de cet établissement est tardif car il a</w:t>
      </w:r>
      <w:r w:rsidRPr="00A2551C" w:rsidR="00472B47">
        <w:rPr>
          <w:lang w:val="fr-FR"/>
        </w:rPr>
        <w:t>urait</w:t>
      </w:r>
      <w:r w:rsidRPr="00A2551C">
        <w:rPr>
          <w:lang w:val="fr-FR"/>
        </w:rPr>
        <w:t xml:space="preserve"> été introduit le 10 décembre 2010, soit plus de six </w:t>
      </w:r>
      <w:r w:rsidRPr="00A2551C" w:rsidR="00167CBC">
        <w:rPr>
          <w:lang w:val="fr-FR"/>
        </w:rPr>
        <w:t xml:space="preserve">mois </w:t>
      </w:r>
      <w:r w:rsidRPr="00A2551C">
        <w:rPr>
          <w:lang w:val="fr-FR"/>
        </w:rPr>
        <w:t>après la fin de celle</w:t>
      </w:r>
      <w:r w:rsidRPr="00A2551C">
        <w:rPr>
          <w:lang w:val="fr-FR"/>
        </w:rPr>
        <w:noBreakHyphen/>
        <w:t>ci.</w:t>
      </w:r>
    </w:p>
    <w:p w:rsidRPr="00A2551C" w:rsidR="0076324D" w:rsidP="00A2551C" w:rsidRDefault="008469C5">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50</w:t>
      </w:r>
      <w:r w:rsidRPr="00A2551C">
        <w:rPr>
          <w:lang w:val="fr-FR"/>
        </w:rPr>
        <w:fldChar w:fldCharType="end"/>
      </w:r>
      <w:r w:rsidRPr="00A2551C">
        <w:rPr>
          <w:lang w:val="fr-FR"/>
        </w:rPr>
        <w:t xml:space="preserve">.  Le Gouvernement </w:t>
      </w:r>
      <w:r w:rsidRPr="00A2551C" w:rsidR="00472B47">
        <w:rPr>
          <w:lang w:val="fr-FR"/>
        </w:rPr>
        <w:t xml:space="preserve">allègue </w:t>
      </w:r>
      <w:r w:rsidRPr="00A2551C" w:rsidR="00167CBC">
        <w:rPr>
          <w:lang w:val="fr-FR"/>
        </w:rPr>
        <w:t xml:space="preserve">ensuite </w:t>
      </w:r>
      <w:r w:rsidRPr="00A2551C">
        <w:rPr>
          <w:lang w:val="fr-FR"/>
        </w:rPr>
        <w:t xml:space="preserve">que les cellules successivement occupées par le requérant </w:t>
      </w:r>
      <w:r w:rsidRPr="00A2551C" w:rsidR="00EC6BDF">
        <w:rPr>
          <w:lang w:val="fr-FR"/>
        </w:rPr>
        <w:t>au sein de</w:t>
      </w:r>
      <w:r w:rsidRPr="00A2551C">
        <w:rPr>
          <w:lang w:val="fr-FR"/>
        </w:rPr>
        <w:t xml:space="preserve"> la maison d</w:t>
      </w:r>
      <w:r w:rsidRPr="00A2551C" w:rsidR="00A2551C">
        <w:rPr>
          <w:lang w:val="fr-FR"/>
        </w:rPr>
        <w:t>’</w:t>
      </w:r>
      <w:r w:rsidRPr="00A2551C">
        <w:rPr>
          <w:lang w:val="fr-FR"/>
        </w:rPr>
        <w:t xml:space="preserve">arrêt </w:t>
      </w:r>
      <w:r w:rsidRPr="00A2551C" w:rsidR="00EC6BDF">
        <w:rPr>
          <w:lang w:val="fr-FR"/>
        </w:rPr>
        <w:t>SIZO</w:t>
      </w:r>
      <w:r w:rsidRPr="00A2551C" w:rsidR="00EC6BDF">
        <w:rPr>
          <w:lang w:val="fr-FR"/>
        </w:rPr>
        <w:noBreakHyphen/>
        <w:t xml:space="preserve">2 </w:t>
      </w:r>
      <w:r w:rsidRPr="00A2551C" w:rsidR="00167CBC">
        <w:rPr>
          <w:lang w:val="fr-FR"/>
        </w:rPr>
        <w:t xml:space="preserve">du 30 novembre 2007 au 6 novembre 2011 </w:t>
      </w:r>
      <w:r w:rsidRPr="00A2551C">
        <w:rPr>
          <w:lang w:val="fr-FR"/>
        </w:rPr>
        <w:t xml:space="preserve">mesuraient 8,3 m², </w:t>
      </w:r>
      <w:r w:rsidRPr="00A2551C" w:rsidR="00472B47">
        <w:rPr>
          <w:lang w:val="fr-FR"/>
        </w:rPr>
        <w:t>qu</w:t>
      </w:r>
      <w:r w:rsidRPr="00A2551C" w:rsidR="00A2551C">
        <w:rPr>
          <w:lang w:val="fr-FR"/>
        </w:rPr>
        <w:t>’</w:t>
      </w:r>
      <w:r w:rsidRPr="00A2551C" w:rsidR="00472B47">
        <w:rPr>
          <w:lang w:val="fr-FR"/>
        </w:rPr>
        <w:t xml:space="preserve">elles </w:t>
      </w:r>
      <w:r w:rsidRPr="00A2551C">
        <w:rPr>
          <w:lang w:val="fr-FR"/>
        </w:rPr>
        <w:t xml:space="preserve">étaient munies de deux ou de trois lits et </w:t>
      </w:r>
      <w:r w:rsidRPr="00A2551C" w:rsidR="00472B47">
        <w:rPr>
          <w:lang w:val="fr-FR"/>
        </w:rPr>
        <w:t>qu</w:t>
      </w:r>
      <w:r w:rsidRPr="00A2551C" w:rsidR="00A2551C">
        <w:rPr>
          <w:lang w:val="fr-FR"/>
        </w:rPr>
        <w:t>’</w:t>
      </w:r>
      <w:r w:rsidRPr="00A2551C" w:rsidR="00472B47">
        <w:rPr>
          <w:lang w:val="fr-FR"/>
        </w:rPr>
        <w:t xml:space="preserve">elles </w:t>
      </w:r>
      <w:r w:rsidRPr="00A2551C">
        <w:rPr>
          <w:lang w:val="fr-FR"/>
        </w:rPr>
        <w:t>étaient équipées de tout le matériel et de toutes les commodités nécessaires</w:t>
      </w:r>
      <w:r w:rsidRPr="00A2551C" w:rsidR="00472B47">
        <w:rPr>
          <w:lang w:val="fr-FR"/>
        </w:rPr>
        <w:t xml:space="preserve"> </w:t>
      </w:r>
      <w:r w:rsidRPr="00A2551C">
        <w:rPr>
          <w:lang w:val="fr-FR"/>
        </w:rPr>
        <w:t xml:space="preserve">(lavabo, table, etc.). </w:t>
      </w:r>
      <w:r w:rsidRPr="00A2551C" w:rsidR="00472B47">
        <w:rPr>
          <w:lang w:val="fr-FR"/>
        </w:rPr>
        <w:t>Il indique que, p</w:t>
      </w:r>
      <w:r w:rsidRPr="00A2551C">
        <w:rPr>
          <w:lang w:val="fr-FR"/>
        </w:rPr>
        <w:t xml:space="preserve">endant toute la période de la détention du requérant, les autres conditions matérielles de </w:t>
      </w:r>
      <w:r w:rsidRPr="00A2551C" w:rsidR="00472B47">
        <w:rPr>
          <w:lang w:val="fr-FR"/>
        </w:rPr>
        <w:t>l</w:t>
      </w:r>
      <w:r w:rsidRPr="00A2551C">
        <w:rPr>
          <w:lang w:val="fr-FR"/>
        </w:rPr>
        <w:t>a détention</w:t>
      </w:r>
      <w:r w:rsidRPr="00A2551C" w:rsidR="00472B47">
        <w:rPr>
          <w:lang w:val="fr-FR"/>
        </w:rPr>
        <w:t xml:space="preserve"> de celui-ci</w:t>
      </w:r>
      <w:r w:rsidRPr="00A2551C">
        <w:rPr>
          <w:lang w:val="fr-FR"/>
        </w:rPr>
        <w:t>, telles que la température, l</w:t>
      </w:r>
      <w:r w:rsidRPr="00A2551C" w:rsidR="00A2551C">
        <w:rPr>
          <w:lang w:val="fr-FR"/>
        </w:rPr>
        <w:t>’</w:t>
      </w:r>
      <w:r w:rsidRPr="00A2551C">
        <w:rPr>
          <w:lang w:val="fr-FR"/>
        </w:rPr>
        <w:t>éclairage, l</w:t>
      </w:r>
      <w:r w:rsidRPr="00A2551C" w:rsidR="00A2551C">
        <w:rPr>
          <w:lang w:val="fr-FR"/>
        </w:rPr>
        <w:t>’</w:t>
      </w:r>
      <w:r w:rsidRPr="00A2551C">
        <w:rPr>
          <w:lang w:val="fr-FR"/>
        </w:rPr>
        <w:t>humidité et l</w:t>
      </w:r>
      <w:r w:rsidRPr="00A2551C" w:rsidR="00A2551C">
        <w:rPr>
          <w:lang w:val="fr-FR"/>
        </w:rPr>
        <w:t>’</w:t>
      </w:r>
      <w:r w:rsidRPr="00A2551C">
        <w:rPr>
          <w:lang w:val="fr-FR"/>
        </w:rPr>
        <w:t>état sanitaire des cellules ainsi que la possibilité de prendre une douche et de bénéficier d</w:t>
      </w:r>
      <w:r w:rsidRPr="00A2551C" w:rsidR="00A2551C">
        <w:rPr>
          <w:lang w:val="fr-FR"/>
        </w:rPr>
        <w:t>’</w:t>
      </w:r>
      <w:r w:rsidRPr="00A2551C">
        <w:rPr>
          <w:lang w:val="fr-FR"/>
        </w:rPr>
        <w:t xml:space="preserve">une promenade quotidienne, </w:t>
      </w:r>
      <w:r w:rsidRPr="00A2551C" w:rsidR="00472B47">
        <w:rPr>
          <w:lang w:val="fr-FR"/>
        </w:rPr>
        <w:t>étaient</w:t>
      </w:r>
      <w:r w:rsidRPr="00A2551C">
        <w:rPr>
          <w:lang w:val="fr-FR"/>
        </w:rPr>
        <w:t xml:space="preserve"> conformes aux normes nationales en vigueur.</w:t>
      </w:r>
    </w:p>
    <w:p w:rsidRPr="00A2551C" w:rsidR="0076324D" w:rsidP="00A2551C" w:rsidRDefault="00167CB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51</w:t>
      </w:r>
      <w:r w:rsidRPr="00A2551C">
        <w:rPr>
          <w:lang w:val="fr-FR"/>
        </w:rPr>
        <w:fldChar w:fldCharType="end"/>
      </w:r>
      <w:r w:rsidRPr="00A2551C">
        <w:rPr>
          <w:lang w:val="fr-FR"/>
        </w:rPr>
        <w:t>.  </w:t>
      </w:r>
      <w:r w:rsidRPr="00A2551C" w:rsidR="008469C5">
        <w:rPr>
          <w:lang w:val="fr-FR"/>
        </w:rPr>
        <w:t xml:space="preserve">Le Gouvernement </w:t>
      </w:r>
      <w:r w:rsidRPr="00A2551C">
        <w:rPr>
          <w:lang w:val="fr-FR"/>
        </w:rPr>
        <w:t>argue</w:t>
      </w:r>
      <w:r w:rsidRPr="00A2551C" w:rsidR="008469C5">
        <w:rPr>
          <w:lang w:val="fr-FR"/>
        </w:rPr>
        <w:t xml:space="preserve"> </w:t>
      </w:r>
      <w:r w:rsidRPr="00A2551C">
        <w:rPr>
          <w:lang w:val="fr-FR"/>
        </w:rPr>
        <w:t xml:space="preserve">enfin </w:t>
      </w:r>
      <w:r w:rsidRPr="00A2551C" w:rsidR="008469C5">
        <w:rPr>
          <w:lang w:val="fr-FR"/>
        </w:rPr>
        <w:t>que le requérant a été transporté entre la maison d</w:t>
      </w:r>
      <w:r w:rsidRPr="00A2551C" w:rsidR="00A2551C">
        <w:rPr>
          <w:lang w:val="fr-FR"/>
        </w:rPr>
        <w:t>’</w:t>
      </w:r>
      <w:r w:rsidRPr="00A2551C" w:rsidR="008469C5">
        <w:rPr>
          <w:lang w:val="fr-FR"/>
        </w:rPr>
        <w:t xml:space="preserve">arrêt </w:t>
      </w:r>
      <w:r w:rsidRPr="00A2551C" w:rsidR="00EC6BDF">
        <w:rPr>
          <w:lang w:val="fr-FR"/>
        </w:rPr>
        <w:t>SIZO</w:t>
      </w:r>
      <w:r w:rsidRPr="00A2551C" w:rsidR="00EC6BDF">
        <w:rPr>
          <w:lang w:val="fr-FR"/>
        </w:rPr>
        <w:noBreakHyphen/>
        <w:t xml:space="preserve">2 </w:t>
      </w:r>
      <w:r w:rsidRPr="00A2551C" w:rsidR="008469C5">
        <w:rPr>
          <w:lang w:val="fr-FR"/>
        </w:rPr>
        <w:t>et le tribunal dans des fourgons spécialisés et que le nombre de détenus transportés n</w:t>
      </w:r>
      <w:r w:rsidRPr="00A2551C" w:rsidR="00A2551C">
        <w:rPr>
          <w:lang w:val="fr-FR"/>
        </w:rPr>
        <w:t>’</w:t>
      </w:r>
      <w:r w:rsidRPr="00A2551C" w:rsidR="008469C5">
        <w:rPr>
          <w:lang w:val="fr-FR"/>
        </w:rPr>
        <w:t xml:space="preserve">a jamais dépassé les limites imposées par les normes nationales en vigueur. Il </w:t>
      </w:r>
      <w:r w:rsidRPr="00A2551C" w:rsidR="00472B47">
        <w:rPr>
          <w:lang w:val="fr-FR"/>
        </w:rPr>
        <w:t xml:space="preserve">soutient </w:t>
      </w:r>
      <w:r w:rsidRPr="00A2551C" w:rsidR="008469C5">
        <w:rPr>
          <w:lang w:val="fr-FR"/>
        </w:rPr>
        <w:t>en outre que les conditions de détention de l</w:t>
      </w:r>
      <w:r w:rsidRPr="00A2551C" w:rsidR="00A2551C">
        <w:rPr>
          <w:lang w:val="fr-FR"/>
        </w:rPr>
        <w:t>’</w:t>
      </w:r>
      <w:r w:rsidRPr="00A2551C" w:rsidR="008469C5">
        <w:rPr>
          <w:lang w:val="fr-FR"/>
        </w:rPr>
        <w:t xml:space="preserve">intéressé dans les locaux du tribunal </w:t>
      </w:r>
      <w:r w:rsidRPr="00A2551C" w:rsidR="00472B47">
        <w:rPr>
          <w:lang w:val="fr-FR"/>
        </w:rPr>
        <w:t>étaient</w:t>
      </w:r>
      <w:r w:rsidRPr="00A2551C" w:rsidR="008469C5">
        <w:rPr>
          <w:lang w:val="fr-FR"/>
        </w:rPr>
        <w:t xml:space="preserve"> conformes à l</w:t>
      </w:r>
      <w:r w:rsidRPr="00A2551C" w:rsidR="00A2551C">
        <w:rPr>
          <w:lang w:val="fr-FR"/>
        </w:rPr>
        <w:t>’</w:t>
      </w:r>
      <w:r w:rsidRPr="00A2551C" w:rsidR="008469C5">
        <w:rPr>
          <w:lang w:val="fr-FR"/>
        </w:rPr>
        <w:t>article 3 de la Convention.</w:t>
      </w:r>
    </w:p>
    <w:p w:rsidRPr="00A2551C" w:rsidR="00167CBC" w:rsidP="00A2551C" w:rsidRDefault="00167CBC">
      <w:pPr>
        <w:pStyle w:val="ECHRHeading4"/>
        <w:rPr>
          <w:lang w:val="fr-FR"/>
        </w:rPr>
      </w:pPr>
      <w:r w:rsidRPr="00A2551C">
        <w:rPr>
          <w:lang w:val="fr-FR"/>
        </w:rPr>
        <w:t>b)  Le requérant</w:t>
      </w:r>
    </w:p>
    <w:bookmarkStart w:name="condtreq2" w:id="29"/>
    <w:p w:rsidRPr="00A2551C" w:rsidR="0076324D" w:rsidP="00A2551C" w:rsidRDefault="00167CB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52</w:t>
      </w:r>
      <w:r w:rsidRPr="00A2551C">
        <w:rPr>
          <w:lang w:val="fr-FR"/>
        </w:rPr>
        <w:fldChar w:fldCharType="end"/>
      </w:r>
      <w:bookmarkEnd w:id="29"/>
      <w:r w:rsidRPr="00A2551C">
        <w:rPr>
          <w:lang w:val="fr-FR"/>
        </w:rPr>
        <w:t>.  Le requérant maintient son grief. Dans ses observations soumises le 23 octobre 2017 en réponse à celles du Gouvernement, il indique que</w:t>
      </w:r>
      <w:r w:rsidRPr="00A2551C" w:rsidR="00472B47">
        <w:rPr>
          <w:lang w:val="fr-FR"/>
        </w:rPr>
        <w:t>,</w:t>
      </w:r>
      <w:r w:rsidRPr="00A2551C">
        <w:rPr>
          <w:lang w:val="fr-FR"/>
        </w:rPr>
        <w:t xml:space="preserve"> pendant la période du 18 janvier au 18 juillet 2007, il a été détenu dans une autre maison d</w:t>
      </w:r>
      <w:r w:rsidRPr="00A2551C" w:rsidR="00A2551C">
        <w:rPr>
          <w:lang w:val="fr-FR"/>
        </w:rPr>
        <w:t>’</w:t>
      </w:r>
      <w:r w:rsidRPr="00A2551C">
        <w:rPr>
          <w:lang w:val="fr-FR"/>
        </w:rPr>
        <w:t>arrêt de la ville de Moscou où les conditions étaient en substance similaires à celle</w:t>
      </w:r>
      <w:r w:rsidRPr="00A2551C" w:rsidR="00472B47">
        <w:rPr>
          <w:lang w:val="fr-FR"/>
        </w:rPr>
        <w:t>s qu</w:t>
      </w:r>
      <w:r w:rsidRPr="00A2551C" w:rsidR="00A2551C">
        <w:rPr>
          <w:lang w:val="fr-FR"/>
        </w:rPr>
        <w:t>’</w:t>
      </w:r>
      <w:r w:rsidRPr="00A2551C" w:rsidR="00472B47">
        <w:rPr>
          <w:lang w:val="fr-FR"/>
        </w:rPr>
        <w:t>il avait connues</w:t>
      </w:r>
      <w:r w:rsidRPr="00A2551C">
        <w:rPr>
          <w:lang w:val="fr-FR"/>
        </w:rPr>
        <w:t xml:space="preserve"> dans la maison d</w:t>
      </w:r>
      <w:r w:rsidRPr="00A2551C" w:rsidR="00A2551C">
        <w:rPr>
          <w:lang w:val="fr-FR"/>
        </w:rPr>
        <w:t>’</w:t>
      </w:r>
      <w:r w:rsidRPr="00A2551C">
        <w:rPr>
          <w:lang w:val="fr-FR"/>
        </w:rPr>
        <w:t>arrêt SIZO</w:t>
      </w:r>
      <w:r w:rsidRPr="00A2551C">
        <w:rPr>
          <w:lang w:val="fr-FR"/>
        </w:rPr>
        <w:noBreakHyphen/>
        <w:t>2. Se référant à l</w:t>
      </w:r>
      <w:r w:rsidRPr="00A2551C" w:rsidR="00A2551C">
        <w:rPr>
          <w:lang w:val="fr-FR"/>
        </w:rPr>
        <w:t>’</w:t>
      </w:r>
      <w:r w:rsidRPr="00A2551C">
        <w:rPr>
          <w:lang w:val="fr-FR"/>
        </w:rPr>
        <w:t xml:space="preserve">affaire </w:t>
      </w:r>
      <w:proofErr w:type="spellStart"/>
      <w:r w:rsidRPr="00A2551C">
        <w:rPr>
          <w:i/>
          <w:lang w:val="fr-FR"/>
        </w:rPr>
        <w:t>Nedayborshch</w:t>
      </w:r>
      <w:proofErr w:type="spellEnd"/>
      <w:r w:rsidRPr="00A2551C">
        <w:rPr>
          <w:i/>
          <w:lang w:val="fr-FR"/>
        </w:rPr>
        <w:t xml:space="preserve"> c. Russie</w:t>
      </w:r>
      <w:r w:rsidRPr="00A2551C">
        <w:rPr>
          <w:lang w:val="fr-FR"/>
        </w:rPr>
        <w:t xml:space="preserve"> (n</w:t>
      </w:r>
      <w:r w:rsidRPr="00A2551C">
        <w:rPr>
          <w:vertAlign w:val="superscript"/>
          <w:lang w:val="fr-FR"/>
        </w:rPr>
        <w:t>o</w:t>
      </w:r>
      <w:r w:rsidRPr="00A2551C" w:rsidR="00BA02C2">
        <w:rPr>
          <w:lang w:val="fr-FR"/>
        </w:rPr>
        <w:t> </w:t>
      </w:r>
      <w:r w:rsidRPr="00A2551C">
        <w:rPr>
          <w:lang w:val="fr-FR"/>
        </w:rPr>
        <w:t>42255/04, § 25, 1</w:t>
      </w:r>
      <w:r w:rsidRPr="00A2551C">
        <w:rPr>
          <w:vertAlign w:val="superscript"/>
          <w:lang w:val="fr-FR"/>
        </w:rPr>
        <w:t>er</w:t>
      </w:r>
      <w:r w:rsidRPr="00A2551C">
        <w:rPr>
          <w:lang w:val="fr-FR"/>
        </w:rPr>
        <w:t xml:space="preserve"> juillet 2010), il invite la Cour à tenir compte de la </w:t>
      </w:r>
      <w:r w:rsidRPr="00A2551C" w:rsidR="00472B47">
        <w:rPr>
          <w:lang w:val="fr-FR"/>
        </w:rPr>
        <w:t xml:space="preserve">totalité de la </w:t>
      </w:r>
      <w:r w:rsidRPr="00A2551C">
        <w:rPr>
          <w:lang w:val="fr-FR"/>
        </w:rPr>
        <w:t xml:space="preserve">période </w:t>
      </w:r>
      <w:r w:rsidRPr="00A2551C" w:rsidR="00472B47">
        <w:rPr>
          <w:lang w:val="fr-FR"/>
        </w:rPr>
        <w:t>durant laquelle il a été détenu</w:t>
      </w:r>
      <w:r w:rsidRPr="00A2551C">
        <w:rPr>
          <w:lang w:val="fr-FR"/>
        </w:rPr>
        <w:t xml:space="preserve"> dans la maison d</w:t>
      </w:r>
      <w:r w:rsidRPr="00A2551C" w:rsidR="00A2551C">
        <w:rPr>
          <w:lang w:val="fr-FR"/>
        </w:rPr>
        <w:t>’</w:t>
      </w:r>
      <w:r w:rsidRPr="00A2551C">
        <w:rPr>
          <w:lang w:val="fr-FR"/>
        </w:rPr>
        <w:t xml:space="preserve">arrêt </w:t>
      </w:r>
      <w:r w:rsidRPr="00A2551C" w:rsidR="00EC6BDF">
        <w:rPr>
          <w:lang w:val="fr-FR"/>
        </w:rPr>
        <w:t>SIZO</w:t>
      </w:r>
      <w:r w:rsidRPr="00A2551C" w:rsidR="00EC6BDF">
        <w:rPr>
          <w:lang w:val="fr-FR"/>
        </w:rPr>
        <w:noBreakHyphen/>
        <w:t>2</w:t>
      </w:r>
      <w:r w:rsidRPr="00A2551C" w:rsidR="00550B3A">
        <w:rPr>
          <w:lang w:val="fr-FR"/>
        </w:rPr>
        <w:t xml:space="preserve"> </w:t>
      </w:r>
      <w:r w:rsidRPr="00A2551C" w:rsidR="00EC6BDF">
        <w:rPr>
          <w:lang w:val="fr-FR"/>
        </w:rPr>
        <w:t>aux fins de l</w:t>
      </w:r>
      <w:r w:rsidRPr="00A2551C" w:rsidR="00A2551C">
        <w:rPr>
          <w:lang w:val="fr-FR"/>
        </w:rPr>
        <w:t>’</w:t>
      </w:r>
      <w:r w:rsidRPr="00A2551C" w:rsidR="00EC6BDF">
        <w:rPr>
          <w:lang w:val="fr-FR"/>
        </w:rPr>
        <w:t>examen de</w:t>
      </w:r>
      <w:r w:rsidRPr="00A2551C">
        <w:rPr>
          <w:lang w:val="fr-FR"/>
        </w:rPr>
        <w:t xml:space="preserve"> l</w:t>
      </w:r>
      <w:r w:rsidRPr="00A2551C" w:rsidR="00550B3A">
        <w:rPr>
          <w:lang w:val="fr-FR"/>
        </w:rPr>
        <w:t>a recevabilité</w:t>
      </w:r>
      <w:r w:rsidRPr="00A2551C">
        <w:rPr>
          <w:lang w:val="fr-FR"/>
        </w:rPr>
        <w:t xml:space="preserve"> </w:t>
      </w:r>
      <w:r w:rsidRPr="00A2551C" w:rsidR="00472B47">
        <w:rPr>
          <w:lang w:val="fr-FR"/>
        </w:rPr>
        <w:t xml:space="preserve">de son </w:t>
      </w:r>
      <w:r w:rsidRPr="00A2551C">
        <w:rPr>
          <w:lang w:val="fr-FR"/>
        </w:rPr>
        <w:t>grief tiré de l</w:t>
      </w:r>
      <w:r w:rsidRPr="00A2551C" w:rsidR="00A2551C">
        <w:rPr>
          <w:lang w:val="fr-FR"/>
        </w:rPr>
        <w:t>’</w:t>
      </w:r>
      <w:r w:rsidRPr="00A2551C">
        <w:rPr>
          <w:lang w:val="fr-FR"/>
        </w:rPr>
        <w:t>article 3 de la Convention.</w:t>
      </w:r>
    </w:p>
    <w:p w:rsidRPr="00A2551C" w:rsidR="008469C5" w:rsidP="00A2551C" w:rsidRDefault="007B6CC0">
      <w:pPr>
        <w:pStyle w:val="ECHRHeading3"/>
        <w:rPr>
          <w:lang w:val="fr-FR"/>
        </w:rPr>
      </w:pPr>
      <w:r w:rsidRPr="00A2551C">
        <w:rPr>
          <w:lang w:val="fr-FR"/>
        </w:rPr>
        <w:t>2.</w:t>
      </w:r>
      <w:r w:rsidRPr="00A2551C" w:rsidR="006E1FE9">
        <w:rPr>
          <w:lang w:val="fr-FR"/>
        </w:rPr>
        <w:t>  </w:t>
      </w:r>
      <w:r w:rsidRPr="00A2551C" w:rsidR="00F21820">
        <w:rPr>
          <w:lang w:val="fr-FR"/>
        </w:rPr>
        <w:t>Appréciation de la Cour</w:t>
      </w:r>
    </w:p>
    <w:p w:rsidRPr="00A2551C" w:rsidR="0076324D" w:rsidP="00A2551C" w:rsidRDefault="00F21820">
      <w:pPr>
        <w:pStyle w:val="ECHRHeading4"/>
        <w:rPr>
          <w:lang w:val="fr-FR"/>
        </w:rPr>
      </w:pPr>
      <w:r w:rsidRPr="00A2551C">
        <w:rPr>
          <w:lang w:val="fr-FR"/>
        </w:rPr>
        <w:t>a)  Sur la recevabilité</w:t>
      </w:r>
    </w:p>
    <w:p w:rsidRPr="00A2551C" w:rsidR="00F552CF"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53</w:t>
      </w:r>
      <w:r w:rsidRPr="00A2551C">
        <w:rPr>
          <w:lang w:val="fr-FR"/>
        </w:rPr>
        <w:fldChar w:fldCharType="end"/>
      </w:r>
      <w:r w:rsidRPr="00A2551C">
        <w:rPr>
          <w:lang w:val="fr-FR"/>
        </w:rPr>
        <w:t>.  La Cour note que</w:t>
      </w:r>
      <w:r w:rsidRPr="00A2551C" w:rsidR="00260BA9">
        <w:rPr>
          <w:lang w:val="fr-FR"/>
        </w:rPr>
        <w:t>,</w:t>
      </w:r>
      <w:r w:rsidRPr="00A2551C">
        <w:rPr>
          <w:lang w:val="fr-FR"/>
        </w:rPr>
        <w:t xml:space="preserve"> dans sa requête introduite le 10 décembre 2010, le requérant ne s</w:t>
      </w:r>
      <w:r w:rsidRPr="00A2551C" w:rsidR="00A2551C">
        <w:rPr>
          <w:lang w:val="fr-FR"/>
        </w:rPr>
        <w:t>’</w:t>
      </w:r>
      <w:r w:rsidRPr="00A2551C">
        <w:rPr>
          <w:lang w:val="fr-FR"/>
        </w:rPr>
        <w:t xml:space="preserve">est plaint que </w:t>
      </w:r>
      <w:r w:rsidRPr="00A2551C" w:rsidR="0010541A">
        <w:rPr>
          <w:lang w:val="fr-FR"/>
        </w:rPr>
        <w:t xml:space="preserve">de ses </w:t>
      </w:r>
      <w:r w:rsidRPr="00A2551C">
        <w:rPr>
          <w:lang w:val="fr-FR"/>
        </w:rPr>
        <w:t xml:space="preserve">conditions </w:t>
      </w:r>
      <w:r w:rsidRPr="00A2551C" w:rsidR="0010541A">
        <w:rPr>
          <w:lang w:val="fr-FR"/>
        </w:rPr>
        <w:t>de détention</w:t>
      </w:r>
      <w:r w:rsidRPr="00A2551C">
        <w:rPr>
          <w:lang w:val="fr-FR"/>
        </w:rPr>
        <w:t xml:space="preserve"> dans la maison d</w:t>
      </w:r>
      <w:r w:rsidRPr="00A2551C" w:rsidR="00A2551C">
        <w:rPr>
          <w:lang w:val="fr-FR"/>
        </w:rPr>
        <w:t>’</w:t>
      </w:r>
      <w:r w:rsidRPr="00A2551C">
        <w:rPr>
          <w:lang w:val="fr-FR"/>
        </w:rPr>
        <w:t>arrêt SIZO</w:t>
      </w:r>
      <w:r w:rsidRPr="00A2551C">
        <w:rPr>
          <w:lang w:val="fr-FR"/>
        </w:rPr>
        <w:noBreakHyphen/>
        <w:t>2 sans préciser que</w:t>
      </w:r>
      <w:r w:rsidRPr="00A2551C" w:rsidR="0010541A">
        <w:rPr>
          <w:lang w:val="fr-FR"/>
        </w:rPr>
        <w:t>,</w:t>
      </w:r>
      <w:r w:rsidRPr="00A2551C">
        <w:rPr>
          <w:lang w:val="fr-FR"/>
        </w:rPr>
        <w:t xml:space="preserve"> du 18 juillet et 30 novembre 2007</w:t>
      </w:r>
      <w:r w:rsidRPr="00A2551C" w:rsidR="0010541A">
        <w:rPr>
          <w:lang w:val="fr-FR"/>
        </w:rPr>
        <w:t>,</w:t>
      </w:r>
      <w:r w:rsidRPr="00A2551C">
        <w:rPr>
          <w:lang w:val="fr-FR"/>
        </w:rPr>
        <w:t xml:space="preserve"> il avait été transféré dans un autre établissement</w:t>
      </w:r>
      <w:r w:rsidRPr="00A2551C" w:rsidR="0010541A">
        <w:rPr>
          <w:lang w:val="fr-FR"/>
        </w:rPr>
        <w:t>,</w:t>
      </w:r>
      <w:r w:rsidRPr="00A2551C">
        <w:rPr>
          <w:lang w:val="fr-FR"/>
        </w:rPr>
        <w:t xml:space="preserve"> et sans formuler de griefs quant </w:t>
      </w:r>
      <w:r w:rsidRPr="00A2551C" w:rsidR="005D333F">
        <w:rPr>
          <w:lang w:val="fr-FR"/>
        </w:rPr>
        <w:t xml:space="preserve">à ses </w:t>
      </w:r>
      <w:r w:rsidRPr="00A2551C">
        <w:rPr>
          <w:lang w:val="fr-FR"/>
        </w:rPr>
        <w:t>conditions de détention dans ce dernier établissement</w:t>
      </w:r>
      <w:r w:rsidRPr="00A2551C" w:rsidR="00F552CF">
        <w:rPr>
          <w:lang w:val="fr-FR"/>
        </w:rPr>
        <w:t xml:space="preserve"> (paragraphe </w:t>
      </w:r>
      <w:r w:rsidRPr="00A2551C" w:rsidR="00F552CF">
        <w:rPr>
          <w:lang w:val="fr-FR"/>
        </w:rPr>
        <w:fldChar w:fldCharType="begin"/>
      </w:r>
      <w:r w:rsidRPr="00A2551C" w:rsidR="00F552CF">
        <w:rPr>
          <w:lang w:val="fr-FR"/>
        </w:rPr>
        <w:instrText xml:space="preserve"> REF condtreq1 \h </w:instrText>
      </w:r>
      <w:r w:rsidRPr="00A2551C" w:rsidR="001F5753">
        <w:rPr>
          <w:lang w:val="fr-FR"/>
        </w:rPr>
        <w:instrText xml:space="preserve"> \* MERGEFORMAT </w:instrText>
      </w:r>
      <w:r w:rsidRPr="00A2551C" w:rsidR="00F552CF">
        <w:rPr>
          <w:lang w:val="fr-FR"/>
        </w:rPr>
      </w:r>
      <w:r w:rsidRPr="00A2551C" w:rsidR="00F552CF">
        <w:rPr>
          <w:lang w:val="fr-FR"/>
        </w:rPr>
        <w:fldChar w:fldCharType="separate"/>
      </w:r>
      <w:r w:rsidRPr="00A2551C" w:rsidR="00A2551C">
        <w:rPr>
          <w:noProof/>
          <w:lang w:val="fr-FR"/>
        </w:rPr>
        <w:t>28</w:t>
      </w:r>
      <w:r w:rsidRPr="00A2551C" w:rsidR="00F552CF">
        <w:rPr>
          <w:lang w:val="fr-FR"/>
        </w:rPr>
        <w:fldChar w:fldCharType="end"/>
      </w:r>
      <w:r w:rsidRPr="00A2551C" w:rsidR="00F552CF">
        <w:rPr>
          <w:lang w:val="fr-FR"/>
        </w:rPr>
        <w:t xml:space="preserve"> ci</w:t>
      </w:r>
      <w:r w:rsidRPr="00A2551C" w:rsidR="00F552CF">
        <w:rPr>
          <w:lang w:val="fr-FR"/>
        </w:rPr>
        <w:noBreakHyphen/>
        <w:t>dessus)</w:t>
      </w:r>
      <w:r w:rsidRPr="00A2551C">
        <w:rPr>
          <w:lang w:val="fr-FR"/>
        </w:rPr>
        <w:t xml:space="preserve">. </w:t>
      </w:r>
      <w:r w:rsidRPr="00A2551C" w:rsidR="005D333F">
        <w:rPr>
          <w:lang w:val="fr-FR"/>
        </w:rPr>
        <w:t>Elle</w:t>
      </w:r>
      <w:r w:rsidRPr="00A2551C">
        <w:rPr>
          <w:lang w:val="fr-FR"/>
        </w:rPr>
        <w:t xml:space="preserve"> ne peut donc examiner les allégations du requérant formulées dans ses observations du 23 octobre 2017</w:t>
      </w:r>
      <w:r w:rsidRPr="00A2551C" w:rsidR="00F552CF">
        <w:rPr>
          <w:lang w:val="fr-FR"/>
        </w:rPr>
        <w:t xml:space="preserve"> (paragraphe </w:t>
      </w:r>
      <w:r w:rsidRPr="00A2551C" w:rsidR="00F552CF">
        <w:rPr>
          <w:lang w:val="fr-FR"/>
        </w:rPr>
        <w:fldChar w:fldCharType="begin"/>
      </w:r>
      <w:r w:rsidRPr="00A2551C" w:rsidR="00F552CF">
        <w:rPr>
          <w:lang w:val="fr-FR"/>
        </w:rPr>
        <w:instrText xml:space="preserve"> REF condtreq2 \h </w:instrText>
      </w:r>
      <w:r w:rsidRPr="00A2551C" w:rsidR="001F5753">
        <w:rPr>
          <w:lang w:val="fr-FR"/>
        </w:rPr>
        <w:instrText xml:space="preserve"> \* MERGEFORMAT </w:instrText>
      </w:r>
      <w:r w:rsidRPr="00A2551C" w:rsidR="00F552CF">
        <w:rPr>
          <w:lang w:val="fr-FR"/>
        </w:rPr>
      </w:r>
      <w:r w:rsidRPr="00A2551C" w:rsidR="00F552CF">
        <w:rPr>
          <w:lang w:val="fr-FR"/>
        </w:rPr>
        <w:fldChar w:fldCharType="separate"/>
      </w:r>
      <w:r w:rsidRPr="00A2551C" w:rsidR="00A2551C">
        <w:rPr>
          <w:noProof/>
          <w:lang w:val="fr-FR"/>
        </w:rPr>
        <w:t>52</w:t>
      </w:r>
      <w:r w:rsidRPr="00A2551C" w:rsidR="00F552CF">
        <w:rPr>
          <w:lang w:val="fr-FR"/>
        </w:rPr>
        <w:fldChar w:fldCharType="end"/>
      </w:r>
      <w:r w:rsidRPr="00A2551C" w:rsidR="00F552CF">
        <w:rPr>
          <w:lang w:val="fr-FR"/>
        </w:rPr>
        <w:t xml:space="preserve"> ci</w:t>
      </w:r>
      <w:r w:rsidRPr="00A2551C" w:rsidR="00F552CF">
        <w:rPr>
          <w:lang w:val="fr-FR"/>
        </w:rPr>
        <w:noBreakHyphen/>
        <w:t>dessus)</w:t>
      </w:r>
      <w:r w:rsidRPr="00A2551C">
        <w:rPr>
          <w:lang w:val="fr-FR"/>
        </w:rPr>
        <w:t xml:space="preserve"> concernant la période de sa détention du 18 juillet et 30 novembre 2007 </w:t>
      </w:r>
      <w:r w:rsidRPr="00A2551C" w:rsidR="00550B3A">
        <w:rPr>
          <w:lang w:val="fr-FR"/>
        </w:rPr>
        <w:t>puisqu</w:t>
      </w:r>
      <w:r w:rsidRPr="00A2551C" w:rsidR="00A2551C">
        <w:rPr>
          <w:lang w:val="fr-FR"/>
        </w:rPr>
        <w:t>’</w:t>
      </w:r>
      <w:r w:rsidRPr="00A2551C" w:rsidR="00550B3A">
        <w:rPr>
          <w:lang w:val="fr-FR"/>
        </w:rPr>
        <w:t>elles ont été</w:t>
      </w:r>
      <w:r w:rsidRPr="00A2551C">
        <w:rPr>
          <w:lang w:val="fr-FR"/>
        </w:rPr>
        <w:t xml:space="preserve"> soumises plus de six mois après la fin de cette période. Par conséquent, conformément à sa jurisprudence en matière du calcul </w:t>
      </w:r>
      <w:r w:rsidRPr="00A2551C" w:rsidR="0010541A">
        <w:rPr>
          <w:lang w:val="fr-FR"/>
        </w:rPr>
        <w:t xml:space="preserve">du délai de </w:t>
      </w:r>
      <w:r w:rsidRPr="00A2551C">
        <w:rPr>
          <w:lang w:val="fr-FR"/>
        </w:rPr>
        <w:t>six mois dans les affaires relatives aux conditions de détention (</w:t>
      </w:r>
      <w:proofErr w:type="spellStart"/>
      <w:r w:rsidRPr="00A2551C">
        <w:rPr>
          <w:i/>
          <w:lang w:val="fr-FR"/>
        </w:rPr>
        <w:t>Fetisov</w:t>
      </w:r>
      <w:proofErr w:type="spellEnd"/>
      <w:r w:rsidRPr="00A2551C">
        <w:rPr>
          <w:i/>
          <w:lang w:val="fr-FR"/>
        </w:rPr>
        <w:t xml:space="preserve"> et autres c. Russie</w:t>
      </w:r>
      <w:r w:rsidRPr="00A2551C">
        <w:rPr>
          <w:lang w:val="fr-FR"/>
        </w:rPr>
        <w:t>, n</w:t>
      </w:r>
      <w:r w:rsidRPr="00A2551C">
        <w:rPr>
          <w:vertAlign w:val="superscript"/>
          <w:lang w:val="fr-FR"/>
        </w:rPr>
        <w:t>o</w:t>
      </w:r>
      <w:r w:rsidRPr="00A2551C" w:rsidR="00550B3A">
        <w:rPr>
          <w:lang w:val="fr-FR"/>
        </w:rPr>
        <w:t> </w:t>
      </w:r>
      <w:r w:rsidRPr="00A2551C">
        <w:rPr>
          <w:lang w:val="fr-FR"/>
        </w:rPr>
        <w:t>437</w:t>
      </w:r>
      <w:r w:rsidRPr="00A2551C" w:rsidR="00EC6BDF">
        <w:rPr>
          <w:lang w:val="fr-FR"/>
        </w:rPr>
        <w:t>10/07 et 3 autres, §§ 72</w:t>
      </w:r>
      <w:r w:rsidRPr="00A2551C" w:rsidR="00EC6BDF">
        <w:rPr>
          <w:lang w:val="fr-FR"/>
        </w:rPr>
        <w:noBreakHyphen/>
        <w:t>78, 17 </w:t>
      </w:r>
      <w:r w:rsidRPr="00A2551C">
        <w:rPr>
          <w:lang w:val="fr-FR"/>
        </w:rPr>
        <w:t xml:space="preserve">janvier 2012), </w:t>
      </w:r>
      <w:r w:rsidRPr="00A2551C" w:rsidR="005D333F">
        <w:rPr>
          <w:lang w:val="fr-FR"/>
        </w:rPr>
        <w:t>elle</w:t>
      </w:r>
      <w:r w:rsidRPr="00A2551C">
        <w:rPr>
          <w:lang w:val="fr-FR"/>
        </w:rPr>
        <w:t xml:space="preserve"> ne peut établir si les conditions de détention du requérant </w:t>
      </w:r>
      <w:r w:rsidRPr="00A2551C" w:rsidR="00EC6BDF">
        <w:rPr>
          <w:lang w:val="fr-FR"/>
        </w:rPr>
        <w:t xml:space="preserve">du 18 juillet et 30 novembre 2007 </w:t>
      </w:r>
      <w:r w:rsidRPr="00A2551C">
        <w:rPr>
          <w:lang w:val="fr-FR"/>
        </w:rPr>
        <w:t xml:space="preserve">étaient en substance similaires à celles </w:t>
      </w:r>
      <w:r w:rsidRPr="00A2551C" w:rsidR="005D333F">
        <w:rPr>
          <w:lang w:val="fr-FR"/>
        </w:rPr>
        <w:t>qu</w:t>
      </w:r>
      <w:r w:rsidRPr="00A2551C" w:rsidR="00A2551C">
        <w:rPr>
          <w:lang w:val="fr-FR"/>
        </w:rPr>
        <w:t>’</w:t>
      </w:r>
      <w:r w:rsidRPr="00A2551C" w:rsidR="005D333F">
        <w:rPr>
          <w:lang w:val="fr-FR"/>
        </w:rPr>
        <w:t>il</w:t>
      </w:r>
      <w:r w:rsidRPr="00A2551C" w:rsidR="0010541A">
        <w:rPr>
          <w:lang w:val="fr-FR"/>
        </w:rPr>
        <w:t xml:space="preserve"> avait connues </w:t>
      </w:r>
      <w:r w:rsidRPr="00A2551C">
        <w:rPr>
          <w:lang w:val="fr-FR"/>
        </w:rPr>
        <w:t>pendant la période du 18 janvier au 18 juillet 2007 dans la maison d</w:t>
      </w:r>
      <w:r w:rsidRPr="00A2551C" w:rsidR="00A2551C">
        <w:rPr>
          <w:lang w:val="fr-FR"/>
        </w:rPr>
        <w:t>’</w:t>
      </w:r>
      <w:r w:rsidRPr="00A2551C">
        <w:rPr>
          <w:lang w:val="fr-FR"/>
        </w:rPr>
        <w:t>arrêt SIZO</w:t>
      </w:r>
      <w:r w:rsidRPr="00A2551C">
        <w:rPr>
          <w:lang w:val="fr-FR"/>
        </w:rPr>
        <w:noBreakHyphen/>
        <w:t>2.</w:t>
      </w:r>
    </w:p>
    <w:p w:rsidRPr="00A2551C" w:rsidR="00F21820" w:rsidP="00A2551C" w:rsidRDefault="00F552C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54</w:t>
      </w:r>
      <w:r w:rsidRPr="00A2551C">
        <w:rPr>
          <w:lang w:val="fr-FR"/>
        </w:rPr>
        <w:fldChar w:fldCharType="end"/>
      </w:r>
      <w:r w:rsidRPr="00A2551C">
        <w:rPr>
          <w:lang w:val="fr-FR"/>
        </w:rPr>
        <w:t>.  </w:t>
      </w:r>
      <w:r w:rsidRPr="00A2551C" w:rsidR="00F21820">
        <w:rPr>
          <w:lang w:val="fr-FR"/>
        </w:rPr>
        <w:t>La Cour estime donc que le grief du requérant tiré de l</w:t>
      </w:r>
      <w:r w:rsidRPr="00A2551C" w:rsidR="00A2551C">
        <w:rPr>
          <w:lang w:val="fr-FR"/>
        </w:rPr>
        <w:t>’</w:t>
      </w:r>
      <w:r w:rsidRPr="00A2551C" w:rsidR="00F21820">
        <w:rPr>
          <w:lang w:val="fr-FR"/>
        </w:rPr>
        <w:t xml:space="preserve">article 3 de la Convention relatif </w:t>
      </w:r>
      <w:r w:rsidRPr="00A2551C" w:rsidR="0010541A">
        <w:rPr>
          <w:lang w:val="fr-FR"/>
        </w:rPr>
        <w:t xml:space="preserve">à ses </w:t>
      </w:r>
      <w:r w:rsidRPr="00A2551C" w:rsidR="00F21820">
        <w:rPr>
          <w:lang w:val="fr-FR"/>
        </w:rPr>
        <w:t>conditions de sa détention dans la maison d</w:t>
      </w:r>
      <w:r w:rsidRPr="00A2551C" w:rsidR="00A2551C">
        <w:rPr>
          <w:lang w:val="fr-FR"/>
        </w:rPr>
        <w:t>’</w:t>
      </w:r>
      <w:r w:rsidRPr="00A2551C" w:rsidR="00F21820">
        <w:rPr>
          <w:lang w:val="fr-FR"/>
        </w:rPr>
        <w:t xml:space="preserve">arrêt </w:t>
      </w:r>
      <w:r w:rsidRPr="00A2551C" w:rsidR="00B66E98">
        <w:rPr>
          <w:lang w:val="fr-FR"/>
        </w:rPr>
        <w:t>SIZO</w:t>
      </w:r>
      <w:r w:rsidRPr="00A2551C" w:rsidR="00B66E98">
        <w:rPr>
          <w:lang w:val="fr-FR"/>
        </w:rPr>
        <w:noBreakHyphen/>
        <w:t>2</w:t>
      </w:r>
      <w:r w:rsidRPr="00A2551C" w:rsidR="00F21820">
        <w:rPr>
          <w:lang w:val="fr-FR"/>
        </w:rPr>
        <w:t xml:space="preserve"> pendant la période du 18 janvier au 18 juillet 2007 </w:t>
      </w:r>
      <w:r w:rsidRPr="00A2551C" w:rsidR="0010541A">
        <w:rPr>
          <w:lang w:val="fr-FR"/>
        </w:rPr>
        <w:t>d</w:t>
      </w:r>
      <w:r w:rsidRPr="00A2551C" w:rsidR="00A2551C">
        <w:rPr>
          <w:lang w:val="fr-FR"/>
        </w:rPr>
        <w:t>’</w:t>
      </w:r>
      <w:r w:rsidRPr="00A2551C" w:rsidR="0010541A">
        <w:rPr>
          <w:lang w:val="fr-FR"/>
        </w:rPr>
        <w:t xml:space="preserve">une part et </w:t>
      </w:r>
      <w:r w:rsidRPr="00A2551C" w:rsidR="00EC6BDF">
        <w:rPr>
          <w:lang w:val="fr-FR"/>
        </w:rPr>
        <w:t>dans une autre maison d</w:t>
      </w:r>
      <w:r w:rsidRPr="00A2551C" w:rsidR="00A2551C">
        <w:rPr>
          <w:lang w:val="fr-FR"/>
        </w:rPr>
        <w:t>’</w:t>
      </w:r>
      <w:r w:rsidRPr="00A2551C" w:rsidR="00EC6BDF">
        <w:rPr>
          <w:lang w:val="fr-FR"/>
        </w:rPr>
        <w:t xml:space="preserve">arrêt </w:t>
      </w:r>
      <w:r w:rsidRPr="00A2551C" w:rsidR="00F21820">
        <w:rPr>
          <w:lang w:val="fr-FR"/>
        </w:rPr>
        <w:t>du 18 juillet au 30 novembre 2007</w:t>
      </w:r>
      <w:r w:rsidRPr="00A2551C" w:rsidR="0010541A">
        <w:rPr>
          <w:lang w:val="fr-FR"/>
        </w:rPr>
        <w:t xml:space="preserve"> d</w:t>
      </w:r>
      <w:r w:rsidRPr="00A2551C" w:rsidR="00A2551C">
        <w:rPr>
          <w:lang w:val="fr-FR"/>
        </w:rPr>
        <w:t>’</w:t>
      </w:r>
      <w:r w:rsidRPr="00A2551C" w:rsidR="0010541A">
        <w:rPr>
          <w:lang w:val="fr-FR"/>
        </w:rPr>
        <w:t>autre part</w:t>
      </w:r>
      <w:r w:rsidRPr="00A2551C" w:rsidR="00F21820">
        <w:rPr>
          <w:lang w:val="fr-FR"/>
        </w:rPr>
        <w:t xml:space="preserve">, </w:t>
      </w:r>
      <w:r w:rsidRPr="00A2551C" w:rsidR="00550B3A">
        <w:rPr>
          <w:lang w:val="fr-FR"/>
        </w:rPr>
        <w:t xml:space="preserve">décrites dans ses observations du 23 octobre 2017, </w:t>
      </w:r>
      <w:r w:rsidRPr="00A2551C" w:rsidR="00F21820">
        <w:rPr>
          <w:lang w:val="fr-FR"/>
        </w:rPr>
        <w:t>est tardif</w:t>
      </w:r>
      <w:r w:rsidRPr="00A2551C" w:rsidR="0010541A">
        <w:rPr>
          <w:lang w:val="fr-FR"/>
        </w:rPr>
        <w:t>,</w:t>
      </w:r>
      <w:r w:rsidRPr="00A2551C" w:rsidR="00F21820">
        <w:rPr>
          <w:lang w:val="fr-FR"/>
        </w:rPr>
        <w:t xml:space="preserve"> car introduit plus six mois apr</w:t>
      </w:r>
      <w:r w:rsidRPr="00A2551C" w:rsidR="004E27F1">
        <w:rPr>
          <w:lang w:val="fr-FR"/>
        </w:rPr>
        <w:t xml:space="preserve">ès la fin des périodes </w:t>
      </w:r>
      <w:r w:rsidRPr="00A2551C" w:rsidR="0010541A">
        <w:rPr>
          <w:lang w:val="fr-FR"/>
        </w:rPr>
        <w:t>susmentionnées</w:t>
      </w:r>
      <w:r w:rsidRPr="00A2551C" w:rsidR="00F21820">
        <w:rPr>
          <w:lang w:val="fr-FR"/>
        </w:rPr>
        <w:t>. Partant, il convient de rejeter cette partie du grief en application de l</w:t>
      </w:r>
      <w:r w:rsidRPr="00A2551C" w:rsidR="00A2551C">
        <w:rPr>
          <w:lang w:val="fr-FR"/>
        </w:rPr>
        <w:t>’</w:t>
      </w:r>
      <w:r w:rsidRPr="00A2551C" w:rsidR="00F21820">
        <w:rPr>
          <w:lang w:val="fr-FR"/>
        </w:rPr>
        <w:t>article 35 §§ 1 et 4 de la Convention.</w:t>
      </w:r>
    </w:p>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55</w:t>
      </w:r>
      <w:r w:rsidRPr="00A2551C">
        <w:rPr>
          <w:lang w:val="fr-FR"/>
        </w:rPr>
        <w:fldChar w:fldCharType="end"/>
      </w:r>
      <w:r w:rsidRPr="00A2551C">
        <w:rPr>
          <w:lang w:val="fr-FR"/>
        </w:rPr>
        <w:t>.  Constatant que le restant du</w:t>
      </w:r>
      <w:r w:rsidRPr="00A2551C" w:rsidR="00F552CF">
        <w:rPr>
          <w:lang w:val="fr-FR"/>
        </w:rPr>
        <w:t xml:space="preserve"> grief tiré de l</w:t>
      </w:r>
      <w:r w:rsidRPr="00A2551C" w:rsidR="00A2551C">
        <w:rPr>
          <w:lang w:val="fr-FR"/>
        </w:rPr>
        <w:t>’</w:t>
      </w:r>
      <w:r w:rsidRPr="00A2551C" w:rsidR="00F552CF">
        <w:rPr>
          <w:lang w:val="fr-FR"/>
        </w:rPr>
        <w:t>article 3 de la Convention concernant les conditions de détention du requérant dans la maison d</w:t>
      </w:r>
      <w:r w:rsidRPr="00A2551C" w:rsidR="00A2551C">
        <w:rPr>
          <w:lang w:val="fr-FR"/>
        </w:rPr>
        <w:t>’</w:t>
      </w:r>
      <w:r w:rsidRPr="00A2551C" w:rsidR="00F552CF">
        <w:rPr>
          <w:lang w:val="fr-FR"/>
        </w:rPr>
        <w:t xml:space="preserve">arrêt SIZO-2 pendant la période du 30 novembre 2007 au 6 novembre 2011 </w:t>
      </w:r>
      <w:r w:rsidRPr="00A2551C">
        <w:rPr>
          <w:lang w:val="fr-FR"/>
        </w:rPr>
        <w:t>n</w:t>
      </w:r>
      <w:r w:rsidRPr="00A2551C" w:rsidR="00A2551C">
        <w:rPr>
          <w:lang w:val="fr-FR"/>
        </w:rPr>
        <w:t>’</w:t>
      </w:r>
      <w:r w:rsidRPr="00A2551C">
        <w:rPr>
          <w:lang w:val="fr-FR"/>
        </w:rPr>
        <w:t>est pas manifestement mal fondé au sens de l</w:t>
      </w:r>
      <w:r w:rsidRPr="00A2551C" w:rsidR="00A2551C">
        <w:rPr>
          <w:lang w:val="fr-FR"/>
        </w:rPr>
        <w:t>’</w:t>
      </w:r>
      <w:r w:rsidRPr="00A2551C">
        <w:rPr>
          <w:lang w:val="fr-FR"/>
        </w:rPr>
        <w:t>article 35 § 1 de la Convention et qu</w:t>
      </w:r>
      <w:r w:rsidRPr="00A2551C" w:rsidR="00A2551C">
        <w:rPr>
          <w:lang w:val="fr-FR"/>
        </w:rPr>
        <w:t>’</w:t>
      </w:r>
      <w:r w:rsidRPr="00A2551C">
        <w:rPr>
          <w:lang w:val="fr-FR"/>
        </w:rPr>
        <w:t>il ne se heurte par ailleurs à aucun autre motif d</w:t>
      </w:r>
      <w:r w:rsidRPr="00A2551C" w:rsidR="00A2551C">
        <w:rPr>
          <w:lang w:val="fr-FR"/>
        </w:rPr>
        <w:t>’</w:t>
      </w:r>
      <w:r w:rsidRPr="00A2551C">
        <w:rPr>
          <w:lang w:val="fr-FR"/>
        </w:rPr>
        <w:t>irrecevabilité, la Cour le déclare recevable.</w:t>
      </w:r>
    </w:p>
    <w:p w:rsidRPr="00A2551C" w:rsidR="00F21820" w:rsidP="00A2551C" w:rsidRDefault="00F21820">
      <w:pPr>
        <w:pStyle w:val="ECHRHeading4"/>
        <w:rPr>
          <w:lang w:val="fr-FR"/>
        </w:rPr>
      </w:pPr>
      <w:r w:rsidRPr="00A2551C">
        <w:rPr>
          <w:lang w:val="fr-FR"/>
        </w:rPr>
        <w:t>b)  Sur le fond</w:t>
      </w:r>
    </w:p>
    <w:bookmarkStart w:name="condtjur" w:id="30"/>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56</w:t>
      </w:r>
      <w:r w:rsidRPr="00A2551C">
        <w:rPr>
          <w:lang w:val="fr-FR"/>
        </w:rPr>
        <w:fldChar w:fldCharType="end"/>
      </w:r>
      <w:bookmarkEnd w:id="30"/>
      <w:r w:rsidRPr="00A2551C">
        <w:rPr>
          <w:lang w:val="fr-FR"/>
        </w:rPr>
        <w:t>.  La Cour rappelle avoir déjà conclu dans de nombreuses affaires à la violation de l</w:t>
      </w:r>
      <w:r w:rsidRPr="00A2551C" w:rsidR="00A2551C">
        <w:rPr>
          <w:lang w:val="fr-FR"/>
        </w:rPr>
        <w:t>’</w:t>
      </w:r>
      <w:r w:rsidRPr="00A2551C">
        <w:rPr>
          <w:lang w:val="fr-FR"/>
        </w:rPr>
        <w:t>article 3 de la Convention à raison des conditions de détention dans des maisons d</w:t>
      </w:r>
      <w:r w:rsidRPr="00A2551C" w:rsidR="00A2551C">
        <w:rPr>
          <w:lang w:val="fr-FR"/>
        </w:rPr>
        <w:t>’</w:t>
      </w:r>
      <w:r w:rsidRPr="00A2551C">
        <w:rPr>
          <w:lang w:val="fr-FR"/>
        </w:rPr>
        <w:t>arrêt (voir, par exemple,</w:t>
      </w:r>
      <w:r w:rsidRPr="00A2551C" w:rsidR="009020DE">
        <w:rPr>
          <w:lang w:val="fr-FR"/>
        </w:rPr>
        <w:t xml:space="preserve"> </w:t>
      </w:r>
      <w:proofErr w:type="spellStart"/>
      <w:r w:rsidRPr="00A2551C" w:rsidR="009020DE">
        <w:rPr>
          <w:i/>
          <w:lang w:val="fr-FR"/>
        </w:rPr>
        <w:t>Mayzit</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 </w:t>
      </w:r>
      <w:r w:rsidRPr="00A2551C" w:rsidR="009020DE">
        <w:rPr>
          <w:lang w:val="fr-FR"/>
        </w:rPr>
        <w:t>63378/00, §§ 34</w:t>
      </w:r>
      <w:r w:rsidRPr="00A2551C" w:rsidR="009020DE">
        <w:rPr>
          <w:lang w:val="fr-FR"/>
        </w:rPr>
        <w:noBreakHyphen/>
        <w:t xml:space="preserve">43, 20 janvier 2005, </w:t>
      </w:r>
      <w:proofErr w:type="spellStart"/>
      <w:r w:rsidRPr="00A2551C" w:rsidR="009020DE">
        <w:rPr>
          <w:i/>
          <w:lang w:val="fr-FR"/>
        </w:rPr>
        <w:t>Ananyev</w:t>
      </w:r>
      <w:proofErr w:type="spellEnd"/>
      <w:r w:rsidRPr="00A2551C" w:rsidR="009020DE">
        <w:rPr>
          <w:i/>
          <w:lang w:val="fr-FR"/>
        </w:rPr>
        <w:t xml:space="preserve"> et autres c. Russie</w:t>
      </w:r>
      <w:r w:rsidRPr="00A2551C" w:rsidR="009020DE">
        <w:rPr>
          <w:lang w:val="fr-FR"/>
        </w:rPr>
        <w:t>,</w:t>
      </w:r>
      <w:r w:rsidRPr="00A2551C" w:rsidR="009020DE">
        <w:rPr>
          <w:i/>
          <w:lang w:val="fr-FR"/>
        </w:rPr>
        <w:t xml:space="preserve"> </w:t>
      </w:r>
      <w:r w:rsidRPr="00A2551C" w:rsidR="009020DE">
        <w:rPr>
          <w:lang w:val="fr-FR"/>
        </w:rPr>
        <w:t>n</w:t>
      </w:r>
      <w:r w:rsidRPr="00A2551C" w:rsidR="009020DE">
        <w:rPr>
          <w:vertAlign w:val="superscript"/>
          <w:lang w:val="fr-FR"/>
        </w:rPr>
        <w:t>os</w:t>
      </w:r>
      <w:r w:rsidRPr="00A2551C" w:rsidR="009020DE">
        <w:rPr>
          <w:lang w:val="fr-FR"/>
        </w:rPr>
        <w:t> 42525/07 et 60800/08, §§ 160</w:t>
      </w:r>
      <w:r w:rsidRPr="00A2551C" w:rsidR="009020DE">
        <w:rPr>
          <w:lang w:val="fr-FR"/>
        </w:rPr>
        <w:noBreakHyphen/>
        <w:t xml:space="preserve">166, 10 janvier 2012, </w:t>
      </w:r>
      <w:proofErr w:type="spellStart"/>
      <w:r w:rsidRPr="00A2551C" w:rsidR="009020DE">
        <w:rPr>
          <w:i/>
          <w:lang w:val="fr-FR"/>
        </w:rPr>
        <w:t>Kolunov</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 </w:t>
      </w:r>
      <w:r w:rsidRPr="00A2551C" w:rsidR="009020DE">
        <w:rPr>
          <w:lang w:val="fr-FR"/>
        </w:rPr>
        <w:t xml:space="preserve">26436/05, §§ 30-38, 9 octobre 2012, </w:t>
      </w:r>
      <w:proofErr w:type="spellStart"/>
      <w:r w:rsidRPr="00A2551C" w:rsidR="009020DE">
        <w:rPr>
          <w:i/>
          <w:lang w:val="fr-FR"/>
        </w:rPr>
        <w:t>Zentsov</w:t>
      </w:r>
      <w:proofErr w:type="spellEnd"/>
      <w:r w:rsidRPr="00A2551C" w:rsidR="009020DE">
        <w:rPr>
          <w:i/>
          <w:lang w:val="fr-FR"/>
        </w:rPr>
        <w:t xml:space="preserve"> et autres c. Russie</w:t>
      </w:r>
      <w:r w:rsidRPr="00A2551C" w:rsidR="009020DE">
        <w:rPr>
          <w:lang w:val="fr-FR"/>
        </w:rPr>
        <w:t>, n</w:t>
      </w:r>
      <w:r w:rsidRPr="00A2551C" w:rsidR="009020DE">
        <w:rPr>
          <w:vertAlign w:val="superscript"/>
          <w:lang w:val="fr-FR"/>
        </w:rPr>
        <w:t>o </w:t>
      </w:r>
      <w:r w:rsidRPr="00A2551C" w:rsidR="009020DE">
        <w:rPr>
          <w:lang w:val="fr-FR"/>
        </w:rPr>
        <w:t>35297/05, §§ 38</w:t>
      </w:r>
      <w:r w:rsidRPr="00A2551C" w:rsidR="009020DE">
        <w:rPr>
          <w:lang w:val="fr-FR"/>
        </w:rPr>
        <w:noBreakHyphen/>
        <w:t xml:space="preserve">45, 23 octobre 2012, </w:t>
      </w:r>
      <w:proofErr w:type="spellStart"/>
      <w:r w:rsidRPr="00A2551C" w:rsidR="009020DE">
        <w:rPr>
          <w:i/>
          <w:lang w:val="fr-FR"/>
        </w:rPr>
        <w:t>Vyatkin</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w:t>
      </w:r>
      <w:r w:rsidRPr="00A2551C" w:rsidR="009020DE">
        <w:rPr>
          <w:lang w:val="fr-FR"/>
        </w:rPr>
        <w:t> 18813/06, §§ 36</w:t>
      </w:r>
      <w:r w:rsidRPr="00A2551C" w:rsidR="009020DE">
        <w:rPr>
          <w:lang w:val="fr-FR"/>
        </w:rPr>
        <w:noBreakHyphen/>
        <w:t xml:space="preserve">44, 11 avril 2013, et </w:t>
      </w:r>
      <w:proofErr w:type="spellStart"/>
      <w:r w:rsidRPr="00A2551C">
        <w:rPr>
          <w:i/>
          <w:iCs/>
          <w:lang w:val="fr-FR"/>
        </w:rPr>
        <w:t>Dudchenko</w:t>
      </w:r>
      <w:proofErr w:type="spellEnd"/>
      <w:r w:rsidRPr="00A2551C">
        <w:rPr>
          <w:i/>
          <w:iCs/>
          <w:lang w:val="fr-FR"/>
        </w:rPr>
        <w:t xml:space="preserve"> c. Russie</w:t>
      </w:r>
      <w:r w:rsidRPr="00A2551C">
        <w:rPr>
          <w:lang w:val="fr-FR"/>
        </w:rPr>
        <w:t>, n</w:t>
      </w:r>
      <w:r w:rsidRPr="00A2551C">
        <w:rPr>
          <w:vertAlign w:val="superscript"/>
          <w:lang w:val="fr-FR"/>
        </w:rPr>
        <w:t>o</w:t>
      </w:r>
      <w:r w:rsidRPr="00A2551C">
        <w:rPr>
          <w:lang w:val="fr-FR"/>
        </w:rPr>
        <w:t> 37717/05, §§ 1</w:t>
      </w:r>
      <w:r w:rsidRPr="00A2551C" w:rsidR="009020DE">
        <w:rPr>
          <w:lang w:val="fr-FR"/>
        </w:rPr>
        <w:t>16</w:t>
      </w:r>
      <w:r w:rsidRPr="00A2551C" w:rsidR="009020DE">
        <w:rPr>
          <w:lang w:val="fr-FR"/>
        </w:rPr>
        <w:noBreakHyphen/>
        <w:t>123, 7 novembre 2017</w:t>
      </w:r>
      <w:r w:rsidRPr="00A2551C">
        <w:rPr>
          <w:lang w:val="fr-FR"/>
        </w:rPr>
        <w:t>) ainsi qu</w:t>
      </w:r>
      <w:r w:rsidRPr="00A2551C" w:rsidR="00A2551C">
        <w:rPr>
          <w:lang w:val="fr-FR"/>
        </w:rPr>
        <w:t>’</w:t>
      </w:r>
      <w:r w:rsidRPr="00A2551C">
        <w:rPr>
          <w:lang w:val="fr-FR"/>
        </w:rPr>
        <w:t>à raison des conditions de transport de détenus (voir, par exemple,</w:t>
      </w:r>
      <w:r w:rsidRPr="00A2551C" w:rsidR="009020DE">
        <w:rPr>
          <w:lang w:val="fr-FR"/>
        </w:rPr>
        <w:t xml:space="preserve"> </w:t>
      </w:r>
      <w:r w:rsidRPr="00A2551C" w:rsidR="00B069B1">
        <w:rPr>
          <w:i/>
          <w:lang w:val="fr-FR"/>
        </w:rPr>
        <w:t xml:space="preserve">Svetlana </w:t>
      </w:r>
      <w:proofErr w:type="spellStart"/>
      <w:r w:rsidRPr="00A2551C" w:rsidR="009020DE">
        <w:rPr>
          <w:i/>
          <w:lang w:val="fr-FR"/>
        </w:rPr>
        <w:t>Kazmina</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w:t>
      </w:r>
      <w:r w:rsidRPr="00A2551C" w:rsidR="001447BE">
        <w:rPr>
          <w:lang w:val="fr-FR"/>
        </w:rPr>
        <w:t xml:space="preserve"> 8609/04, §§ 76</w:t>
      </w:r>
      <w:r w:rsidRPr="00A2551C" w:rsidR="001447BE">
        <w:rPr>
          <w:lang w:val="fr-FR"/>
        </w:rPr>
        <w:noBreakHyphen/>
        <w:t>79, 2 </w:t>
      </w:r>
      <w:r w:rsidRPr="00A2551C" w:rsidR="009020DE">
        <w:rPr>
          <w:lang w:val="fr-FR"/>
        </w:rPr>
        <w:t xml:space="preserve">décembre 2010, </w:t>
      </w:r>
      <w:r w:rsidRPr="00A2551C" w:rsidR="009020DE">
        <w:rPr>
          <w:i/>
          <w:lang w:val="fr-FR"/>
        </w:rPr>
        <w:t>M.S. c. Russie</w:t>
      </w:r>
      <w:r w:rsidRPr="00A2551C" w:rsidR="009020DE">
        <w:rPr>
          <w:lang w:val="fr-FR"/>
        </w:rPr>
        <w:t>, n</w:t>
      </w:r>
      <w:r w:rsidRPr="00A2551C" w:rsidR="009020DE">
        <w:rPr>
          <w:vertAlign w:val="superscript"/>
          <w:lang w:val="fr-FR"/>
        </w:rPr>
        <w:t>o</w:t>
      </w:r>
      <w:r w:rsidRPr="00A2551C" w:rsidR="009020DE">
        <w:rPr>
          <w:lang w:val="fr-FR"/>
        </w:rPr>
        <w:t> 8589/08, §§ 71</w:t>
      </w:r>
      <w:r w:rsidRPr="00A2551C" w:rsidR="009020DE">
        <w:rPr>
          <w:lang w:val="fr-FR"/>
        </w:rPr>
        <w:noBreakHyphen/>
        <w:t xml:space="preserve">77, 10 juillet 2014, </w:t>
      </w:r>
      <w:proofErr w:type="spellStart"/>
      <w:r w:rsidRPr="00A2551C" w:rsidR="009020DE">
        <w:rPr>
          <w:i/>
          <w:lang w:val="fr-FR"/>
        </w:rPr>
        <w:t>Yaroslav</w:t>
      </w:r>
      <w:proofErr w:type="spellEnd"/>
      <w:r w:rsidRPr="00A2551C" w:rsidR="009020DE">
        <w:rPr>
          <w:i/>
          <w:lang w:val="fr-FR"/>
        </w:rPr>
        <w:t xml:space="preserve"> </w:t>
      </w:r>
      <w:proofErr w:type="spellStart"/>
      <w:r w:rsidRPr="00A2551C" w:rsidR="009020DE">
        <w:rPr>
          <w:i/>
          <w:lang w:val="fr-FR"/>
        </w:rPr>
        <w:t>Belousov</w:t>
      </w:r>
      <w:proofErr w:type="spellEnd"/>
      <w:r w:rsidRPr="00A2551C" w:rsidR="009020DE">
        <w:rPr>
          <w:lang w:val="fr-FR"/>
        </w:rPr>
        <w:t xml:space="preserve"> </w:t>
      </w:r>
      <w:r w:rsidRPr="00A2551C" w:rsidR="009020DE">
        <w:rPr>
          <w:i/>
          <w:lang w:val="fr-FR"/>
        </w:rPr>
        <w:t>c. Russie</w:t>
      </w:r>
      <w:r w:rsidRPr="00A2551C" w:rsidR="009020DE">
        <w:rPr>
          <w:lang w:val="fr-FR"/>
        </w:rPr>
        <w:t>, n</w:t>
      </w:r>
      <w:r w:rsidRPr="00A2551C" w:rsidR="009020DE">
        <w:rPr>
          <w:vertAlign w:val="superscript"/>
          <w:lang w:val="fr-FR"/>
        </w:rPr>
        <w:t>os</w:t>
      </w:r>
      <w:r w:rsidRPr="00A2551C" w:rsidR="009020DE">
        <w:rPr>
          <w:lang w:val="fr-FR"/>
        </w:rPr>
        <w:t> 2653/13 et 60980/14, §§ 103</w:t>
      </w:r>
      <w:r w:rsidRPr="00A2551C" w:rsidR="009020DE">
        <w:rPr>
          <w:lang w:val="fr-FR"/>
        </w:rPr>
        <w:noBreakHyphen/>
        <w:t>111, 4 octobre 2016, et</w:t>
      </w:r>
      <w:r w:rsidRPr="00A2551C">
        <w:rPr>
          <w:lang w:val="fr-FR"/>
        </w:rPr>
        <w:t xml:space="preserve"> </w:t>
      </w:r>
      <w:proofErr w:type="spellStart"/>
      <w:r w:rsidRPr="00A2551C">
        <w:rPr>
          <w:i/>
          <w:lang w:val="fr-FR"/>
        </w:rPr>
        <w:t>Radzhab</w:t>
      </w:r>
      <w:proofErr w:type="spellEnd"/>
      <w:r w:rsidRPr="00A2551C">
        <w:rPr>
          <w:i/>
          <w:lang w:val="fr-FR"/>
        </w:rPr>
        <w:t xml:space="preserve"> </w:t>
      </w:r>
      <w:proofErr w:type="spellStart"/>
      <w:r w:rsidRPr="00A2551C">
        <w:rPr>
          <w:i/>
          <w:lang w:val="fr-FR"/>
        </w:rPr>
        <w:t>Magomedov</w:t>
      </w:r>
      <w:proofErr w:type="spellEnd"/>
      <w:r w:rsidRPr="00A2551C">
        <w:rPr>
          <w:i/>
          <w:lang w:val="fr-FR"/>
        </w:rPr>
        <w:t xml:space="preserve"> c. Russie</w:t>
      </w:r>
      <w:r w:rsidRPr="00A2551C">
        <w:rPr>
          <w:lang w:val="fr-FR"/>
        </w:rPr>
        <w:t>, n</w:t>
      </w:r>
      <w:r w:rsidRPr="00A2551C">
        <w:rPr>
          <w:vertAlign w:val="superscript"/>
          <w:lang w:val="fr-FR"/>
        </w:rPr>
        <w:t>o</w:t>
      </w:r>
      <w:r w:rsidRPr="00A2551C">
        <w:rPr>
          <w:lang w:val="fr-FR"/>
        </w:rPr>
        <w:t> 20933/08, §§ 59</w:t>
      </w:r>
      <w:r w:rsidRPr="00A2551C">
        <w:rPr>
          <w:lang w:val="fr-FR"/>
        </w:rPr>
        <w:noBreakHyphen/>
        <w:t>62, 20 décembre 2016).</w:t>
      </w:r>
    </w:p>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57</w:t>
      </w:r>
      <w:r w:rsidRPr="00A2551C">
        <w:rPr>
          <w:lang w:val="fr-FR"/>
        </w:rPr>
        <w:fldChar w:fldCharType="end"/>
      </w:r>
      <w:r w:rsidRPr="00A2551C">
        <w:rPr>
          <w:lang w:val="fr-FR"/>
        </w:rPr>
        <w:t>.  En l</w:t>
      </w:r>
      <w:r w:rsidRPr="00A2551C" w:rsidR="00A2551C">
        <w:rPr>
          <w:lang w:val="fr-FR"/>
        </w:rPr>
        <w:t>’</w:t>
      </w:r>
      <w:r w:rsidRPr="00A2551C">
        <w:rPr>
          <w:lang w:val="fr-FR"/>
        </w:rPr>
        <w:t>occurrence, eu égard aux éléments dont elle dispose, la Cour estime que le Gouvernement n</w:t>
      </w:r>
      <w:r w:rsidRPr="00A2551C" w:rsidR="00A2551C">
        <w:rPr>
          <w:lang w:val="fr-FR"/>
        </w:rPr>
        <w:t>’</w:t>
      </w:r>
      <w:r w:rsidRPr="00A2551C">
        <w:rPr>
          <w:lang w:val="fr-FR"/>
        </w:rPr>
        <w:t>a mis en avant aucun élément de fait ou de droit à même de la convaincre de parvenir à une conclusion différente en l</w:t>
      </w:r>
      <w:r w:rsidRPr="00A2551C" w:rsidR="00A2551C">
        <w:rPr>
          <w:lang w:val="fr-FR"/>
        </w:rPr>
        <w:t>’</w:t>
      </w:r>
      <w:r w:rsidRPr="00A2551C">
        <w:rPr>
          <w:lang w:val="fr-FR"/>
        </w:rPr>
        <w:t>espèce.</w:t>
      </w:r>
    </w:p>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58</w:t>
      </w:r>
      <w:r w:rsidRPr="00A2551C">
        <w:rPr>
          <w:lang w:val="fr-FR"/>
        </w:rPr>
        <w:fldChar w:fldCharType="end"/>
      </w:r>
      <w:r w:rsidRPr="00A2551C">
        <w:rPr>
          <w:lang w:val="fr-FR"/>
        </w:rPr>
        <w:t>.  </w:t>
      </w:r>
      <w:r w:rsidRPr="00A2551C" w:rsidR="008E295C">
        <w:rPr>
          <w:lang w:val="fr-FR"/>
        </w:rPr>
        <w:t>Elle</w:t>
      </w:r>
      <w:r w:rsidRPr="00A2551C">
        <w:rPr>
          <w:lang w:val="fr-FR"/>
        </w:rPr>
        <w:t xml:space="preserve"> </w:t>
      </w:r>
      <w:r w:rsidRPr="00A2551C" w:rsidR="008E295C">
        <w:rPr>
          <w:lang w:val="fr-FR"/>
        </w:rPr>
        <w:t xml:space="preserve">relève notamment </w:t>
      </w:r>
      <w:r w:rsidRPr="00A2551C">
        <w:rPr>
          <w:lang w:val="fr-FR"/>
        </w:rPr>
        <w:t>que le Gouvernement n</w:t>
      </w:r>
      <w:r w:rsidRPr="00A2551C" w:rsidR="00A2551C">
        <w:rPr>
          <w:lang w:val="fr-FR"/>
        </w:rPr>
        <w:t>’</w:t>
      </w:r>
      <w:r w:rsidRPr="00A2551C">
        <w:rPr>
          <w:lang w:val="fr-FR"/>
        </w:rPr>
        <w:t>a pas soumis d</w:t>
      </w:r>
      <w:r w:rsidRPr="00A2551C" w:rsidR="00A2551C">
        <w:rPr>
          <w:lang w:val="fr-FR"/>
        </w:rPr>
        <w:t>’</w:t>
      </w:r>
      <w:r w:rsidRPr="00A2551C">
        <w:rPr>
          <w:lang w:val="fr-FR"/>
        </w:rPr>
        <w:t>originaux des registres de détenus en ce qui concerne la description des conditions de détention du requérant à la maison d</w:t>
      </w:r>
      <w:r w:rsidRPr="00A2551C" w:rsidR="00A2551C">
        <w:rPr>
          <w:lang w:val="fr-FR"/>
        </w:rPr>
        <w:t>’</w:t>
      </w:r>
      <w:r w:rsidRPr="00A2551C">
        <w:rPr>
          <w:lang w:val="fr-FR"/>
        </w:rPr>
        <w:t xml:space="preserve">arrêt </w:t>
      </w:r>
      <w:r w:rsidRPr="00A2551C" w:rsidR="008E295C">
        <w:rPr>
          <w:lang w:val="fr-FR"/>
        </w:rPr>
        <w:t xml:space="preserve">SIZO-2 </w:t>
      </w:r>
      <w:r w:rsidRPr="00A2551C">
        <w:rPr>
          <w:lang w:val="fr-FR"/>
        </w:rPr>
        <w:t xml:space="preserve">pendant la période du 30 novembre 2007 au 6 novembre 2011 (voir, </w:t>
      </w:r>
      <w:r w:rsidRPr="00A2551C">
        <w:rPr>
          <w:i/>
          <w:lang w:val="fr-FR"/>
        </w:rPr>
        <w:t>a contrario</w:t>
      </w:r>
      <w:r w:rsidRPr="00A2551C">
        <w:rPr>
          <w:lang w:val="fr-FR"/>
        </w:rPr>
        <w:t xml:space="preserve">, </w:t>
      </w:r>
      <w:proofErr w:type="spellStart"/>
      <w:r w:rsidRPr="00A2551C">
        <w:rPr>
          <w:i/>
          <w:lang w:val="fr-FR"/>
        </w:rPr>
        <w:t>Radzhab</w:t>
      </w:r>
      <w:proofErr w:type="spellEnd"/>
      <w:r w:rsidRPr="00A2551C">
        <w:rPr>
          <w:i/>
          <w:lang w:val="fr-FR"/>
        </w:rPr>
        <w:t xml:space="preserve"> </w:t>
      </w:r>
      <w:proofErr w:type="spellStart"/>
      <w:r w:rsidRPr="00A2551C">
        <w:rPr>
          <w:i/>
          <w:lang w:val="fr-FR"/>
        </w:rPr>
        <w:t>Magomedov</w:t>
      </w:r>
      <w:proofErr w:type="spellEnd"/>
      <w:r w:rsidRPr="00A2551C">
        <w:rPr>
          <w:lang w:val="fr-FR"/>
        </w:rPr>
        <w:t>, précité, §§ 48</w:t>
      </w:r>
      <w:r w:rsidRPr="00A2551C">
        <w:rPr>
          <w:lang w:val="fr-FR"/>
        </w:rPr>
        <w:noBreakHyphen/>
        <w:t xml:space="preserve">49). </w:t>
      </w:r>
      <w:r w:rsidRPr="00A2551C" w:rsidR="008E295C">
        <w:rPr>
          <w:lang w:val="fr-FR"/>
        </w:rPr>
        <w:t>Elle note que, e</w:t>
      </w:r>
      <w:r w:rsidRPr="00A2551C">
        <w:rPr>
          <w:lang w:val="fr-FR"/>
        </w:rPr>
        <w:t>n ce qui concerne les conditions de transport de ce dernier, le Gouvernement n</w:t>
      </w:r>
      <w:r w:rsidRPr="00A2551C" w:rsidR="00A2551C">
        <w:rPr>
          <w:lang w:val="fr-FR"/>
        </w:rPr>
        <w:t>’</w:t>
      </w:r>
      <w:r w:rsidRPr="00A2551C">
        <w:rPr>
          <w:lang w:val="fr-FR"/>
        </w:rPr>
        <w:t xml:space="preserve">a </w:t>
      </w:r>
      <w:r w:rsidRPr="00A2551C" w:rsidR="008E295C">
        <w:rPr>
          <w:lang w:val="fr-FR"/>
        </w:rPr>
        <w:t xml:space="preserve">pas fourni </w:t>
      </w:r>
      <w:r w:rsidRPr="00A2551C">
        <w:rPr>
          <w:lang w:val="fr-FR"/>
        </w:rPr>
        <w:t>d</w:t>
      </w:r>
      <w:r w:rsidRPr="00A2551C" w:rsidR="00A2551C">
        <w:rPr>
          <w:lang w:val="fr-FR"/>
        </w:rPr>
        <w:t>’</w:t>
      </w:r>
      <w:r w:rsidRPr="00A2551C">
        <w:rPr>
          <w:lang w:val="fr-FR"/>
        </w:rPr>
        <w:t>extraits des feuilles de route contenant les données relatives au nombre de personnes placées dans les fourgons utilisés pour le transport de l</w:t>
      </w:r>
      <w:r w:rsidRPr="00A2551C" w:rsidR="00A2551C">
        <w:rPr>
          <w:lang w:val="fr-FR"/>
        </w:rPr>
        <w:t>’</w:t>
      </w:r>
      <w:r w:rsidRPr="00A2551C">
        <w:rPr>
          <w:lang w:val="fr-FR"/>
        </w:rPr>
        <w:t xml:space="preserve">intéressé (voir, dans le même sens, </w:t>
      </w:r>
      <w:proofErr w:type="spellStart"/>
      <w:r w:rsidRPr="00A2551C">
        <w:rPr>
          <w:i/>
          <w:lang w:val="fr-FR"/>
        </w:rPr>
        <w:t>Yaroslav</w:t>
      </w:r>
      <w:proofErr w:type="spellEnd"/>
      <w:r w:rsidRPr="00A2551C">
        <w:rPr>
          <w:i/>
          <w:lang w:val="fr-FR"/>
        </w:rPr>
        <w:t xml:space="preserve"> </w:t>
      </w:r>
      <w:proofErr w:type="spellStart"/>
      <w:r w:rsidRPr="00A2551C">
        <w:rPr>
          <w:i/>
          <w:lang w:val="fr-FR"/>
        </w:rPr>
        <w:t>Belousov</w:t>
      </w:r>
      <w:proofErr w:type="spellEnd"/>
      <w:r w:rsidRPr="00A2551C">
        <w:rPr>
          <w:lang w:val="fr-FR"/>
        </w:rPr>
        <w:t xml:space="preserve">, précité, § 109, et </w:t>
      </w:r>
      <w:r w:rsidRPr="00A2551C">
        <w:rPr>
          <w:i/>
          <w:lang w:val="fr-FR"/>
        </w:rPr>
        <w:t xml:space="preserve">Svetlana </w:t>
      </w:r>
      <w:proofErr w:type="spellStart"/>
      <w:r w:rsidRPr="00A2551C">
        <w:rPr>
          <w:i/>
          <w:lang w:val="fr-FR"/>
        </w:rPr>
        <w:t>Kazmina</w:t>
      </w:r>
      <w:proofErr w:type="spellEnd"/>
      <w:r w:rsidRPr="00A2551C">
        <w:rPr>
          <w:lang w:val="fr-FR"/>
        </w:rPr>
        <w:t xml:space="preserve">, précité, § 77) </w:t>
      </w:r>
      <w:r w:rsidRPr="00A2551C" w:rsidR="008E295C">
        <w:rPr>
          <w:lang w:val="fr-FR"/>
        </w:rPr>
        <w:t>et qu</w:t>
      </w:r>
      <w:r w:rsidRPr="00A2551C" w:rsidR="00A2551C">
        <w:rPr>
          <w:lang w:val="fr-FR"/>
        </w:rPr>
        <w:t>’</w:t>
      </w:r>
      <w:r w:rsidRPr="00A2551C" w:rsidR="008E295C">
        <w:rPr>
          <w:lang w:val="fr-FR"/>
        </w:rPr>
        <w:t>il n</w:t>
      </w:r>
      <w:r w:rsidRPr="00A2551C" w:rsidR="00A2551C">
        <w:rPr>
          <w:lang w:val="fr-FR"/>
        </w:rPr>
        <w:t>’</w:t>
      </w:r>
      <w:r w:rsidRPr="00A2551C" w:rsidR="008E295C">
        <w:rPr>
          <w:lang w:val="fr-FR"/>
        </w:rPr>
        <w:t xml:space="preserve">a pas non plus soumis </w:t>
      </w:r>
      <w:r w:rsidRPr="00A2551C">
        <w:rPr>
          <w:lang w:val="fr-FR"/>
        </w:rPr>
        <w:t xml:space="preserve">de données relatives à la superficie des compartiments dans lesdits fourgons (voir, dans le même sens, </w:t>
      </w:r>
      <w:proofErr w:type="spellStart"/>
      <w:r w:rsidRPr="00A2551C">
        <w:rPr>
          <w:i/>
          <w:lang w:val="fr-FR"/>
        </w:rPr>
        <w:t>Dudchenko</w:t>
      </w:r>
      <w:proofErr w:type="spellEnd"/>
      <w:r w:rsidRPr="00A2551C">
        <w:rPr>
          <w:lang w:val="fr-FR"/>
        </w:rPr>
        <w:t>, précité, § 129).</w:t>
      </w:r>
    </w:p>
    <w:bookmarkStart w:name="condtconcl" w:id="31"/>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59</w:t>
      </w:r>
      <w:r w:rsidRPr="00A2551C">
        <w:rPr>
          <w:lang w:val="fr-FR"/>
        </w:rPr>
        <w:fldChar w:fldCharType="end"/>
      </w:r>
      <w:bookmarkEnd w:id="31"/>
      <w:r w:rsidRPr="00A2551C">
        <w:rPr>
          <w:lang w:val="fr-FR"/>
        </w:rPr>
        <w:t>.  </w:t>
      </w:r>
      <w:r w:rsidRPr="00A2551C" w:rsidR="008E295C">
        <w:rPr>
          <w:lang w:val="fr-FR"/>
        </w:rPr>
        <w:t xml:space="preserve">La Cour </w:t>
      </w:r>
      <w:r w:rsidRPr="00A2551C">
        <w:rPr>
          <w:lang w:val="fr-FR"/>
        </w:rPr>
        <w:t>estime donc que le Gouvernement ne s</w:t>
      </w:r>
      <w:r w:rsidRPr="00A2551C" w:rsidR="00A2551C">
        <w:rPr>
          <w:lang w:val="fr-FR"/>
        </w:rPr>
        <w:t>’</w:t>
      </w:r>
      <w:r w:rsidRPr="00A2551C">
        <w:rPr>
          <w:lang w:val="fr-FR"/>
        </w:rPr>
        <w:t>est pas acquitté de la charge de la preuve lui incombant et qu</w:t>
      </w:r>
      <w:r w:rsidRPr="00A2551C" w:rsidR="00A2551C">
        <w:rPr>
          <w:lang w:val="fr-FR"/>
        </w:rPr>
        <w:t>’</w:t>
      </w:r>
      <w:r w:rsidRPr="00A2551C">
        <w:rPr>
          <w:lang w:val="fr-FR"/>
        </w:rPr>
        <w:t>il n</w:t>
      </w:r>
      <w:r w:rsidRPr="00A2551C" w:rsidR="00A2551C">
        <w:rPr>
          <w:lang w:val="fr-FR"/>
        </w:rPr>
        <w:t>’</w:t>
      </w:r>
      <w:r w:rsidRPr="00A2551C">
        <w:rPr>
          <w:lang w:val="fr-FR"/>
        </w:rPr>
        <w:t>a pas réfuté les allégations du requérant selon lesquelles celui-ci a été détenu et transporté dans des conditions contraires à l</w:t>
      </w:r>
      <w:r w:rsidRPr="00A2551C" w:rsidR="00A2551C">
        <w:rPr>
          <w:lang w:val="fr-FR"/>
        </w:rPr>
        <w:t>’</w:t>
      </w:r>
      <w:r w:rsidRPr="00A2551C">
        <w:rPr>
          <w:lang w:val="fr-FR"/>
        </w:rPr>
        <w:t>article 3 de la Convention</w:t>
      </w:r>
      <w:r w:rsidRPr="00A2551C" w:rsidR="0064410F">
        <w:rPr>
          <w:lang w:val="fr-FR"/>
        </w:rPr>
        <w:t xml:space="preserve"> (paragraphes </w:t>
      </w:r>
      <w:r w:rsidRPr="00A2551C" w:rsidR="0064410F">
        <w:rPr>
          <w:lang w:val="fr-FR"/>
        </w:rPr>
        <w:fldChar w:fldCharType="begin"/>
      </w:r>
      <w:r w:rsidRPr="00A2551C" w:rsidR="0064410F">
        <w:rPr>
          <w:lang w:val="fr-FR"/>
        </w:rPr>
        <w:instrText xml:space="preserve"> REF condtreq1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28</w:t>
      </w:r>
      <w:r w:rsidRPr="00A2551C" w:rsidR="0064410F">
        <w:rPr>
          <w:lang w:val="fr-FR"/>
        </w:rPr>
        <w:fldChar w:fldCharType="end"/>
      </w:r>
      <w:r w:rsidRPr="00A2551C" w:rsidR="0064410F">
        <w:rPr>
          <w:lang w:val="fr-FR"/>
        </w:rPr>
        <w:t xml:space="preserve"> et </w:t>
      </w:r>
      <w:r w:rsidRPr="00A2551C" w:rsidR="0064410F">
        <w:rPr>
          <w:lang w:val="fr-FR"/>
        </w:rPr>
        <w:fldChar w:fldCharType="begin"/>
      </w:r>
      <w:r w:rsidRPr="00A2551C" w:rsidR="0064410F">
        <w:rPr>
          <w:lang w:val="fr-FR"/>
        </w:rPr>
        <w:instrText xml:space="preserve"> REF tranreq1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29</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Pr>
          <w:lang w:val="fr-FR"/>
        </w:rPr>
        <w:t>.</w:t>
      </w:r>
    </w:p>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60</w:t>
      </w:r>
      <w:r w:rsidRPr="00A2551C">
        <w:rPr>
          <w:lang w:val="fr-FR"/>
        </w:rPr>
        <w:fldChar w:fldCharType="end"/>
      </w:r>
      <w:r w:rsidRPr="00A2551C">
        <w:rPr>
          <w:lang w:val="fr-FR"/>
        </w:rPr>
        <w:t xml:space="preserve">.  Eu égard à sa large jurisprudence en la matière (paragraphe </w:t>
      </w:r>
      <w:r w:rsidRPr="00A2551C" w:rsidR="0064410F">
        <w:rPr>
          <w:lang w:val="fr-FR"/>
        </w:rPr>
        <w:fldChar w:fldCharType="begin"/>
      </w:r>
      <w:r w:rsidRPr="00A2551C" w:rsidR="0064410F">
        <w:rPr>
          <w:lang w:val="fr-FR"/>
        </w:rPr>
        <w:instrText xml:space="preserve"> REF condtjur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56</w:t>
      </w:r>
      <w:r w:rsidRPr="00A2551C" w:rsidR="0064410F">
        <w:rPr>
          <w:lang w:val="fr-FR"/>
        </w:rPr>
        <w:fldChar w:fldCharType="end"/>
      </w:r>
      <w:r w:rsidRPr="00A2551C">
        <w:rPr>
          <w:lang w:val="fr-FR"/>
        </w:rPr>
        <w:t xml:space="preserve"> ci</w:t>
      </w:r>
      <w:r w:rsidRPr="00A2551C">
        <w:rPr>
          <w:lang w:val="fr-FR"/>
        </w:rPr>
        <w:noBreakHyphen/>
        <w:t>dessus) et à ses conclusions quant au bien-fondé des allég</w:t>
      </w:r>
      <w:r w:rsidRPr="00A2551C" w:rsidR="0064410F">
        <w:rPr>
          <w:lang w:val="fr-FR"/>
        </w:rPr>
        <w:t xml:space="preserve">ations du requérant (paragraphe </w:t>
      </w:r>
      <w:r w:rsidRPr="00A2551C" w:rsidR="0064410F">
        <w:rPr>
          <w:lang w:val="fr-FR"/>
        </w:rPr>
        <w:fldChar w:fldCharType="begin"/>
      </w:r>
      <w:r w:rsidRPr="00A2551C" w:rsidR="0064410F">
        <w:rPr>
          <w:lang w:val="fr-FR"/>
        </w:rPr>
        <w:instrText xml:space="preserve"> REF condtconcl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59</w:t>
      </w:r>
      <w:r w:rsidRPr="00A2551C" w:rsidR="0064410F">
        <w:rPr>
          <w:lang w:val="fr-FR"/>
        </w:rPr>
        <w:fldChar w:fldCharType="end"/>
      </w:r>
      <w:r w:rsidRPr="00A2551C">
        <w:rPr>
          <w:lang w:val="fr-FR"/>
        </w:rPr>
        <w:t xml:space="preserve"> ci-dessus), la Cour considère que les conditions de détention </w:t>
      </w:r>
      <w:r w:rsidRPr="00A2551C" w:rsidR="008E295C">
        <w:rPr>
          <w:lang w:val="fr-FR"/>
        </w:rPr>
        <w:t>du requérant</w:t>
      </w:r>
      <w:r w:rsidRPr="00A2551C">
        <w:rPr>
          <w:lang w:val="fr-FR"/>
        </w:rPr>
        <w:t xml:space="preserve"> dans la maison d</w:t>
      </w:r>
      <w:r w:rsidRPr="00A2551C" w:rsidR="00A2551C">
        <w:rPr>
          <w:lang w:val="fr-FR"/>
        </w:rPr>
        <w:t>’</w:t>
      </w:r>
      <w:r w:rsidRPr="00A2551C">
        <w:rPr>
          <w:lang w:val="fr-FR"/>
        </w:rPr>
        <w:t xml:space="preserve">arrêt </w:t>
      </w:r>
      <w:r w:rsidRPr="00A2551C" w:rsidR="0064410F">
        <w:rPr>
          <w:lang w:val="fr-FR"/>
        </w:rPr>
        <w:t xml:space="preserve">SIZO-2 </w:t>
      </w:r>
      <w:r w:rsidRPr="00A2551C">
        <w:rPr>
          <w:lang w:val="fr-FR"/>
        </w:rPr>
        <w:t>pendant la période du 30 novembre 2007 au 6 novembre 2011 ainsi que les conditions de son transport vers et depuis le tribunal pendant le procès pénal dirigé à son encontre ont constitué un traitement inhumain et dégradant. Partant, il y a eu violation de l</w:t>
      </w:r>
      <w:r w:rsidRPr="00A2551C" w:rsidR="00A2551C">
        <w:rPr>
          <w:lang w:val="fr-FR"/>
        </w:rPr>
        <w:t>’</w:t>
      </w:r>
      <w:r w:rsidRPr="00A2551C">
        <w:rPr>
          <w:lang w:val="fr-FR"/>
        </w:rPr>
        <w:t>article 3 de la Convention.</w:t>
      </w:r>
    </w:p>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61</w:t>
      </w:r>
      <w:r w:rsidRPr="00A2551C">
        <w:rPr>
          <w:lang w:val="fr-FR"/>
        </w:rPr>
        <w:fldChar w:fldCharType="end"/>
      </w:r>
      <w:r w:rsidRPr="00A2551C">
        <w:rPr>
          <w:lang w:val="fr-FR"/>
        </w:rPr>
        <w:t>.  Ayant conclu à la violation de l</w:t>
      </w:r>
      <w:r w:rsidRPr="00A2551C" w:rsidR="00A2551C">
        <w:rPr>
          <w:lang w:val="fr-FR"/>
        </w:rPr>
        <w:t>’</w:t>
      </w:r>
      <w:r w:rsidRPr="00A2551C">
        <w:rPr>
          <w:lang w:val="fr-FR"/>
        </w:rPr>
        <w:t>article 3 de la Convention à raison des conditions de détention du requérant dans la maison d</w:t>
      </w:r>
      <w:r w:rsidRPr="00A2551C" w:rsidR="00A2551C">
        <w:rPr>
          <w:lang w:val="fr-FR"/>
        </w:rPr>
        <w:t>’</w:t>
      </w:r>
      <w:r w:rsidRPr="00A2551C">
        <w:rPr>
          <w:lang w:val="fr-FR"/>
        </w:rPr>
        <w:t xml:space="preserve">arrêt </w:t>
      </w:r>
      <w:r w:rsidRPr="00A2551C" w:rsidR="0064410F">
        <w:rPr>
          <w:lang w:val="fr-FR"/>
        </w:rPr>
        <w:t xml:space="preserve">SIZO-2 </w:t>
      </w:r>
      <w:r w:rsidRPr="00A2551C">
        <w:rPr>
          <w:lang w:val="fr-FR"/>
        </w:rPr>
        <w:t xml:space="preserve">du 30 novembre 2007 au 6 novembre 2011 </w:t>
      </w:r>
      <w:r w:rsidRPr="00A2551C" w:rsidR="0064410F">
        <w:rPr>
          <w:lang w:val="fr-FR"/>
        </w:rPr>
        <w:t>ainsi qu</w:t>
      </w:r>
      <w:r w:rsidRPr="00A2551C" w:rsidR="00A2551C">
        <w:rPr>
          <w:lang w:val="fr-FR"/>
        </w:rPr>
        <w:t>’</w:t>
      </w:r>
      <w:r w:rsidRPr="00A2551C">
        <w:rPr>
          <w:lang w:val="fr-FR"/>
        </w:rPr>
        <w:t>à raison des conditions de transport de l</w:t>
      </w:r>
      <w:r w:rsidRPr="00A2551C" w:rsidR="00A2551C">
        <w:rPr>
          <w:lang w:val="fr-FR"/>
        </w:rPr>
        <w:t>’</w:t>
      </w:r>
      <w:r w:rsidRPr="00A2551C">
        <w:rPr>
          <w:lang w:val="fr-FR"/>
        </w:rPr>
        <w:t>intéressé vers et depuis le tribunal pendant le procès pénal dirigé à son encontre, la Cour estime qu</w:t>
      </w:r>
      <w:r w:rsidRPr="00A2551C" w:rsidR="00A2551C">
        <w:rPr>
          <w:lang w:val="fr-FR"/>
        </w:rPr>
        <w:t>’</w:t>
      </w:r>
      <w:r w:rsidRPr="00A2551C">
        <w:rPr>
          <w:lang w:val="fr-FR"/>
        </w:rPr>
        <w:t>il n</w:t>
      </w:r>
      <w:r w:rsidRPr="00A2551C" w:rsidR="00A2551C">
        <w:rPr>
          <w:lang w:val="fr-FR"/>
        </w:rPr>
        <w:t>’</w:t>
      </w:r>
      <w:r w:rsidRPr="00A2551C">
        <w:rPr>
          <w:lang w:val="fr-FR"/>
        </w:rPr>
        <w:t>est pas nécessaire d</w:t>
      </w:r>
      <w:r w:rsidRPr="00A2551C" w:rsidR="00A2551C">
        <w:rPr>
          <w:lang w:val="fr-FR"/>
        </w:rPr>
        <w:t>’</w:t>
      </w:r>
      <w:r w:rsidRPr="00A2551C">
        <w:rPr>
          <w:lang w:val="fr-FR"/>
        </w:rPr>
        <w:t>examiner séparément la partie du grief concernant les conditions de détention de l</w:t>
      </w:r>
      <w:r w:rsidRPr="00A2551C" w:rsidR="00A2551C">
        <w:rPr>
          <w:lang w:val="fr-FR"/>
        </w:rPr>
        <w:t>’</w:t>
      </w:r>
      <w:r w:rsidRPr="00A2551C">
        <w:rPr>
          <w:lang w:val="fr-FR"/>
        </w:rPr>
        <w:t>intéressé dans les locaux dudit tribunal</w:t>
      </w:r>
      <w:r w:rsidRPr="00A2551C" w:rsidR="0064410F">
        <w:rPr>
          <w:lang w:val="fr-FR"/>
        </w:rPr>
        <w:t xml:space="preserve"> (paragraphe </w:t>
      </w:r>
      <w:r w:rsidRPr="00A2551C" w:rsidR="0064410F">
        <w:rPr>
          <w:lang w:val="fr-FR"/>
        </w:rPr>
        <w:fldChar w:fldCharType="begin"/>
      </w:r>
      <w:r w:rsidRPr="00A2551C" w:rsidR="0064410F">
        <w:rPr>
          <w:lang w:val="fr-FR"/>
        </w:rPr>
        <w:instrText xml:space="preserve"> REF condrtibreq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30</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Pr>
          <w:lang w:val="fr-FR"/>
        </w:rPr>
        <w:t>.</w:t>
      </w:r>
    </w:p>
    <w:p w:rsidRPr="00A2551C" w:rsidR="00E77CB3" w:rsidP="00A2551C" w:rsidRDefault="00E77CB3">
      <w:pPr>
        <w:pStyle w:val="ECHRHeading2"/>
        <w:rPr>
          <w:lang w:val="fr-FR"/>
        </w:rPr>
      </w:pPr>
      <w:r w:rsidRPr="00A2551C">
        <w:rPr>
          <w:lang w:val="fr-FR"/>
        </w:rPr>
        <w:t>B.  </w:t>
      </w:r>
      <w:r w:rsidRPr="00A2551C" w:rsidR="00F21820">
        <w:rPr>
          <w:lang w:val="fr-FR"/>
        </w:rPr>
        <w:t>Sur les conditions de détention du requérant dans la colonie pénitentiaire</w:t>
      </w:r>
    </w:p>
    <w:p w:rsidRPr="00A2551C" w:rsidR="0076324D" w:rsidP="00A2551C" w:rsidRDefault="008D6176">
      <w:pPr>
        <w:pStyle w:val="ECHRHeading3"/>
        <w:rPr>
          <w:lang w:val="fr-FR"/>
        </w:rPr>
      </w:pPr>
      <w:r w:rsidRPr="00A2551C">
        <w:rPr>
          <w:lang w:val="fr-FR"/>
        </w:rPr>
        <w:t>1.</w:t>
      </w:r>
      <w:r w:rsidRPr="00A2551C" w:rsidR="00146316">
        <w:rPr>
          <w:lang w:val="fr-FR"/>
        </w:rPr>
        <w:t>  </w:t>
      </w:r>
      <w:r w:rsidRPr="00A2551C" w:rsidR="00F21820">
        <w:rPr>
          <w:iCs/>
          <w:lang w:val="fr-FR"/>
        </w:rPr>
        <w:t>Thèses des parties</w:t>
      </w:r>
    </w:p>
    <w:p w:rsidRPr="00A2551C" w:rsidR="00F21820" w:rsidP="00A2551C" w:rsidRDefault="00F21820">
      <w:pPr>
        <w:pStyle w:val="ECHRHeading4"/>
        <w:rPr>
          <w:lang w:val="fr-FR"/>
        </w:rPr>
      </w:pPr>
      <w:r w:rsidRPr="00A2551C">
        <w:rPr>
          <w:lang w:val="fr-FR"/>
        </w:rPr>
        <w:t>a)  Le Gouvernement</w:t>
      </w:r>
    </w:p>
    <w:bookmarkStart w:name="condcgouv1" w:id="32"/>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62</w:t>
      </w:r>
      <w:r w:rsidRPr="00A2551C">
        <w:rPr>
          <w:lang w:val="fr-FR"/>
        </w:rPr>
        <w:fldChar w:fldCharType="end"/>
      </w:r>
      <w:bookmarkEnd w:id="32"/>
      <w:r w:rsidRPr="00A2551C">
        <w:rPr>
          <w:lang w:val="fr-FR"/>
        </w:rPr>
        <w:t>.  Le Gouvernement indique que le requérant a été détenu d</w:t>
      </w:r>
      <w:r w:rsidRPr="00A2551C" w:rsidR="00EF648C">
        <w:rPr>
          <w:lang w:val="fr-FR"/>
        </w:rPr>
        <w:t>ans</w:t>
      </w:r>
      <w:r w:rsidRPr="00A2551C">
        <w:rPr>
          <w:lang w:val="fr-FR"/>
        </w:rPr>
        <w:t xml:space="preserve"> la colonie pénitentiaire </w:t>
      </w:r>
      <w:r w:rsidRPr="00A2551C" w:rsidR="00EC6BDF">
        <w:rPr>
          <w:lang w:val="fr-FR"/>
        </w:rPr>
        <w:t>du 6 </w:t>
      </w:r>
      <w:r w:rsidRPr="00A2551C">
        <w:rPr>
          <w:lang w:val="fr-FR"/>
        </w:rPr>
        <w:t>no</w:t>
      </w:r>
      <w:r w:rsidRPr="00A2551C" w:rsidR="00570E54">
        <w:rPr>
          <w:lang w:val="fr-FR"/>
        </w:rPr>
        <w:t xml:space="preserve">vembre 2011 au 25 novembre 2013 et </w:t>
      </w:r>
      <w:r w:rsidRPr="00A2551C" w:rsidR="00EC6BDF">
        <w:rPr>
          <w:lang w:val="fr-FR"/>
        </w:rPr>
        <w:t>que l</w:t>
      </w:r>
      <w:r w:rsidRPr="00A2551C" w:rsidR="00A2551C">
        <w:rPr>
          <w:lang w:val="fr-FR"/>
        </w:rPr>
        <w:t>’</w:t>
      </w:r>
      <w:r w:rsidRPr="00A2551C" w:rsidR="00EC6BDF">
        <w:rPr>
          <w:lang w:val="fr-FR"/>
        </w:rPr>
        <w:t>intéressé</w:t>
      </w:r>
      <w:r w:rsidRPr="00A2551C" w:rsidR="00570E54">
        <w:rPr>
          <w:lang w:val="fr-FR"/>
        </w:rPr>
        <w:t xml:space="preserve"> a été placé</w:t>
      </w:r>
      <w:r w:rsidRPr="00A2551C" w:rsidR="00EF648C">
        <w:rPr>
          <w:lang w:val="fr-FR"/>
        </w:rPr>
        <w:t>,</w:t>
      </w:r>
      <w:r w:rsidRPr="00A2551C" w:rsidR="00570E54">
        <w:rPr>
          <w:lang w:val="fr-FR"/>
        </w:rPr>
        <w:t xml:space="preserve"> </w:t>
      </w:r>
      <w:r w:rsidRPr="00A2551C" w:rsidR="00EC6BDF">
        <w:rPr>
          <w:lang w:val="fr-FR"/>
        </w:rPr>
        <w:t>au sein de cette colonie</w:t>
      </w:r>
      <w:r w:rsidRPr="00A2551C" w:rsidR="00EF648C">
        <w:rPr>
          <w:lang w:val="fr-FR"/>
        </w:rPr>
        <w:t>,</w:t>
      </w:r>
      <w:r w:rsidRPr="00A2551C" w:rsidR="00EC6BDF">
        <w:rPr>
          <w:lang w:val="fr-FR"/>
        </w:rPr>
        <w:t xml:space="preserve"> </w:t>
      </w:r>
      <w:r w:rsidRPr="00A2551C" w:rsidR="00570E54">
        <w:rPr>
          <w:lang w:val="fr-FR"/>
        </w:rPr>
        <w:t>dans la cellule n</w:t>
      </w:r>
      <w:r w:rsidRPr="00A2551C" w:rsidR="00570E54">
        <w:rPr>
          <w:vertAlign w:val="superscript"/>
          <w:lang w:val="fr-FR"/>
        </w:rPr>
        <w:t>o </w:t>
      </w:r>
      <w:r w:rsidRPr="00A2551C" w:rsidR="00570E54">
        <w:rPr>
          <w:lang w:val="fr-FR"/>
        </w:rPr>
        <w:t xml:space="preserve">66 </w:t>
      </w:r>
      <w:r w:rsidRPr="00A2551C" w:rsidR="00EC6BDF">
        <w:rPr>
          <w:lang w:val="fr-FR"/>
        </w:rPr>
        <w:t>située dans le</w:t>
      </w:r>
      <w:r w:rsidRPr="00A2551C" w:rsidR="00570E54">
        <w:rPr>
          <w:lang w:val="fr-FR"/>
        </w:rPr>
        <w:t xml:space="preserve"> bâtiment n</w:t>
      </w:r>
      <w:r w:rsidRPr="00A2551C" w:rsidR="00570E54">
        <w:rPr>
          <w:vertAlign w:val="superscript"/>
          <w:lang w:val="fr-FR"/>
        </w:rPr>
        <w:t>o</w:t>
      </w:r>
      <w:r w:rsidRPr="00A2551C" w:rsidR="00570E54">
        <w:rPr>
          <w:lang w:val="fr-FR"/>
        </w:rPr>
        <w:t> 1.</w:t>
      </w:r>
      <w:r w:rsidRPr="00A2551C">
        <w:rPr>
          <w:lang w:val="fr-FR"/>
        </w:rPr>
        <w:t xml:space="preserve"> </w:t>
      </w:r>
      <w:r w:rsidRPr="00A2551C" w:rsidR="00EF648C">
        <w:rPr>
          <w:lang w:val="fr-FR"/>
        </w:rPr>
        <w:t>Il</w:t>
      </w:r>
      <w:r w:rsidRPr="00A2551C">
        <w:rPr>
          <w:lang w:val="fr-FR"/>
        </w:rPr>
        <w:t xml:space="preserve"> décrit comme suit les conditions de détention </w:t>
      </w:r>
      <w:r w:rsidRPr="00A2551C" w:rsidR="00D34AC4">
        <w:rPr>
          <w:lang w:val="fr-FR"/>
        </w:rPr>
        <w:t>du requérant</w:t>
      </w:r>
      <w:r w:rsidRPr="00A2551C">
        <w:rPr>
          <w:lang w:val="fr-FR"/>
        </w:rPr>
        <w:t xml:space="preserve"> : la cellule mesurait 11,5 m² (10,7 m² </w:t>
      </w:r>
      <w:r w:rsidRPr="00A2551C" w:rsidR="00D34AC4">
        <w:rPr>
          <w:lang w:val="fr-FR"/>
        </w:rPr>
        <w:t>en déduisant l</w:t>
      </w:r>
      <w:r w:rsidRPr="00A2551C" w:rsidR="00A2551C">
        <w:rPr>
          <w:lang w:val="fr-FR"/>
        </w:rPr>
        <w:t>’</w:t>
      </w:r>
      <w:r w:rsidRPr="00A2551C" w:rsidR="00D34AC4">
        <w:rPr>
          <w:lang w:val="fr-FR"/>
        </w:rPr>
        <w:t xml:space="preserve">espace occupé par les </w:t>
      </w:r>
      <w:r w:rsidRPr="00A2551C">
        <w:rPr>
          <w:lang w:val="fr-FR"/>
        </w:rPr>
        <w:t>sanitaires), elle comptait deux lits superposés, une table, un lavabo, un WC ; le nombre de détenus n</w:t>
      </w:r>
      <w:r w:rsidRPr="00A2551C" w:rsidR="00A2551C">
        <w:rPr>
          <w:lang w:val="fr-FR"/>
        </w:rPr>
        <w:t>’</w:t>
      </w:r>
      <w:r w:rsidRPr="00A2551C">
        <w:rPr>
          <w:lang w:val="fr-FR"/>
        </w:rPr>
        <w:t>a jamais été supérieur au nombre de lits ; les toilettes se trouvaient à côté de l</w:t>
      </w:r>
      <w:r w:rsidRPr="00A2551C" w:rsidR="00A2551C">
        <w:rPr>
          <w:lang w:val="fr-FR"/>
        </w:rPr>
        <w:t>’</w:t>
      </w:r>
      <w:r w:rsidRPr="00A2551C">
        <w:rPr>
          <w:lang w:val="fr-FR"/>
        </w:rPr>
        <w:t xml:space="preserve">entrée de la cellule et étaient séparées du reste de celle-ci par </w:t>
      </w:r>
      <w:r w:rsidRPr="00A2551C" w:rsidR="00D34AC4">
        <w:rPr>
          <w:lang w:val="fr-FR"/>
        </w:rPr>
        <w:t>un mur</w:t>
      </w:r>
      <w:r w:rsidRPr="00A2551C">
        <w:rPr>
          <w:lang w:val="fr-FR"/>
        </w:rPr>
        <w:t xml:space="preserve"> en briques de 1,2 mètre de hauteur muni d</w:t>
      </w:r>
      <w:r w:rsidRPr="00A2551C" w:rsidR="00A2551C">
        <w:rPr>
          <w:lang w:val="fr-FR"/>
        </w:rPr>
        <w:t>’</w:t>
      </w:r>
      <w:r w:rsidRPr="00A2551C">
        <w:rPr>
          <w:lang w:val="fr-FR"/>
        </w:rPr>
        <w:t xml:space="preserve">un portillon ; la table se trouvait en </w:t>
      </w:r>
      <w:r w:rsidRPr="00A2551C" w:rsidR="004E27F1">
        <w:rPr>
          <w:lang w:val="fr-FR"/>
        </w:rPr>
        <w:t>face des lits</w:t>
      </w:r>
      <w:r w:rsidRPr="00A2551C" w:rsidR="00EA568C">
        <w:rPr>
          <w:lang w:val="fr-FR"/>
        </w:rPr>
        <w:t>,</w:t>
      </w:r>
      <w:r w:rsidRPr="00A2551C" w:rsidR="004E27F1">
        <w:rPr>
          <w:lang w:val="fr-FR"/>
        </w:rPr>
        <w:t xml:space="preserve"> à </w:t>
      </w:r>
      <w:r w:rsidRPr="00A2551C" w:rsidR="00EA568C">
        <w:rPr>
          <w:lang w:val="fr-FR"/>
        </w:rPr>
        <w:t xml:space="preserve">une </w:t>
      </w:r>
      <w:r w:rsidRPr="00A2551C" w:rsidR="004E27F1">
        <w:rPr>
          <w:lang w:val="fr-FR"/>
        </w:rPr>
        <w:t>distance de 1</w:t>
      </w:r>
      <w:r w:rsidRPr="00A2551C" w:rsidR="001447BE">
        <w:rPr>
          <w:lang w:val="fr-FR"/>
        </w:rPr>
        <w:t> </w:t>
      </w:r>
      <w:r w:rsidRPr="00A2551C">
        <w:rPr>
          <w:lang w:val="fr-FR"/>
        </w:rPr>
        <w:t>mètre ; la température dans la cellule était de 21</w:t>
      </w:r>
      <w:r w:rsidRPr="00A2551C">
        <w:rPr>
          <w:vertAlign w:val="superscript"/>
          <w:lang w:val="fr-FR"/>
        </w:rPr>
        <w:t xml:space="preserve">o </w:t>
      </w:r>
      <w:r w:rsidRPr="00A2551C">
        <w:rPr>
          <w:lang w:val="fr-FR"/>
        </w:rPr>
        <w:t>C ; la cellule était éclairée par deux ampoules</w:t>
      </w:r>
      <w:r w:rsidRPr="00A2551C" w:rsidR="00EA568C">
        <w:rPr>
          <w:lang w:val="fr-FR"/>
        </w:rPr>
        <w:t>,</w:t>
      </w:r>
      <w:r w:rsidRPr="00A2551C">
        <w:rPr>
          <w:lang w:val="fr-FR"/>
        </w:rPr>
        <w:t xml:space="preserve"> de 100 et 40 watts respectivement, </w:t>
      </w:r>
      <w:r w:rsidRPr="00A2551C" w:rsidR="00EA568C">
        <w:rPr>
          <w:lang w:val="fr-FR"/>
        </w:rPr>
        <w:t xml:space="preserve">et </w:t>
      </w:r>
      <w:r w:rsidRPr="00A2551C">
        <w:rPr>
          <w:lang w:val="fr-FR"/>
        </w:rPr>
        <w:t xml:space="preserve">celle de 40 watts </w:t>
      </w:r>
      <w:r w:rsidRPr="00A2551C" w:rsidR="00EA568C">
        <w:rPr>
          <w:lang w:val="fr-FR"/>
        </w:rPr>
        <w:t>restait</w:t>
      </w:r>
      <w:r w:rsidRPr="00A2551C">
        <w:rPr>
          <w:lang w:val="fr-FR"/>
        </w:rPr>
        <w:t xml:space="preserve"> allumée la nuit ; la fenêtre mesurait 0,6 x 1 m ; la cellule était ventilée par un système de ventilation mécaniquement contrôlée ainsi que par la fenêtre. Le Gouvernement indique en outre que le requérant bénéficiait de promenades dans des cours aménagées en plein air </w:t>
      </w:r>
      <w:r w:rsidRPr="00A2551C" w:rsidR="00EA568C">
        <w:rPr>
          <w:lang w:val="fr-FR"/>
        </w:rPr>
        <w:t>d</w:t>
      </w:r>
      <w:r w:rsidRPr="00A2551C" w:rsidR="00A2551C">
        <w:rPr>
          <w:lang w:val="fr-FR"/>
        </w:rPr>
        <w:t>’</w:t>
      </w:r>
      <w:r w:rsidRPr="00A2551C" w:rsidR="00EA568C">
        <w:rPr>
          <w:lang w:val="fr-FR"/>
        </w:rPr>
        <w:t>une superficie de</w:t>
      </w:r>
      <w:r w:rsidRPr="00A2551C">
        <w:rPr>
          <w:lang w:val="fr-FR"/>
        </w:rPr>
        <w:t xml:space="preserve"> 8 m².</w:t>
      </w:r>
    </w:p>
    <w:bookmarkStart w:name="condcgouv2" w:id="33"/>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63</w:t>
      </w:r>
      <w:r w:rsidRPr="00A2551C">
        <w:rPr>
          <w:lang w:val="fr-FR"/>
        </w:rPr>
        <w:fldChar w:fldCharType="end"/>
      </w:r>
      <w:bookmarkEnd w:id="33"/>
      <w:r w:rsidRPr="00A2551C">
        <w:rPr>
          <w:lang w:val="fr-FR"/>
        </w:rPr>
        <w:t>.  À l</w:t>
      </w:r>
      <w:r w:rsidRPr="00A2551C" w:rsidR="00A2551C">
        <w:rPr>
          <w:lang w:val="fr-FR"/>
        </w:rPr>
        <w:t>’</w:t>
      </w:r>
      <w:r w:rsidRPr="00A2551C">
        <w:rPr>
          <w:lang w:val="fr-FR"/>
        </w:rPr>
        <w:t>appui de sa version, le Gouvernement a soumis les documents suivants :</w:t>
      </w:r>
    </w:p>
    <w:p w:rsidRPr="00A2551C" w:rsidR="00F21820" w:rsidP="00A2551C" w:rsidRDefault="00F21820">
      <w:pPr>
        <w:pStyle w:val="ECHRPara"/>
        <w:rPr>
          <w:lang w:val="fr-FR"/>
        </w:rPr>
      </w:pPr>
      <w:r w:rsidRPr="00A2551C">
        <w:rPr>
          <w:lang w:val="fr-FR"/>
        </w:rPr>
        <w:t>–  des attestations de l</w:t>
      </w:r>
      <w:r w:rsidRPr="00A2551C" w:rsidR="00A2551C">
        <w:rPr>
          <w:lang w:val="fr-FR"/>
        </w:rPr>
        <w:t>’</w:t>
      </w:r>
      <w:r w:rsidRPr="00A2551C">
        <w:rPr>
          <w:lang w:val="fr-FR"/>
        </w:rPr>
        <w:t xml:space="preserve">administration de la colonie pénitentiaire établies le 14 mars 2017 portant sur les conditions de détention du requérant telles </w:t>
      </w:r>
      <w:r w:rsidRPr="00A2551C" w:rsidR="00912827">
        <w:rPr>
          <w:lang w:val="fr-FR"/>
        </w:rPr>
        <w:t>qu</w:t>
      </w:r>
      <w:r w:rsidRPr="00A2551C" w:rsidR="00A2551C">
        <w:rPr>
          <w:lang w:val="fr-FR"/>
        </w:rPr>
        <w:t>’</w:t>
      </w:r>
      <w:r w:rsidRPr="00A2551C" w:rsidR="00912827">
        <w:rPr>
          <w:lang w:val="fr-FR"/>
        </w:rPr>
        <w:t>il les a décrites</w:t>
      </w:r>
      <w:r w:rsidRPr="00A2551C">
        <w:rPr>
          <w:lang w:val="fr-FR"/>
        </w:rPr>
        <w:t xml:space="preserve"> </w:t>
      </w:r>
      <w:r w:rsidRPr="00A2551C" w:rsidR="0064410F">
        <w:rPr>
          <w:lang w:val="fr-FR"/>
        </w:rPr>
        <w:t xml:space="preserve">au paragraphe </w:t>
      </w:r>
      <w:r w:rsidRPr="00A2551C" w:rsidR="0064410F">
        <w:rPr>
          <w:lang w:val="fr-FR"/>
        </w:rPr>
        <w:fldChar w:fldCharType="begin"/>
      </w:r>
      <w:r w:rsidRPr="00A2551C" w:rsidR="0064410F">
        <w:rPr>
          <w:lang w:val="fr-FR"/>
        </w:rPr>
        <w:instrText xml:space="preserve"> REF condcgouv1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62</w:t>
      </w:r>
      <w:r w:rsidRPr="00A2551C" w:rsidR="0064410F">
        <w:rPr>
          <w:lang w:val="fr-FR"/>
        </w:rPr>
        <w:fldChar w:fldCharType="end"/>
      </w:r>
      <w:r w:rsidRPr="00A2551C" w:rsidR="0064410F">
        <w:rPr>
          <w:lang w:val="fr-FR"/>
        </w:rPr>
        <w:t xml:space="preserve"> </w:t>
      </w:r>
      <w:r w:rsidRPr="00A2551C">
        <w:rPr>
          <w:lang w:val="fr-FR"/>
        </w:rPr>
        <w:t>ci</w:t>
      </w:r>
      <w:r w:rsidRPr="00A2551C">
        <w:rPr>
          <w:lang w:val="fr-FR"/>
        </w:rPr>
        <w:noBreakHyphen/>
        <w:t>dessus ;</w:t>
      </w:r>
    </w:p>
    <w:p w:rsidRPr="00A2551C" w:rsidR="00F21820" w:rsidP="00A2551C" w:rsidRDefault="00F21820">
      <w:pPr>
        <w:pStyle w:val="ECHRPara"/>
        <w:rPr>
          <w:lang w:val="fr-FR"/>
        </w:rPr>
      </w:pPr>
      <w:r w:rsidRPr="00A2551C">
        <w:rPr>
          <w:lang w:val="fr-FR"/>
        </w:rPr>
        <w:t>–  des extraits du registre de l</w:t>
      </w:r>
      <w:r w:rsidRPr="00A2551C" w:rsidR="00A2551C">
        <w:rPr>
          <w:lang w:val="fr-FR"/>
        </w:rPr>
        <w:t>’</w:t>
      </w:r>
      <w:r w:rsidRPr="00A2551C">
        <w:rPr>
          <w:lang w:val="fr-FR"/>
        </w:rPr>
        <w:t>état sanitaire de la colonie pénitentiaire pour la période du 1</w:t>
      </w:r>
      <w:r w:rsidRPr="00A2551C" w:rsidR="00912827">
        <w:rPr>
          <w:vertAlign w:val="superscript"/>
          <w:lang w:val="fr-FR"/>
        </w:rPr>
        <w:t>er</w:t>
      </w:r>
      <w:r w:rsidRPr="00A2551C" w:rsidR="00912827">
        <w:rPr>
          <w:lang w:val="fr-FR"/>
        </w:rPr>
        <w:t xml:space="preserve"> </w:t>
      </w:r>
      <w:r w:rsidRPr="00A2551C">
        <w:rPr>
          <w:lang w:val="fr-FR"/>
        </w:rPr>
        <w:t>janvier 2011 au 6 décembre 2013</w:t>
      </w:r>
      <w:r w:rsidRPr="00A2551C" w:rsidR="00912827">
        <w:rPr>
          <w:lang w:val="fr-FR"/>
        </w:rPr>
        <w:t> </w:t>
      </w:r>
      <w:r w:rsidRPr="00A2551C">
        <w:rPr>
          <w:lang w:val="fr-FR"/>
        </w:rPr>
        <w:t>;</w:t>
      </w:r>
    </w:p>
    <w:p w:rsidRPr="00A2551C" w:rsidR="00F21820" w:rsidP="00A2551C" w:rsidRDefault="00F21820">
      <w:pPr>
        <w:pStyle w:val="ECHRPara"/>
        <w:rPr>
          <w:lang w:val="fr-FR"/>
        </w:rPr>
      </w:pPr>
      <w:r w:rsidRPr="00A2551C">
        <w:rPr>
          <w:lang w:val="fr-FR"/>
        </w:rPr>
        <w:t>–  un extrait du plan technique du bâtiment dans lequel se trouvait la cellule n</w:t>
      </w:r>
      <w:r w:rsidRPr="00A2551C">
        <w:rPr>
          <w:vertAlign w:val="superscript"/>
          <w:lang w:val="fr-FR"/>
        </w:rPr>
        <w:t>o</w:t>
      </w:r>
      <w:r w:rsidRPr="00A2551C">
        <w:rPr>
          <w:lang w:val="fr-FR"/>
        </w:rPr>
        <w:t> 66 et une explication de ce plan ;</w:t>
      </w:r>
    </w:p>
    <w:p w:rsidRPr="00A2551C" w:rsidR="00F21820" w:rsidP="00A2551C" w:rsidRDefault="00F21820">
      <w:pPr>
        <w:pStyle w:val="ECHRPara"/>
        <w:rPr>
          <w:lang w:val="fr-FR"/>
        </w:rPr>
      </w:pPr>
      <w:r w:rsidRPr="00A2551C">
        <w:rPr>
          <w:lang w:val="fr-FR"/>
        </w:rPr>
        <w:t>–  des photos de la cellule n</w:t>
      </w:r>
      <w:r w:rsidRPr="00A2551C">
        <w:rPr>
          <w:vertAlign w:val="superscript"/>
          <w:lang w:val="fr-FR"/>
        </w:rPr>
        <w:t>o</w:t>
      </w:r>
      <w:r w:rsidRPr="00A2551C">
        <w:rPr>
          <w:lang w:val="fr-FR"/>
        </w:rPr>
        <w:t> 66 prises à une date non spécifiée et certifiées par le directeur de la colonie pénitentiaire ;</w:t>
      </w:r>
    </w:p>
    <w:p w:rsidRPr="00A2551C" w:rsidR="0076324D" w:rsidP="00A2551C" w:rsidRDefault="00F21820">
      <w:pPr>
        <w:pStyle w:val="ECHRPara"/>
        <w:rPr>
          <w:lang w:val="fr-FR"/>
        </w:rPr>
      </w:pPr>
      <w:r w:rsidRPr="00A2551C">
        <w:rPr>
          <w:lang w:val="fr-FR"/>
        </w:rPr>
        <w:t>–  des copies de contrats conclus par l</w:t>
      </w:r>
      <w:r w:rsidRPr="00A2551C" w:rsidR="00A2551C">
        <w:rPr>
          <w:lang w:val="fr-FR"/>
        </w:rPr>
        <w:t>’</w:t>
      </w:r>
      <w:r w:rsidRPr="00A2551C">
        <w:rPr>
          <w:lang w:val="fr-FR"/>
        </w:rPr>
        <w:t xml:space="preserve">administration de la colonie pénitentiaire pour </w:t>
      </w:r>
      <w:r w:rsidRPr="00A2551C" w:rsidR="00912827">
        <w:rPr>
          <w:lang w:val="fr-FR"/>
        </w:rPr>
        <w:t>d</w:t>
      </w:r>
      <w:r w:rsidRPr="00A2551C">
        <w:rPr>
          <w:lang w:val="fr-FR"/>
        </w:rPr>
        <w:t>es services de dératisation pour les années 2011</w:t>
      </w:r>
      <w:r w:rsidRPr="00A2551C">
        <w:rPr>
          <w:lang w:val="fr-FR"/>
        </w:rPr>
        <w:noBreakHyphen/>
        <w:t>2013.</w:t>
      </w:r>
    </w:p>
    <w:p w:rsidRPr="00A2551C" w:rsidR="00F21820" w:rsidP="00A2551C" w:rsidRDefault="00F21820">
      <w:pPr>
        <w:pStyle w:val="ECHRHeading4"/>
        <w:rPr>
          <w:lang w:val="fr-FR"/>
        </w:rPr>
      </w:pPr>
      <w:r w:rsidRPr="00A2551C">
        <w:rPr>
          <w:lang w:val="fr-FR"/>
        </w:rPr>
        <w:t>b)  Le requérant</w:t>
      </w:r>
    </w:p>
    <w:bookmarkStart w:name="condcreq2" w:id="34"/>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64</w:t>
      </w:r>
      <w:r w:rsidRPr="00A2551C">
        <w:rPr>
          <w:lang w:val="fr-FR"/>
        </w:rPr>
        <w:fldChar w:fldCharType="end"/>
      </w:r>
      <w:bookmarkEnd w:id="34"/>
      <w:r w:rsidRPr="00A2551C">
        <w:rPr>
          <w:lang w:val="fr-FR"/>
        </w:rPr>
        <w:t xml:space="preserve">.  Dans ses observations du 23 octobre 2017, le requérant a détaillé son grief quant aux conditions de détention dans la colonie pénitentiaire. Il décrit </w:t>
      </w:r>
      <w:r w:rsidRPr="00A2551C" w:rsidR="0024484F">
        <w:rPr>
          <w:lang w:val="fr-FR"/>
        </w:rPr>
        <w:t>ces conditions de détention comme suit</w:t>
      </w:r>
      <w:r w:rsidRPr="00A2551C">
        <w:rPr>
          <w:lang w:val="fr-FR"/>
        </w:rPr>
        <w:t> : du 6 au 13 novembre 2011, il a été détenu seul dans une cellule de quarantaine dans le bâtiment n</w:t>
      </w:r>
      <w:r w:rsidRPr="00A2551C">
        <w:rPr>
          <w:vertAlign w:val="superscript"/>
          <w:lang w:val="fr-FR"/>
        </w:rPr>
        <w:t>o</w:t>
      </w:r>
      <w:r w:rsidRPr="00A2551C">
        <w:rPr>
          <w:lang w:val="fr-FR"/>
        </w:rPr>
        <w:t> 2 ; du 13 au 18 novembre 2011, il a été détenu seul dans une cellule ordinaire dans le bâtiment n</w:t>
      </w:r>
      <w:r w:rsidRPr="00A2551C">
        <w:rPr>
          <w:vertAlign w:val="superscript"/>
          <w:lang w:val="fr-FR"/>
        </w:rPr>
        <w:t>o</w:t>
      </w:r>
      <w:r w:rsidRPr="00A2551C">
        <w:rPr>
          <w:lang w:val="fr-FR"/>
        </w:rPr>
        <w:t xml:space="preserve"> 1 ; le 13 novembre 2011, il </w:t>
      </w:r>
      <w:r w:rsidRPr="00A2551C" w:rsidR="00EC6BDF">
        <w:rPr>
          <w:lang w:val="fr-FR"/>
        </w:rPr>
        <w:t xml:space="preserve">a </w:t>
      </w:r>
      <w:r w:rsidRPr="00A2551C">
        <w:rPr>
          <w:lang w:val="fr-FR"/>
        </w:rPr>
        <w:t>été placé avec deux autres détenus, O.D. et D., dans une cellule m</w:t>
      </w:r>
      <w:r w:rsidRPr="00A2551C" w:rsidR="004E27F1">
        <w:rPr>
          <w:lang w:val="fr-FR"/>
        </w:rPr>
        <w:t xml:space="preserve">esurant 14 m² située </w:t>
      </w:r>
      <w:r w:rsidRPr="00A2551C" w:rsidR="00C85875">
        <w:rPr>
          <w:lang w:val="fr-FR"/>
        </w:rPr>
        <w:t>au</w:t>
      </w:r>
      <w:r w:rsidRPr="00A2551C" w:rsidR="004E27F1">
        <w:rPr>
          <w:lang w:val="fr-FR"/>
        </w:rPr>
        <w:t xml:space="preserve"> rez</w:t>
      </w:r>
      <w:r w:rsidRPr="00A2551C" w:rsidR="004E27F1">
        <w:rPr>
          <w:lang w:val="fr-FR"/>
        </w:rPr>
        <w:noBreakHyphen/>
        <w:t>de</w:t>
      </w:r>
      <w:r w:rsidRPr="00A2551C" w:rsidR="004E27F1">
        <w:rPr>
          <w:lang w:val="fr-FR"/>
        </w:rPr>
        <w:noBreakHyphen/>
      </w:r>
      <w:r w:rsidRPr="00A2551C">
        <w:rPr>
          <w:lang w:val="fr-FR"/>
        </w:rPr>
        <w:t>chaussée d</w:t>
      </w:r>
      <w:r w:rsidRPr="00A2551C" w:rsidR="00EC6BDF">
        <w:rPr>
          <w:lang w:val="fr-FR"/>
        </w:rPr>
        <w:t>u</w:t>
      </w:r>
      <w:r w:rsidRPr="00A2551C">
        <w:rPr>
          <w:lang w:val="fr-FR"/>
        </w:rPr>
        <w:t xml:space="preserve"> bâtiment n</w:t>
      </w:r>
      <w:r w:rsidRPr="00A2551C">
        <w:rPr>
          <w:vertAlign w:val="superscript"/>
          <w:lang w:val="fr-FR"/>
        </w:rPr>
        <w:t>o</w:t>
      </w:r>
      <w:r w:rsidRPr="00A2551C">
        <w:rPr>
          <w:lang w:val="fr-FR"/>
        </w:rPr>
        <w:t xml:space="preserve"> 1 et y est </w:t>
      </w:r>
      <w:r w:rsidRPr="00A2551C" w:rsidR="00C85875">
        <w:rPr>
          <w:lang w:val="fr-FR"/>
        </w:rPr>
        <w:t xml:space="preserve">resté </w:t>
      </w:r>
      <w:r w:rsidRPr="00A2551C">
        <w:rPr>
          <w:lang w:val="fr-FR"/>
        </w:rPr>
        <w:t xml:space="preserve">six mois ; il a été ensuite transféré dans une autre cellule mesurant 8,2 m² et située </w:t>
      </w:r>
      <w:r w:rsidRPr="00A2551C" w:rsidR="00C85875">
        <w:rPr>
          <w:lang w:val="fr-FR"/>
        </w:rPr>
        <w:t>au</w:t>
      </w:r>
      <w:r w:rsidRPr="00A2551C" w:rsidR="004E27F1">
        <w:rPr>
          <w:lang w:val="fr-FR"/>
        </w:rPr>
        <w:t xml:space="preserve"> rez</w:t>
      </w:r>
      <w:r w:rsidRPr="00A2551C" w:rsidR="004E27F1">
        <w:rPr>
          <w:lang w:val="fr-FR"/>
        </w:rPr>
        <w:noBreakHyphen/>
        <w:t>de</w:t>
      </w:r>
      <w:r w:rsidRPr="00A2551C" w:rsidR="004E27F1">
        <w:rPr>
          <w:lang w:val="fr-FR"/>
        </w:rPr>
        <w:noBreakHyphen/>
      </w:r>
      <w:r w:rsidRPr="00A2551C" w:rsidR="00570E54">
        <w:rPr>
          <w:lang w:val="fr-FR"/>
        </w:rPr>
        <w:t xml:space="preserve">chaussée </w:t>
      </w:r>
      <w:r w:rsidRPr="00A2551C" w:rsidR="00EC6BDF">
        <w:rPr>
          <w:lang w:val="fr-FR"/>
        </w:rPr>
        <w:t>du</w:t>
      </w:r>
      <w:r w:rsidRPr="00A2551C">
        <w:rPr>
          <w:lang w:val="fr-FR"/>
        </w:rPr>
        <w:t xml:space="preserve"> bâtiment n</w:t>
      </w:r>
      <w:r w:rsidRPr="00A2551C">
        <w:rPr>
          <w:vertAlign w:val="superscript"/>
          <w:lang w:val="fr-FR"/>
        </w:rPr>
        <w:t>o </w:t>
      </w:r>
      <w:r w:rsidRPr="00A2551C">
        <w:rPr>
          <w:lang w:val="fr-FR"/>
        </w:rPr>
        <w:t xml:space="preserve">2 dans laquelle il </w:t>
      </w:r>
      <w:r w:rsidRPr="00A2551C" w:rsidR="00C85875">
        <w:rPr>
          <w:lang w:val="fr-FR"/>
        </w:rPr>
        <w:t>a été</w:t>
      </w:r>
      <w:r w:rsidRPr="00A2551C">
        <w:rPr>
          <w:lang w:val="fr-FR"/>
        </w:rPr>
        <w:t xml:space="preserve"> détenu avec une </w:t>
      </w:r>
      <w:r w:rsidRPr="00A2551C" w:rsidR="00C85875">
        <w:rPr>
          <w:lang w:val="fr-FR"/>
        </w:rPr>
        <w:t xml:space="preserve">autre </w:t>
      </w:r>
      <w:r w:rsidRPr="00A2551C">
        <w:rPr>
          <w:lang w:val="fr-FR"/>
        </w:rPr>
        <w:t>personne,</w:t>
      </w:r>
      <w:r w:rsidRPr="00A2551C" w:rsidR="00C85875">
        <w:rPr>
          <w:lang w:val="fr-FR"/>
        </w:rPr>
        <w:t xml:space="preserve"> </w:t>
      </w:r>
      <w:r w:rsidRPr="00A2551C">
        <w:rPr>
          <w:lang w:val="fr-FR"/>
        </w:rPr>
        <w:t>F.D., jusqu</w:t>
      </w:r>
      <w:r w:rsidRPr="00A2551C" w:rsidR="00A2551C">
        <w:rPr>
          <w:lang w:val="fr-FR"/>
        </w:rPr>
        <w:t>’</w:t>
      </w:r>
      <w:r w:rsidRPr="00A2551C">
        <w:rPr>
          <w:lang w:val="fr-FR"/>
        </w:rPr>
        <w:t>au 25 novembre 2013.</w:t>
      </w:r>
    </w:p>
    <w:bookmarkStart w:name="condcreq3" w:id="35"/>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65</w:t>
      </w:r>
      <w:r w:rsidRPr="00A2551C">
        <w:rPr>
          <w:lang w:val="fr-FR"/>
        </w:rPr>
        <w:fldChar w:fldCharType="end"/>
      </w:r>
      <w:bookmarkEnd w:id="35"/>
      <w:r w:rsidRPr="00A2551C">
        <w:rPr>
          <w:lang w:val="fr-FR"/>
        </w:rPr>
        <w:t>.  S</w:t>
      </w:r>
      <w:r w:rsidRPr="00A2551C" w:rsidR="00A2551C">
        <w:rPr>
          <w:lang w:val="fr-FR"/>
        </w:rPr>
        <w:t>’</w:t>
      </w:r>
      <w:r w:rsidRPr="00A2551C">
        <w:rPr>
          <w:lang w:val="fr-FR"/>
        </w:rPr>
        <w:t>agissant des photos d</w:t>
      </w:r>
      <w:r w:rsidRPr="00A2551C" w:rsidR="004E27F1">
        <w:rPr>
          <w:lang w:val="fr-FR"/>
        </w:rPr>
        <w:t>e</w:t>
      </w:r>
      <w:r w:rsidRPr="00A2551C">
        <w:rPr>
          <w:lang w:val="fr-FR"/>
        </w:rPr>
        <w:t xml:space="preserve"> la cellule n</w:t>
      </w:r>
      <w:r w:rsidRPr="00A2551C">
        <w:rPr>
          <w:vertAlign w:val="superscript"/>
          <w:lang w:val="fr-FR"/>
        </w:rPr>
        <w:t>o </w:t>
      </w:r>
      <w:r w:rsidRPr="00A2551C">
        <w:rPr>
          <w:lang w:val="fr-FR"/>
        </w:rPr>
        <w:t>66 soumises par le Gouvernement, le requérant indiqu</w:t>
      </w:r>
      <w:r w:rsidRPr="00A2551C" w:rsidR="00997719">
        <w:rPr>
          <w:lang w:val="fr-FR"/>
        </w:rPr>
        <w:t>e</w:t>
      </w:r>
      <w:r w:rsidRPr="00A2551C">
        <w:rPr>
          <w:lang w:val="fr-FR"/>
        </w:rPr>
        <w:t xml:space="preserve"> que</w:t>
      </w:r>
      <w:r w:rsidRPr="00A2551C" w:rsidR="00997719">
        <w:rPr>
          <w:lang w:val="fr-FR"/>
        </w:rPr>
        <w:t>,</w:t>
      </w:r>
      <w:r w:rsidRPr="00A2551C">
        <w:rPr>
          <w:lang w:val="fr-FR"/>
        </w:rPr>
        <w:t xml:space="preserve"> pendant son séjour dans ladite cellule</w:t>
      </w:r>
      <w:r w:rsidRPr="00A2551C" w:rsidR="00997719">
        <w:rPr>
          <w:lang w:val="fr-FR"/>
        </w:rPr>
        <w:t>,</w:t>
      </w:r>
      <w:r w:rsidRPr="00A2551C">
        <w:rPr>
          <w:lang w:val="fr-FR"/>
        </w:rPr>
        <w:t xml:space="preserve"> il n</w:t>
      </w:r>
      <w:r w:rsidRPr="00A2551C" w:rsidR="00A2551C">
        <w:rPr>
          <w:lang w:val="fr-FR"/>
        </w:rPr>
        <w:t>’</w:t>
      </w:r>
      <w:r w:rsidRPr="00A2551C">
        <w:rPr>
          <w:lang w:val="fr-FR"/>
        </w:rPr>
        <w:t>y avait pas de récipients d</w:t>
      </w:r>
      <w:r w:rsidRPr="00A2551C" w:rsidR="00A2551C">
        <w:rPr>
          <w:lang w:val="fr-FR"/>
        </w:rPr>
        <w:t>’</w:t>
      </w:r>
      <w:r w:rsidRPr="00A2551C">
        <w:rPr>
          <w:lang w:val="fr-FR"/>
        </w:rPr>
        <w:t>eau potable ni d</w:t>
      </w:r>
      <w:r w:rsidRPr="00A2551C" w:rsidR="00A2551C">
        <w:rPr>
          <w:lang w:val="fr-FR"/>
        </w:rPr>
        <w:t>’</w:t>
      </w:r>
      <w:r w:rsidRPr="00A2551C">
        <w:rPr>
          <w:lang w:val="fr-FR"/>
        </w:rPr>
        <w:t>interphone</w:t>
      </w:r>
      <w:r w:rsidRPr="00A2551C" w:rsidR="00997719">
        <w:rPr>
          <w:lang w:val="fr-FR"/>
        </w:rPr>
        <w:t xml:space="preserve"> dans celle-ci</w:t>
      </w:r>
      <w:r w:rsidRPr="00A2551C">
        <w:rPr>
          <w:lang w:val="fr-FR"/>
        </w:rPr>
        <w:t xml:space="preserve">. Il </w:t>
      </w:r>
      <w:r w:rsidRPr="00A2551C" w:rsidR="00997719">
        <w:rPr>
          <w:lang w:val="fr-FR"/>
        </w:rPr>
        <w:t>soutient également</w:t>
      </w:r>
      <w:r w:rsidRPr="00A2551C">
        <w:rPr>
          <w:lang w:val="fr-FR"/>
        </w:rPr>
        <w:t xml:space="preserve"> que la puissance des ampoules ne dépassait pas 60 watts.</w:t>
      </w:r>
    </w:p>
    <w:bookmarkStart w:name="condcreq4" w:id="36"/>
    <w:p w:rsidRPr="00A2551C" w:rsidR="00F21820" w:rsidP="00A2551C" w:rsidRDefault="00F2182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66</w:t>
      </w:r>
      <w:r w:rsidRPr="00A2551C">
        <w:rPr>
          <w:lang w:val="fr-FR"/>
        </w:rPr>
        <w:fldChar w:fldCharType="end"/>
      </w:r>
      <w:bookmarkEnd w:id="36"/>
      <w:r w:rsidRPr="00A2551C">
        <w:rPr>
          <w:lang w:val="fr-FR"/>
        </w:rPr>
        <w:t>.  À l</w:t>
      </w:r>
      <w:r w:rsidRPr="00A2551C" w:rsidR="00A2551C">
        <w:rPr>
          <w:lang w:val="fr-FR"/>
        </w:rPr>
        <w:t>’</w:t>
      </w:r>
      <w:r w:rsidRPr="00A2551C">
        <w:rPr>
          <w:lang w:val="fr-FR"/>
        </w:rPr>
        <w:t>appui de sa version, le requérant a soumis les documents suivants :</w:t>
      </w:r>
    </w:p>
    <w:p w:rsidRPr="00A2551C" w:rsidR="0076324D" w:rsidP="00A2551C" w:rsidRDefault="00997719">
      <w:pPr>
        <w:pStyle w:val="ECHRPara"/>
        <w:rPr>
          <w:lang w:val="fr-FR"/>
        </w:rPr>
      </w:pPr>
      <w:r w:rsidRPr="00A2551C">
        <w:rPr>
          <w:lang w:val="fr-FR"/>
        </w:rPr>
        <w:t>–  </w:t>
      </w:r>
      <w:r w:rsidRPr="00A2551C" w:rsidR="00F21820">
        <w:rPr>
          <w:lang w:val="fr-FR"/>
        </w:rPr>
        <w:t xml:space="preserve">une lettre </w:t>
      </w:r>
      <w:r w:rsidRPr="00A2551C">
        <w:rPr>
          <w:lang w:val="fr-FR"/>
        </w:rPr>
        <w:t xml:space="preserve">rédigée </w:t>
      </w:r>
      <w:r w:rsidRPr="00A2551C" w:rsidR="004E27F1">
        <w:rPr>
          <w:lang w:val="fr-FR"/>
        </w:rPr>
        <w:t xml:space="preserve">le 7 décembre 2012 par </w:t>
      </w:r>
      <w:r w:rsidRPr="00A2551C" w:rsidR="00F21820">
        <w:rPr>
          <w:lang w:val="fr-FR"/>
        </w:rPr>
        <w:t>B., membre d</w:t>
      </w:r>
      <w:r w:rsidRPr="00A2551C" w:rsidR="00A2551C">
        <w:rPr>
          <w:lang w:val="fr-FR"/>
        </w:rPr>
        <w:t>’</w:t>
      </w:r>
      <w:r w:rsidRPr="00A2551C" w:rsidR="00F21820">
        <w:rPr>
          <w:lang w:val="fr-FR"/>
        </w:rPr>
        <w:t xml:space="preserve">une </w:t>
      </w:r>
      <w:r w:rsidRPr="00A2551C" w:rsidR="005D333F">
        <w:rPr>
          <w:lang w:val="fr-FR"/>
        </w:rPr>
        <w:t xml:space="preserve">organisation non gouvernementale </w:t>
      </w:r>
      <w:r w:rsidRPr="00A2551C" w:rsidR="00F21820">
        <w:rPr>
          <w:lang w:val="fr-FR"/>
        </w:rPr>
        <w:t xml:space="preserve">et défenseur du requérant, dans laquelle </w:t>
      </w:r>
      <w:r w:rsidRPr="00A2551C">
        <w:rPr>
          <w:lang w:val="fr-FR"/>
        </w:rPr>
        <w:t>celui-ci faisait part de</w:t>
      </w:r>
      <w:r w:rsidRPr="00A2551C" w:rsidR="00F21820">
        <w:rPr>
          <w:lang w:val="fr-FR"/>
        </w:rPr>
        <w:t xml:space="preserve"> ses observations sur l</w:t>
      </w:r>
      <w:r w:rsidRPr="00A2551C" w:rsidR="00A2551C">
        <w:rPr>
          <w:lang w:val="fr-FR"/>
        </w:rPr>
        <w:t>’</w:t>
      </w:r>
      <w:r w:rsidRPr="00A2551C" w:rsidR="00F21820">
        <w:rPr>
          <w:lang w:val="fr-FR"/>
        </w:rPr>
        <w:t xml:space="preserve">état des cellules dans la colonie </w:t>
      </w:r>
      <w:r w:rsidRPr="00A2551C" w:rsidR="00231AB5">
        <w:rPr>
          <w:lang w:val="fr-FR"/>
        </w:rPr>
        <w:t xml:space="preserve">pénitentiaire </w:t>
      </w:r>
      <w:r w:rsidRPr="00A2551C" w:rsidR="00F21820">
        <w:rPr>
          <w:lang w:val="fr-FR"/>
        </w:rPr>
        <w:t xml:space="preserve">lors de </w:t>
      </w:r>
      <w:r w:rsidRPr="00A2551C">
        <w:rPr>
          <w:lang w:val="fr-FR"/>
        </w:rPr>
        <w:t xml:space="preserve">sa </w:t>
      </w:r>
      <w:r w:rsidRPr="00A2551C" w:rsidR="00F21820">
        <w:rPr>
          <w:lang w:val="fr-FR"/>
        </w:rPr>
        <w:t>visite du requérant du 9 octobre 2012 ;</w:t>
      </w:r>
    </w:p>
    <w:p w:rsidRPr="00A2551C" w:rsidR="00F21820" w:rsidP="00A2551C" w:rsidRDefault="00997719">
      <w:pPr>
        <w:pStyle w:val="ECHRPara"/>
        <w:rPr>
          <w:lang w:val="fr-FR"/>
        </w:rPr>
      </w:pPr>
      <w:r w:rsidRPr="00A2551C">
        <w:rPr>
          <w:lang w:val="fr-FR"/>
        </w:rPr>
        <w:t>–  </w:t>
      </w:r>
      <w:r w:rsidRPr="00A2551C" w:rsidR="00F21820">
        <w:rPr>
          <w:lang w:val="fr-FR"/>
        </w:rPr>
        <w:t xml:space="preserve">une lettre </w:t>
      </w:r>
      <w:r w:rsidRPr="00A2551C">
        <w:rPr>
          <w:lang w:val="fr-FR"/>
        </w:rPr>
        <w:t xml:space="preserve">rédigée </w:t>
      </w:r>
      <w:r w:rsidRPr="00A2551C" w:rsidR="004E27F1">
        <w:rPr>
          <w:lang w:val="fr-FR"/>
        </w:rPr>
        <w:t>le 5 décembre 2012 par</w:t>
      </w:r>
      <w:r w:rsidRPr="00A2551C" w:rsidR="00F21820">
        <w:rPr>
          <w:lang w:val="fr-FR"/>
        </w:rPr>
        <w:t xml:space="preserve"> F., </w:t>
      </w:r>
      <w:r w:rsidRPr="00A2551C">
        <w:rPr>
          <w:lang w:val="fr-FR"/>
        </w:rPr>
        <w:t>l</w:t>
      </w:r>
      <w:r w:rsidRPr="00A2551C" w:rsidR="00A2551C">
        <w:rPr>
          <w:lang w:val="fr-FR"/>
        </w:rPr>
        <w:t>’</w:t>
      </w:r>
      <w:r w:rsidRPr="00A2551C" w:rsidR="00F21820">
        <w:rPr>
          <w:lang w:val="fr-FR"/>
        </w:rPr>
        <w:t xml:space="preserve">un des avocats du requérant, dans laquelle </w:t>
      </w:r>
      <w:r w:rsidRPr="00A2551C">
        <w:rPr>
          <w:lang w:val="fr-FR"/>
        </w:rPr>
        <w:t>celui-ci décrivait</w:t>
      </w:r>
      <w:r w:rsidRPr="00A2551C" w:rsidR="00F21820">
        <w:rPr>
          <w:lang w:val="fr-FR"/>
        </w:rPr>
        <w:t xml:space="preserve"> ses observations sur l</w:t>
      </w:r>
      <w:r w:rsidRPr="00A2551C" w:rsidR="00A2551C">
        <w:rPr>
          <w:lang w:val="fr-FR"/>
        </w:rPr>
        <w:t>’</w:t>
      </w:r>
      <w:r w:rsidRPr="00A2551C" w:rsidR="00F21820">
        <w:rPr>
          <w:lang w:val="fr-FR"/>
        </w:rPr>
        <w:t xml:space="preserve">état des cellules </w:t>
      </w:r>
      <w:r w:rsidRPr="00A2551C" w:rsidR="00EC6BDF">
        <w:rPr>
          <w:lang w:val="fr-FR"/>
        </w:rPr>
        <w:t xml:space="preserve">dans la colonie </w:t>
      </w:r>
      <w:r w:rsidRPr="00A2551C" w:rsidR="00231AB5">
        <w:rPr>
          <w:lang w:val="fr-FR"/>
        </w:rPr>
        <w:t xml:space="preserve">pénitentiaire </w:t>
      </w:r>
      <w:r w:rsidRPr="00A2551C" w:rsidR="00F21820">
        <w:rPr>
          <w:lang w:val="fr-FR"/>
        </w:rPr>
        <w:t xml:space="preserve">lors </w:t>
      </w:r>
      <w:r w:rsidRPr="00A2551C">
        <w:rPr>
          <w:lang w:val="fr-FR"/>
        </w:rPr>
        <w:t xml:space="preserve">de ses </w:t>
      </w:r>
      <w:r w:rsidRPr="00A2551C" w:rsidR="00F21820">
        <w:rPr>
          <w:lang w:val="fr-FR"/>
        </w:rPr>
        <w:t xml:space="preserve">visites </w:t>
      </w:r>
      <w:r w:rsidRPr="00A2551C">
        <w:rPr>
          <w:lang w:val="fr-FR"/>
        </w:rPr>
        <w:t>d</w:t>
      </w:r>
      <w:r w:rsidRPr="00A2551C" w:rsidR="00F21820">
        <w:rPr>
          <w:lang w:val="fr-FR"/>
        </w:rPr>
        <w:t>u requérant à partir du mois de novembre 2011.</w:t>
      </w:r>
    </w:p>
    <w:p w:rsidRPr="00A2551C" w:rsidR="0014248D" w:rsidP="00A2551C" w:rsidRDefault="008D6176">
      <w:pPr>
        <w:pStyle w:val="ECHRHeading3"/>
        <w:rPr>
          <w:lang w:val="fr-FR"/>
        </w:rPr>
      </w:pPr>
      <w:r w:rsidRPr="00A2551C">
        <w:rPr>
          <w:lang w:val="fr-FR"/>
        </w:rPr>
        <w:t>2.</w:t>
      </w:r>
      <w:r w:rsidRPr="00A2551C" w:rsidR="00B51897">
        <w:rPr>
          <w:lang w:val="fr-FR"/>
        </w:rPr>
        <w:t>  </w:t>
      </w:r>
      <w:r w:rsidRPr="00A2551C" w:rsidR="00F21820">
        <w:rPr>
          <w:lang w:val="fr-FR"/>
        </w:rPr>
        <w:t>Appréciation de la Cour</w:t>
      </w:r>
    </w:p>
    <w:p w:rsidRPr="00A2551C" w:rsidR="0076324D" w:rsidP="00A2551C" w:rsidRDefault="00017B9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67</w:t>
      </w:r>
      <w:r w:rsidRPr="00A2551C">
        <w:rPr>
          <w:lang w:val="fr-FR"/>
        </w:rPr>
        <w:fldChar w:fldCharType="end"/>
      </w:r>
      <w:r w:rsidRPr="00A2551C">
        <w:rPr>
          <w:lang w:val="fr-FR"/>
        </w:rPr>
        <w:t xml:space="preserve">.  La </w:t>
      </w:r>
      <w:r w:rsidRPr="00A2551C" w:rsidR="00585825">
        <w:rPr>
          <w:lang w:val="fr-FR"/>
        </w:rPr>
        <w:t>Cour observe que les parties sont en désaccord sur plusieurs aspects des conditions de détention du requérant</w:t>
      </w:r>
      <w:r w:rsidRPr="00A2551C" w:rsidR="0096212D">
        <w:rPr>
          <w:lang w:val="fr-FR"/>
        </w:rPr>
        <w:t xml:space="preserve"> et notamment sur</w:t>
      </w:r>
      <w:r w:rsidRPr="00A2551C" w:rsidR="00585825">
        <w:rPr>
          <w:lang w:val="fr-FR"/>
        </w:rPr>
        <w:t xml:space="preserve"> l</w:t>
      </w:r>
      <w:r w:rsidRPr="00A2551C" w:rsidR="00AA760A">
        <w:rPr>
          <w:lang w:val="fr-FR"/>
        </w:rPr>
        <w:t>e nombre de</w:t>
      </w:r>
      <w:r w:rsidRPr="00A2551C" w:rsidR="00585825">
        <w:rPr>
          <w:lang w:val="fr-FR"/>
        </w:rPr>
        <w:t xml:space="preserve"> cellules dans lesquelles le requérant </w:t>
      </w:r>
      <w:r w:rsidRPr="00A2551C" w:rsidR="0096212D">
        <w:rPr>
          <w:lang w:val="fr-FR"/>
        </w:rPr>
        <w:t xml:space="preserve">a </w:t>
      </w:r>
      <w:r w:rsidRPr="00A2551C" w:rsidR="00585825">
        <w:rPr>
          <w:lang w:val="fr-FR"/>
        </w:rPr>
        <w:t>été détenu,</w:t>
      </w:r>
      <w:r w:rsidRPr="00A2551C" w:rsidR="00AA760A">
        <w:rPr>
          <w:lang w:val="fr-FR"/>
        </w:rPr>
        <w:t xml:space="preserve"> l</w:t>
      </w:r>
      <w:r w:rsidRPr="00A2551C" w:rsidR="00585825">
        <w:rPr>
          <w:lang w:val="fr-FR"/>
        </w:rPr>
        <w:t xml:space="preserve">es périodes </w:t>
      </w:r>
      <w:r w:rsidRPr="00A2551C" w:rsidR="0096212D">
        <w:rPr>
          <w:lang w:val="fr-FR"/>
        </w:rPr>
        <w:t>durant lesquelles il y a été détenu et</w:t>
      </w:r>
      <w:r w:rsidRPr="00A2551C" w:rsidR="00AA760A">
        <w:rPr>
          <w:lang w:val="fr-FR"/>
        </w:rPr>
        <w:t xml:space="preserve"> le nombre de </w:t>
      </w:r>
      <w:r w:rsidRPr="00A2551C" w:rsidR="0096212D">
        <w:rPr>
          <w:lang w:val="fr-FR"/>
        </w:rPr>
        <w:t>ses codétenus</w:t>
      </w:r>
      <w:r w:rsidRPr="00A2551C" w:rsidR="00AA760A">
        <w:rPr>
          <w:lang w:val="fr-FR"/>
        </w:rPr>
        <w:t xml:space="preserve">. </w:t>
      </w:r>
      <w:r w:rsidRPr="00A2551C" w:rsidR="00585825">
        <w:rPr>
          <w:lang w:val="fr-FR"/>
        </w:rPr>
        <w:t xml:space="preserve">Cependant, elle </w:t>
      </w:r>
      <w:r w:rsidRPr="00A2551C" w:rsidR="0096212D">
        <w:rPr>
          <w:lang w:val="fr-FR"/>
        </w:rPr>
        <w:t>considère qu</w:t>
      </w:r>
      <w:r w:rsidRPr="00A2551C" w:rsidR="00A2551C">
        <w:rPr>
          <w:lang w:val="fr-FR"/>
        </w:rPr>
        <w:t>’</w:t>
      </w:r>
      <w:r w:rsidRPr="00A2551C" w:rsidR="0096212D">
        <w:rPr>
          <w:lang w:val="fr-FR"/>
        </w:rPr>
        <w:t>il n</w:t>
      </w:r>
      <w:r w:rsidRPr="00A2551C" w:rsidR="00A2551C">
        <w:rPr>
          <w:lang w:val="fr-FR"/>
        </w:rPr>
        <w:t>’</w:t>
      </w:r>
      <w:r w:rsidRPr="00A2551C" w:rsidR="0096212D">
        <w:rPr>
          <w:lang w:val="fr-FR"/>
        </w:rPr>
        <w:t xml:space="preserve">est </w:t>
      </w:r>
      <w:r w:rsidRPr="00A2551C" w:rsidR="00585825">
        <w:rPr>
          <w:lang w:val="fr-FR"/>
        </w:rPr>
        <w:t>pas nécessaire d</w:t>
      </w:r>
      <w:r w:rsidRPr="00A2551C" w:rsidR="00A2551C">
        <w:rPr>
          <w:lang w:val="fr-FR"/>
        </w:rPr>
        <w:t>’</w:t>
      </w:r>
      <w:r w:rsidRPr="00A2551C" w:rsidR="00585825">
        <w:rPr>
          <w:lang w:val="fr-FR"/>
        </w:rPr>
        <w:t>établir la véracité de chaque élément litigieux</w:t>
      </w:r>
      <w:r w:rsidRPr="00A2551C" w:rsidR="00AA760A">
        <w:rPr>
          <w:lang w:val="fr-FR"/>
        </w:rPr>
        <w:t xml:space="preserve"> car elle </w:t>
      </w:r>
      <w:r w:rsidRPr="00A2551C" w:rsidR="0096212D">
        <w:rPr>
          <w:lang w:val="fr-FR"/>
        </w:rPr>
        <w:t xml:space="preserve">estime que </w:t>
      </w:r>
      <w:r w:rsidRPr="00A2551C" w:rsidR="00AA760A">
        <w:rPr>
          <w:lang w:val="fr-FR"/>
        </w:rPr>
        <w:t xml:space="preserve">le grief </w:t>
      </w:r>
      <w:r w:rsidRPr="00A2551C" w:rsidR="0096212D">
        <w:rPr>
          <w:lang w:val="fr-FR"/>
        </w:rPr>
        <w:t xml:space="preserve">est </w:t>
      </w:r>
      <w:r w:rsidRPr="00A2551C" w:rsidR="00AA760A">
        <w:rPr>
          <w:lang w:val="fr-FR"/>
        </w:rPr>
        <w:t xml:space="preserve">manifestement mal fondé </w:t>
      </w:r>
      <w:r w:rsidRPr="00A2551C" w:rsidR="0096212D">
        <w:rPr>
          <w:lang w:val="fr-FR"/>
        </w:rPr>
        <w:t xml:space="preserve">pour les </w:t>
      </w:r>
      <w:r w:rsidRPr="00A2551C" w:rsidR="00AA760A">
        <w:rPr>
          <w:lang w:val="fr-FR"/>
        </w:rPr>
        <w:t>motifs suivants.</w:t>
      </w:r>
    </w:p>
    <w:p w:rsidRPr="00A2551C" w:rsidR="0076324D" w:rsidP="00A2551C" w:rsidRDefault="00AA760A">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68</w:t>
      </w:r>
      <w:r w:rsidRPr="00A2551C">
        <w:rPr>
          <w:lang w:val="fr-FR"/>
        </w:rPr>
        <w:fldChar w:fldCharType="end"/>
      </w:r>
      <w:r w:rsidRPr="00A2551C">
        <w:rPr>
          <w:lang w:val="fr-FR"/>
        </w:rPr>
        <w:t xml:space="preserve">.  La Cour rappelle </w:t>
      </w:r>
      <w:r w:rsidRPr="00A2551C" w:rsidR="00F033B5">
        <w:rPr>
          <w:lang w:val="fr-FR"/>
        </w:rPr>
        <w:t>qu</w:t>
      </w:r>
      <w:r w:rsidRPr="00A2551C" w:rsidR="00A2551C">
        <w:rPr>
          <w:lang w:val="fr-FR"/>
        </w:rPr>
        <w:t>’</w:t>
      </w:r>
      <w:r w:rsidRPr="00A2551C" w:rsidR="00F033B5">
        <w:rPr>
          <w:lang w:val="fr-FR"/>
        </w:rPr>
        <w:t>elle tient particulièrement compte des difficultés objectives auxquelles se heurtent les requérants lorsqu</w:t>
      </w:r>
      <w:r w:rsidRPr="00A2551C" w:rsidR="00A2551C">
        <w:rPr>
          <w:lang w:val="fr-FR"/>
        </w:rPr>
        <w:t>’</w:t>
      </w:r>
      <w:r w:rsidRPr="00A2551C" w:rsidR="00F033B5">
        <w:rPr>
          <w:lang w:val="fr-FR"/>
        </w:rPr>
        <w:t>il leur faut recueillir des preuves à l</w:t>
      </w:r>
      <w:r w:rsidRPr="00A2551C" w:rsidR="00A2551C">
        <w:rPr>
          <w:lang w:val="fr-FR"/>
        </w:rPr>
        <w:t>’</w:t>
      </w:r>
      <w:r w:rsidRPr="00A2551C" w:rsidR="00F033B5">
        <w:rPr>
          <w:lang w:val="fr-FR"/>
        </w:rPr>
        <w:t>appui de leurs allégations relatives à leurs conditions de détention, mais que les intéressés doivent toutefois fournir un récit détaillé et cohérent des circonstances dont ils se plaignent (</w:t>
      </w:r>
      <w:proofErr w:type="spellStart"/>
      <w:r w:rsidRPr="00A2551C" w:rsidR="00F033B5">
        <w:rPr>
          <w:i/>
          <w:lang w:val="fr-FR"/>
        </w:rPr>
        <w:t>Muršić</w:t>
      </w:r>
      <w:proofErr w:type="spellEnd"/>
      <w:r w:rsidRPr="00A2551C" w:rsidR="00F033B5">
        <w:rPr>
          <w:i/>
          <w:lang w:val="fr-FR"/>
        </w:rPr>
        <w:t xml:space="preserve"> c. Croatie</w:t>
      </w:r>
      <w:r w:rsidRPr="00A2551C" w:rsidR="00F033B5">
        <w:rPr>
          <w:lang w:val="fr-FR"/>
        </w:rPr>
        <w:t xml:space="preserve"> [GC], n</w:t>
      </w:r>
      <w:r w:rsidRPr="00A2551C" w:rsidR="00F033B5">
        <w:rPr>
          <w:vertAlign w:val="superscript"/>
          <w:lang w:val="fr-FR"/>
        </w:rPr>
        <w:t>o</w:t>
      </w:r>
      <w:r w:rsidRPr="00A2551C" w:rsidR="007263BA">
        <w:rPr>
          <w:lang w:val="fr-FR"/>
        </w:rPr>
        <w:t> </w:t>
      </w:r>
      <w:r w:rsidRPr="00A2551C" w:rsidR="00F033B5">
        <w:rPr>
          <w:lang w:val="fr-FR"/>
        </w:rPr>
        <w:t>7334/13, § 127, 20 octobre 2016)</w:t>
      </w:r>
      <w:r w:rsidRPr="00A2551C" w:rsidR="008F2952">
        <w:rPr>
          <w:lang w:val="fr-FR"/>
        </w:rPr>
        <w:t>. Lorsque la description faite des conditions de détention supposément dégradantes est crédible et raisonnablement détaillée, de sorte qu</w:t>
      </w:r>
      <w:r w:rsidRPr="00A2551C" w:rsidR="00A2551C">
        <w:rPr>
          <w:lang w:val="fr-FR"/>
        </w:rPr>
        <w:t>’</w:t>
      </w:r>
      <w:r w:rsidRPr="00A2551C" w:rsidR="008F2952">
        <w:rPr>
          <w:lang w:val="fr-FR"/>
        </w:rPr>
        <w:t>elle constitue un commencement de preuve d</w:t>
      </w:r>
      <w:r w:rsidRPr="00A2551C" w:rsidR="00A2551C">
        <w:rPr>
          <w:lang w:val="fr-FR"/>
        </w:rPr>
        <w:t>’</w:t>
      </w:r>
      <w:r w:rsidRPr="00A2551C" w:rsidR="008F2952">
        <w:rPr>
          <w:lang w:val="fr-FR"/>
        </w:rPr>
        <w:t>un mauvais traitement, la charge de la preuve est transférée au gouvernement défendeur, qui est le seul à avoir accès aux informations susceptibles de confirmer ou d</w:t>
      </w:r>
      <w:r w:rsidRPr="00A2551C" w:rsidR="00A2551C">
        <w:rPr>
          <w:lang w:val="fr-FR"/>
        </w:rPr>
        <w:t>’</w:t>
      </w:r>
      <w:r w:rsidRPr="00A2551C" w:rsidR="008F2952">
        <w:rPr>
          <w:lang w:val="fr-FR"/>
        </w:rPr>
        <w:t>infirmer les allégations du requérant. Le gouvernement défendeur doit alors, notamment, recueillir et produire les documents pertinents et fournir une description détaillée des conditions de détention du requérant (</w:t>
      </w:r>
      <w:r w:rsidRPr="00A2551C" w:rsidR="008F2952">
        <w:rPr>
          <w:i/>
          <w:lang w:val="fr-FR"/>
        </w:rPr>
        <w:t>ibidem</w:t>
      </w:r>
      <w:r w:rsidRPr="00A2551C" w:rsidR="008F2952">
        <w:rPr>
          <w:lang w:val="fr-FR"/>
        </w:rPr>
        <w:t>).</w:t>
      </w:r>
    </w:p>
    <w:p w:rsidRPr="00A2551C" w:rsidR="00D629FD" w:rsidP="00A2551C" w:rsidRDefault="00730BB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69</w:t>
      </w:r>
      <w:r w:rsidRPr="00A2551C">
        <w:rPr>
          <w:lang w:val="fr-FR"/>
        </w:rPr>
        <w:fldChar w:fldCharType="end"/>
      </w:r>
      <w:r w:rsidRPr="00A2551C">
        <w:rPr>
          <w:lang w:val="fr-FR"/>
        </w:rPr>
        <w:t>.  En l</w:t>
      </w:r>
      <w:r w:rsidRPr="00A2551C" w:rsidR="00A2551C">
        <w:rPr>
          <w:lang w:val="fr-FR"/>
        </w:rPr>
        <w:t>’</w:t>
      </w:r>
      <w:r w:rsidRPr="00A2551C">
        <w:rPr>
          <w:lang w:val="fr-FR"/>
        </w:rPr>
        <w:t>espèce, la Cour relève que</w:t>
      </w:r>
      <w:r w:rsidRPr="00A2551C" w:rsidR="00A37D6A">
        <w:rPr>
          <w:lang w:val="fr-FR"/>
        </w:rPr>
        <w:t>,</w:t>
      </w:r>
      <w:r w:rsidRPr="00A2551C">
        <w:rPr>
          <w:lang w:val="fr-FR"/>
        </w:rPr>
        <w:t xml:space="preserve"> dans ses observations du 23 octobre 2017, le requérant n</w:t>
      </w:r>
      <w:r w:rsidRPr="00A2551C" w:rsidR="00A2551C">
        <w:rPr>
          <w:lang w:val="fr-FR"/>
        </w:rPr>
        <w:t>’</w:t>
      </w:r>
      <w:r w:rsidRPr="00A2551C">
        <w:rPr>
          <w:lang w:val="fr-FR"/>
        </w:rPr>
        <w:t xml:space="preserve">a pas contesté </w:t>
      </w:r>
      <w:r w:rsidRPr="00A2551C" w:rsidR="00A37D6A">
        <w:rPr>
          <w:lang w:val="fr-FR"/>
        </w:rPr>
        <w:t>l</w:t>
      </w:r>
      <w:r w:rsidRPr="00A2551C" w:rsidR="00A2551C">
        <w:rPr>
          <w:lang w:val="fr-FR"/>
        </w:rPr>
        <w:t>’</w:t>
      </w:r>
      <w:r w:rsidRPr="00A2551C" w:rsidR="00A37D6A">
        <w:rPr>
          <w:lang w:val="fr-FR"/>
        </w:rPr>
        <w:t xml:space="preserve">allégation </w:t>
      </w:r>
      <w:r w:rsidRPr="00A2551C">
        <w:rPr>
          <w:lang w:val="fr-FR"/>
        </w:rPr>
        <w:t xml:space="preserve">du Gouvernement selon laquelle </w:t>
      </w:r>
      <w:r w:rsidRPr="00A2551C" w:rsidR="00A37D6A">
        <w:rPr>
          <w:lang w:val="fr-FR"/>
        </w:rPr>
        <w:t xml:space="preserve">il </w:t>
      </w:r>
      <w:r w:rsidRPr="00A2551C">
        <w:rPr>
          <w:lang w:val="fr-FR"/>
        </w:rPr>
        <w:t>avait été détenu dans la cellule n</w:t>
      </w:r>
      <w:r w:rsidRPr="00A2551C">
        <w:rPr>
          <w:vertAlign w:val="superscript"/>
          <w:lang w:val="fr-FR"/>
        </w:rPr>
        <w:t>o</w:t>
      </w:r>
      <w:r w:rsidRPr="00A2551C">
        <w:rPr>
          <w:lang w:val="fr-FR"/>
        </w:rPr>
        <w:t xml:space="preserve"> 66 </w:t>
      </w:r>
      <w:r w:rsidRPr="00A2551C" w:rsidR="00A37D6A">
        <w:rPr>
          <w:lang w:val="fr-FR"/>
        </w:rPr>
        <w:t>du</w:t>
      </w:r>
      <w:r w:rsidRPr="00A2551C">
        <w:rPr>
          <w:lang w:val="fr-FR"/>
        </w:rPr>
        <w:t xml:space="preserve"> bâtiment n</w:t>
      </w:r>
      <w:r w:rsidRPr="00A2551C">
        <w:rPr>
          <w:vertAlign w:val="superscript"/>
          <w:lang w:val="fr-FR"/>
        </w:rPr>
        <w:t>o</w:t>
      </w:r>
      <w:r w:rsidRPr="00A2551C">
        <w:rPr>
          <w:lang w:val="fr-FR"/>
        </w:rPr>
        <w:t> </w:t>
      </w:r>
      <w:r w:rsidRPr="00A2551C" w:rsidR="002074AD">
        <w:rPr>
          <w:lang w:val="fr-FR"/>
        </w:rPr>
        <w:t xml:space="preserve">1 de la colonie pénitentiaire </w:t>
      </w:r>
      <w:r w:rsidRPr="00A2551C" w:rsidR="0024484F">
        <w:rPr>
          <w:lang w:val="fr-FR"/>
        </w:rPr>
        <w:t>et qu</w:t>
      </w:r>
      <w:r w:rsidRPr="00A2551C" w:rsidR="00A2551C">
        <w:rPr>
          <w:lang w:val="fr-FR"/>
        </w:rPr>
        <w:t>’</w:t>
      </w:r>
      <w:r w:rsidRPr="00A2551C" w:rsidR="0024484F">
        <w:rPr>
          <w:lang w:val="fr-FR"/>
        </w:rPr>
        <w:t>il n</w:t>
      </w:r>
      <w:r w:rsidRPr="00A2551C" w:rsidR="00A2551C">
        <w:rPr>
          <w:lang w:val="fr-FR"/>
        </w:rPr>
        <w:t>’</w:t>
      </w:r>
      <w:r w:rsidRPr="00A2551C" w:rsidR="0024484F">
        <w:rPr>
          <w:lang w:val="fr-FR"/>
        </w:rPr>
        <w:t>a pas non plus remis en cause</w:t>
      </w:r>
      <w:r w:rsidRPr="00A2551C" w:rsidR="002074AD">
        <w:rPr>
          <w:lang w:val="fr-FR"/>
        </w:rPr>
        <w:t xml:space="preserve"> l</w:t>
      </w:r>
      <w:r w:rsidRPr="00A2551C" w:rsidR="00A2551C">
        <w:rPr>
          <w:lang w:val="fr-FR"/>
        </w:rPr>
        <w:t>’</w:t>
      </w:r>
      <w:r w:rsidRPr="00A2551C" w:rsidR="002074AD">
        <w:rPr>
          <w:lang w:val="fr-FR"/>
        </w:rPr>
        <w:t xml:space="preserve">authenticité des photos de </w:t>
      </w:r>
      <w:r w:rsidRPr="00A2551C" w:rsidR="0024484F">
        <w:rPr>
          <w:lang w:val="fr-FR"/>
        </w:rPr>
        <w:t xml:space="preserve">cette </w:t>
      </w:r>
      <w:r w:rsidRPr="00A2551C" w:rsidR="002074AD">
        <w:rPr>
          <w:lang w:val="fr-FR"/>
        </w:rPr>
        <w:t>cellule soumises par le Gouvernement</w:t>
      </w:r>
      <w:r w:rsidRPr="00A2551C" w:rsidR="0064410F">
        <w:rPr>
          <w:lang w:val="fr-FR"/>
        </w:rPr>
        <w:t xml:space="preserve"> (paragraphes </w:t>
      </w:r>
      <w:r w:rsidRPr="00A2551C" w:rsidR="0064410F">
        <w:rPr>
          <w:lang w:val="fr-FR"/>
        </w:rPr>
        <w:fldChar w:fldCharType="begin"/>
      </w:r>
      <w:r w:rsidRPr="00A2551C" w:rsidR="0064410F">
        <w:rPr>
          <w:lang w:val="fr-FR"/>
        </w:rPr>
        <w:instrText xml:space="preserve"> REF condcgouv1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62</w:t>
      </w:r>
      <w:r w:rsidRPr="00A2551C" w:rsidR="0064410F">
        <w:rPr>
          <w:lang w:val="fr-FR"/>
        </w:rPr>
        <w:fldChar w:fldCharType="end"/>
      </w:r>
      <w:r w:rsidRPr="00A2551C" w:rsidR="0064410F">
        <w:rPr>
          <w:lang w:val="fr-FR"/>
        </w:rPr>
        <w:t xml:space="preserve"> et </w:t>
      </w:r>
      <w:r w:rsidRPr="00A2551C" w:rsidR="0064410F">
        <w:rPr>
          <w:lang w:val="fr-FR"/>
        </w:rPr>
        <w:fldChar w:fldCharType="begin"/>
      </w:r>
      <w:r w:rsidRPr="00A2551C" w:rsidR="0064410F">
        <w:rPr>
          <w:lang w:val="fr-FR"/>
        </w:rPr>
        <w:instrText xml:space="preserve"> REF condcreq2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64</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sidR="002074AD">
        <w:rPr>
          <w:lang w:val="fr-FR"/>
        </w:rPr>
        <w:t xml:space="preserve">. </w:t>
      </w:r>
      <w:r w:rsidRPr="00A2551C" w:rsidR="00A37D6A">
        <w:rPr>
          <w:lang w:val="fr-FR"/>
        </w:rPr>
        <w:t>Elle note que l</w:t>
      </w:r>
      <w:r w:rsidRPr="00A2551C" w:rsidR="002074AD">
        <w:rPr>
          <w:lang w:val="fr-FR"/>
        </w:rPr>
        <w:t>a seule contestation du requérant quant à ces photos concernait le fait que</w:t>
      </w:r>
      <w:r w:rsidRPr="00A2551C" w:rsidR="004635A2">
        <w:rPr>
          <w:lang w:val="fr-FR"/>
        </w:rPr>
        <w:t>,</w:t>
      </w:r>
      <w:r w:rsidRPr="00A2551C" w:rsidR="002074AD">
        <w:rPr>
          <w:lang w:val="fr-FR"/>
        </w:rPr>
        <w:t xml:space="preserve"> </w:t>
      </w:r>
      <w:r w:rsidRPr="00A2551C" w:rsidR="004635A2">
        <w:rPr>
          <w:lang w:val="fr-FR"/>
        </w:rPr>
        <w:t>lors</w:t>
      </w:r>
      <w:r w:rsidRPr="00A2551C" w:rsidR="002074AD">
        <w:rPr>
          <w:lang w:val="fr-FR"/>
        </w:rPr>
        <w:t xml:space="preserve"> de son séjour dans la cellule en question</w:t>
      </w:r>
      <w:r w:rsidRPr="00A2551C" w:rsidR="004635A2">
        <w:rPr>
          <w:lang w:val="fr-FR"/>
        </w:rPr>
        <w:t>,</w:t>
      </w:r>
      <w:r w:rsidRPr="00A2551C" w:rsidR="002074AD">
        <w:rPr>
          <w:lang w:val="fr-FR"/>
        </w:rPr>
        <w:t xml:space="preserve"> il n</w:t>
      </w:r>
      <w:r w:rsidRPr="00A2551C" w:rsidR="00A2551C">
        <w:rPr>
          <w:lang w:val="fr-FR"/>
        </w:rPr>
        <w:t>’</w:t>
      </w:r>
      <w:r w:rsidRPr="00A2551C" w:rsidR="002074AD">
        <w:rPr>
          <w:lang w:val="fr-FR"/>
        </w:rPr>
        <w:t xml:space="preserve">y </w:t>
      </w:r>
      <w:r w:rsidRPr="00A2551C" w:rsidR="004635A2">
        <w:rPr>
          <w:lang w:val="fr-FR"/>
        </w:rPr>
        <w:t xml:space="preserve">aurait </w:t>
      </w:r>
      <w:r w:rsidRPr="00A2551C" w:rsidR="002074AD">
        <w:rPr>
          <w:lang w:val="fr-FR"/>
        </w:rPr>
        <w:t>pas</w:t>
      </w:r>
      <w:r w:rsidRPr="00A2551C" w:rsidR="004635A2">
        <w:rPr>
          <w:lang w:val="fr-FR"/>
        </w:rPr>
        <w:t xml:space="preserve"> eu </w:t>
      </w:r>
      <w:r w:rsidRPr="00A2551C" w:rsidR="002074AD">
        <w:rPr>
          <w:lang w:val="fr-FR"/>
        </w:rPr>
        <w:t>de récipient d</w:t>
      </w:r>
      <w:r w:rsidRPr="00A2551C" w:rsidR="00A2551C">
        <w:rPr>
          <w:lang w:val="fr-FR"/>
        </w:rPr>
        <w:t>’</w:t>
      </w:r>
      <w:r w:rsidRPr="00A2551C" w:rsidR="002074AD">
        <w:rPr>
          <w:lang w:val="fr-FR"/>
        </w:rPr>
        <w:t xml:space="preserve">eau potable </w:t>
      </w:r>
      <w:r w:rsidRPr="00A2551C" w:rsidR="004635A2">
        <w:rPr>
          <w:lang w:val="fr-FR"/>
        </w:rPr>
        <w:t xml:space="preserve">ni </w:t>
      </w:r>
      <w:r w:rsidRPr="00A2551C" w:rsidR="002074AD">
        <w:rPr>
          <w:lang w:val="fr-FR"/>
        </w:rPr>
        <w:t>d</w:t>
      </w:r>
      <w:r w:rsidRPr="00A2551C" w:rsidR="00A2551C">
        <w:rPr>
          <w:lang w:val="fr-FR"/>
        </w:rPr>
        <w:t>’</w:t>
      </w:r>
      <w:r w:rsidRPr="00A2551C" w:rsidR="002074AD">
        <w:rPr>
          <w:lang w:val="fr-FR"/>
        </w:rPr>
        <w:t>interphone</w:t>
      </w:r>
      <w:r w:rsidRPr="00A2551C" w:rsidR="0064410F">
        <w:rPr>
          <w:lang w:val="fr-FR"/>
        </w:rPr>
        <w:t xml:space="preserve"> (paragraphes </w:t>
      </w:r>
      <w:r w:rsidRPr="00A2551C" w:rsidR="0064410F">
        <w:rPr>
          <w:lang w:val="fr-FR"/>
        </w:rPr>
        <w:fldChar w:fldCharType="begin"/>
      </w:r>
      <w:r w:rsidRPr="00A2551C" w:rsidR="0064410F">
        <w:rPr>
          <w:lang w:val="fr-FR"/>
        </w:rPr>
        <w:instrText xml:space="preserve"> REF condcreq3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65</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sidR="002074AD">
        <w:rPr>
          <w:lang w:val="fr-FR"/>
        </w:rPr>
        <w:t xml:space="preserve">. </w:t>
      </w:r>
      <w:r w:rsidRPr="00A2551C" w:rsidR="004635A2">
        <w:rPr>
          <w:lang w:val="fr-FR"/>
        </w:rPr>
        <w:t>Elle constate que l</w:t>
      </w:r>
      <w:r w:rsidRPr="00A2551C" w:rsidR="00D629FD">
        <w:rPr>
          <w:lang w:val="fr-FR"/>
        </w:rPr>
        <w:t>e requérant n</w:t>
      </w:r>
      <w:r w:rsidRPr="00A2551C" w:rsidR="00A2551C">
        <w:rPr>
          <w:lang w:val="fr-FR"/>
        </w:rPr>
        <w:t>’</w:t>
      </w:r>
      <w:r w:rsidRPr="00A2551C" w:rsidR="00D629FD">
        <w:rPr>
          <w:lang w:val="fr-FR"/>
        </w:rPr>
        <w:t>a pas non plus contesté l</w:t>
      </w:r>
      <w:r w:rsidRPr="00A2551C" w:rsidR="00A2551C">
        <w:rPr>
          <w:lang w:val="fr-FR"/>
        </w:rPr>
        <w:t>’</w:t>
      </w:r>
      <w:r w:rsidRPr="00A2551C" w:rsidR="00D629FD">
        <w:rPr>
          <w:lang w:val="fr-FR"/>
        </w:rPr>
        <w:t xml:space="preserve">authenticité des plans techniques soumis par le Gouvernement </w:t>
      </w:r>
      <w:r w:rsidRPr="00A2551C" w:rsidR="0005053D">
        <w:rPr>
          <w:lang w:val="fr-FR"/>
        </w:rPr>
        <w:t>et l</w:t>
      </w:r>
      <w:r w:rsidRPr="00A2551C" w:rsidR="00A2551C">
        <w:rPr>
          <w:lang w:val="fr-FR"/>
        </w:rPr>
        <w:t>’</w:t>
      </w:r>
      <w:r w:rsidRPr="00A2551C" w:rsidR="0005053D">
        <w:rPr>
          <w:lang w:val="fr-FR"/>
        </w:rPr>
        <w:t>assertion de celui</w:t>
      </w:r>
      <w:r w:rsidRPr="00A2551C" w:rsidR="0005053D">
        <w:rPr>
          <w:lang w:val="fr-FR"/>
        </w:rPr>
        <w:noBreakHyphen/>
        <w:t xml:space="preserve">ci </w:t>
      </w:r>
      <w:r w:rsidRPr="00A2551C" w:rsidR="004635A2">
        <w:rPr>
          <w:lang w:val="fr-FR"/>
        </w:rPr>
        <w:t xml:space="preserve">selon laquelle </w:t>
      </w:r>
      <w:r w:rsidRPr="00A2551C" w:rsidR="00D629FD">
        <w:rPr>
          <w:lang w:val="fr-FR"/>
        </w:rPr>
        <w:t>la cellule n</w:t>
      </w:r>
      <w:r w:rsidRPr="00A2551C" w:rsidR="00D629FD">
        <w:rPr>
          <w:vertAlign w:val="superscript"/>
          <w:lang w:val="fr-FR"/>
        </w:rPr>
        <w:t>o</w:t>
      </w:r>
      <w:r w:rsidRPr="00A2551C" w:rsidR="00D629FD">
        <w:rPr>
          <w:lang w:val="fr-FR"/>
        </w:rPr>
        <w:t xml:space="preserve"> 66 mesurait 11,5 m² </w:t>
      </w:r>
      <w:r w:rsidRPr="00A2551C" w:rsidR="0064410F">
        <w:rPr>
          <w:lang w:val="fr-FR"/>
        </w:rPr>
        <w:t>et que l</w:t>
      </w:r>
      <w:r w:rsidRPr="00A2551C" w:rsidR="00A2551C">
        <w:rPr>
          <w:lang w:val="fr-FR"/>
        </w:rPr>
        <w:t>’</w:t>
      </w:r>
      <w:r w:rsidRPr="00A2551C" w:rsidR="0064410F">
        <w:rPr>
          <w:lang w:val="fr-FR"/>
        </w:rPr>
        <w:t xml:space="preserve">intéressé y disposait de </w:t>
      </w:r>
      <w:r w:rsidRPr="00A2551C" w:rsidR="00D629FD">
        <w:rPr>
          <w:lang w:val="fr-FR"/>
        </w:rPr>
        <w:t xml:space="preserve">10,7 m² </w:t>
      </w:r>
      <w:r w:rsidRPr="00A2551C" w:rsidR="0064410F">
        <w:rPr>
          <w:lang w:val="fr-FR"/>
        </w:rPr>
        <w:t>d</w:t>
      </w:r>
      <w:r w:rsidRPr="00A2551C" w:rsidR="00A2551C">
        <w:rPr>
          <w:lang w:val="fr-FR"/>
        </w:rPr>
        <w:t>’</w:t>
      </w:r>
      <w:r w:rsidRPr="00A2551C" w:rsidR="0064410F">
        <w:rPr>
          <w:lang w:val="fr-FR"/>
        </w:rPr>
        <w:t xml:space="preserve">espace personnel (paragraphes </w:t>
      </w:r>
      <w:r w:rsidRPr="00A2551C" w:rsidR="0064410F">
        <w:rPr>
          <w:lang w:val="fr-FR"/>
        </w:rPr>
        <w:fldChar w:fldCharType="begin"/>
      </w:r>
      <w:r w:rsidRPr="00A2551C" w:rsidR="0064410F">
        <w:rPr>
          <w:lang w:val="fr-FR"/>
        </w:rPr>
        <w:instrText xml:space="preserve"> REF condcgouv2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63</w:t>
      </w:r>
      <w:r w:rsidRPr="00A2551C" w:rsidR="0064410F">
        <w:rPr>
          <w:lang w:val="fr-FR"/>
        </w:rPr>
        <w:fldChar w:fldCharType="end"/>
      </w:r>
      <w:r w:rsidRPr="00A2551C" w:rsidR="0064410F">
        <w:rPr>
          <w:lang w:val="fr-FR"/>
        </w:rPr>
        <w:noBreakHyphen/>
      </w:r>
      <w:r w:rsidRPr="00A2551C" w:rsidR="0064410F">
        <w:rPr>
          <w:lang w:val="fr-FR"/>
        </w:rPr>
        <w:fldChar w:fldCharType="begin"/>
      </w:r>
      <w:r w:rsidRPr="00A2551C" w:rsidR="0064410F">
        <w:rPr>
          <w:lang w:val="fr-FR"/>
        </w:rPr>
        <w:instrText xml:space="preserve"> REF condcreq2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64</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sidR="00D629FD">
        <w:rPr>
          <w:lang w:val="fr-FR"/>
        </w:rPr>
        <w:t xml:space="preserve">. </w:t>
      </w:r>
      <w:r w:rsidRPr="00A2551C" w:rsidR="002074AD">
        <w:rPr>
          <w:lang w:val="fr-FR"/>
        </w:rPr>
        <w:t xml:space="preserve">Cependant, </w:t>
      </w:r>
      <w:r w:rsidRPr="00A2551C" w:rsidR="004635A2">
        <w:rPr>
          <w:lang w:val="fr-FR"/>
        </w:rPr>
        <w:t xml:space="preserve">elle note que, </w:t>
      </w:r>
      <w:r w:rsidRPr="00A2551C" w:rsidR="002074AD">
        <w:rPr>
          <w:lang w:val="fr-FR"/>
        </w:rPr>
        <w:t xml:space="preserve">tout en </w:t>
      </w:r>
      <w:r w:rsidRPr="00A2551C" w:rsidR="004635A2">
        <w:rPr>
          <w:lang w:val="fr-FR"/>
        </w:rPr>
        <w:t xml:space="preserve">reconnaissant </w:t>
      </w:r>
      <w:r w:rsidRPr="00A2551C" w:rsidR="002074AD">
        <w:rPr>
          <w:lang w:val="fr-FR"/>
        </w:rPr>
        <w:t>avoir été détenu dans la cellule n</w:t>
      </w:r>
      <w:r w:rsidRPr="00A2551C" w:rsidR="002074AD">
        <w:rPr>
          <w:vertAlign w:val="superscript"/>
          <w:lang w:val="fr-FR"/>
        </w:rPr>
        <w:t>o</w:t>
      </w:r>
      <w:r w:rsidRPr="00A2551C" w:rsidR="002074AD">
        <w:rPr>
          <w:lang w:val="fr-FR"/>
        </w:rPr>
        <w:t> 66 dans le bâtiment n</w:t>
      </w:r>
      <w:r w:rsidRPr="00A2551C" w:rsidR="002074AD">
        <w:rPr>
          <w:vertAlign w:val="superscript"/>
          <w:lang w:val="fr-FR"/>
        </w:rPr>
        <w:t>o</w:t>
      </w:r>
      <w:r w:rsidRPr="00A2551C" w:rsidR="002074AD">
        <w:rPr>
          <w:lang w:val="fr-FR"/>
        </w:rPr>
        <w:t xml:space="preserve"> 1, le requérant </w:t>
      </w:r>
      <w:r w:rsidRPr="00A2551C" w:rsidR="00A13C97">
        <w:rPr>
          <w:lang w:val="fr-FR"/>
        </w:rPr>
        <w:t xml:space="preserve">soutient </w:t>
      </w:r>
      <w:r w:rsidRPr="00A2551C" w:rsidR="002074AD">
        <w:rPr>
          <w:lang w:val="fr-FR"/>
        </w:rPr>
        <w:t>en même temps qu</w:t>
      </w:r>
      <w:r w:rsidRPr="00A2551C" w:rsidR="00A13C97">
        <w:rPr>
          <w:lang w:val="fr-FR"/>
        </w:rPr>
        <w:t xml:space="preserve">e, </w:t>
      </w:r>
      <w:r w:rsidRPr="00A2551C" w:rsidR="002074AD">
        <w:rPr>
          <w:lang w:val="fr-FR"/>
        </w:rPr>
        <w:t>à partir du mois de mai 2012</w:t>
      </w:r>
      <w:r w:rsidRPr="00A2551C" w:rsidR="00D629FD">
        <w:rPr>
          <w:lang w:val="fr-FR"/>
        </w:rPr>
        <w:t>,</w:t>
      </w:r>
      <w:r w:rsidRPr="00A2551C" w:rsidR="002074AD">
        <w:rPr>
          <w:lang w:val="fr-FR"/>
        </w:rPr>
        <w:t xml:space="preserve"> il a été détenu dans une cellule </w:t>
      </w:r>
      <w:r w:rsidRPr="00A2551C" w:rsidR="00D629FD">
        <w:rPr>
          <w:lang w:val="fr-FR"/>
        </w:rPr>
        <w:t xml:space="preserve">qui aurait </w:t>
      </w:r>
      <w:r w:rsidRPr="00A2551C" w:rsidR="00A13C97">
        <w:rPr>
          <w:lang w:val="fr-FR"/>
        </w:rPr>
        <w:t xml:space="preserve">mesuré </w:t>
      </w:r>
      <w:r w:rsidRPr="00A2551C" w:rsidR="00D629FD">
        <w:rPr>
          <w:lang w:val="fr-FR"/>
        </w:rPr>
        <w:t xml:space="preserve">8,2 m² </w:t>
      </w:r>
      <w:r w:rsidRPr="00A2551C" w:rsidR="002074AD">
        <w:rPr>
          <w:lang w:val="fr-FR"/>
        </w:rPr>
        <w:t>dans le bâtiment n</w:t>
      </w:r>
      <w:r w:rsidRPr="00A2551C" w:rsidR="002074AD">
        <w:rPr>
          <w:vertAlign w:val="superscript"/>
          <w:lang w:val="fr-FR"/>
        </w:rPr>
        <w:t>o </w:t>
      </w:r>
      <w:r w:rsidRPr="00A2551C" w:rsidR="002074AD">
        <w:rPr>
          <w:lang w:val="fr-FR"/>
        </w:rPr>
        <w:t>2, et ce jusqu</w:t>
      </w:r>
      <w:r w:rsidRPr="00A2551C" w:rsidR="00A2551C">
        <w:rPr>
          <w:lang w:val="fr-FR"/>
        </w:rPr>
        <w:t>’</w:t>
      </w:r>
      <w:r w:rsidRPr="00A2551C" w:rsidR="002074AD">
        <w:rPr>
          <w:lang w:val="fr-FR"/>
        </w:rPr>
        <w:t>au 25 novembre</w:t>
      </w:r>
      <w:r w:rsidRPr="00A2551C" w:rsidR="007675CB">
        <w:rPr>
          <w:lang w:val="fr-FR"/>
        </w:rPr>
        <w:t xml:space="preserve"> </w:t>
      </w:r>
      <w:r w:rsidRPr="00A2551C" w:rsidR="002074AD">
        <w:rPr>
          <w:lang w:val="fr-FR"/>
        </w:rPr>
        <w:t>2013</w:t>
      </w:r>
      <w:r w:rsidRPr="00A2551C" w:rsidR="0064410F">
        <w:rPr>
          <w:lang w:val="fr-FR"/>
        </w:rPr>
        <w:t xml:space="preserve"> (paragraphe </w:t>
      </w:r>
      <w:r w:rsidRPr="00A2551C" w:rsidR="0064410F">
        <w:rPr>
          <w:lang w:val="fr-FR"/>
        </w:rPr>
        <w:fldChar w:fldCharType="begin"/>
      </w:r>
      <w:r w:rsidRPr="00A2551C" w:rsidR="0064410F">
        <w:rPr>
          <w:lang w:val="fr-FR"/>
        </w:rPr>
        <w:instrText xml:space="preserve"> REF condcreq2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64</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sidR="002074AD">
        <w:rPr>
          <w:lang w:val="fr-FR"/>
        </w:rPr>
        <w:t xml:space="preserve">. </w:t>
      </w:r>
      <w:r w:rsidRPr="00A2551C" w:rsidR="00D629FD">
        <w:rPr>
          <w:lang w:val="fr-FR"/>
        </w:rPr>
        <w:t xml:space="preserve">Or la Cour estime que le requérant se contredit sans pour autant donner une explication suffisante </w:t>
      </w:r>
      <w:r w:rsidRPr="00A2551C" w:rsidR="00A13C97">
        <w:rPr>
          <w:lang w:val="fr-FR"/>
        </w:rPr>
        <w:t xml:space="preserve">quant à </w:t>
      </w:r>
      <w:r w:rsidRPr="00A2551C" w:rsidR="00D629FD">
        <w:rPr>
          <w:lang w:val="fr-FR"/>
        </w:rPr>
        <w:t>ces incohérences dans l</w:t>
      </w:r>
      <w:r w:rsidRPr="00A2551C" w:rsidR="0005053D">
        <w:rPr>
          <w:lang w:val="fr-FR"/>
        </w:rPr>
        <w:t xml:space="preserve">e descriptif </w:t>
      </w:r>
      <w:r w:rsidRPr="00A2551C" w:rsidR="00D629FD">
        <w:rPr>
          <w:lang w:val="fr-FR"/>
        </w:rPr>
        <w:t>de</w:t>
      </w:r>
      <w:r w:rsidRPr="00A2551C" w:rsidR="0005053D">
        <w:rPr>
          <w:lang w:val="fr-FR"/>
        </w:rPr>
        <w:t>s</w:t>
      </w:r>
      <w:r w:rsidRPr="00A2551C" w:rsidR="00D629FD">
        <w:rPr>
          <w:lang w:val="fr-FR"/>
        </w:rPr>
        <w:t xml:space="preserve"> conditions de </w:t>
      </w:r>
      <w:r w:rsidRPr="00A2551C" w:rsidR="0005053D">
        <w:rPr>
          <w:lang w:val="fr-FR"/>
        </w:rPr>
        <w:t>sa détention</w:t>
      </w:r>
      <w:r w:rsidRPr="00A2551C" w:rsidR="00D629FD">
        <w:rPr>
          <w:lang w:val="fr-FR"/>
        </w:rPr>
        <w:t>.</w:t>
      </w:r>
    </w:p>
    <w:p w:rsidRPr="00A2551C" w:rsidR="007E0DAC" w:rsidP="00A2551C" w:rsidRDefault="00D629FD">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70</w:t>
      </w:r>
      <w:r w:rsidRPr="00A2551C">
        <w:rPr>
          <w:lang w:val="fr-FR"/>
        </w:rPr>
        <w:fldChar w:fldCharType="end"/>
      </w:r>
      <w:r w:rsidRPr="00A2551C">
        <w:rPr>
          <w:lang w:val="fr-FR"/>
        </w:rPr>
        <w:t xml:space="preserve">.  La Cour note ensuite que </w:t>
      </w:r>
      <w:r w:rsidRPr="00A2551C" w:rsidR="006E599E">
        <w:rPr>
          <w:lang w:val="fr-FR"/>
        </w:rPr>
        <w:t xml:space="preserve">le requérant ne précise </w:t>
      </w:r>
      <w:r w:rsidRPr="00A2551C">
        <w:rPr>
          <w:lang w:val="fr-FR"/>
        </w:rPr>
        <w:t>n</w:t>
      </w:r>
      <w:r w:rsidRPr="00A2551C" w:rsidR="00112178">
        <w:rPr>
          <w:lang w:val="fr-FR"/>
        </w:rPr>
        <w:t xml:space="preserve">i dans </w:t>
      </w:r>
      <w:r w:rsidRPr="00A2551C" w:rsidR="005D333F">
        <w:rPr>
          <w:lang w:val="fr-FR"/>
        </w:rPr>
        <w:t xml:space="preserve">son </w:t>
      </w:r>
      <w:r w:rsidRPr="00A2551C" w:rsidR="00112178">
        <w:rPr>
          <w:lang w:val="fr-FR"/>
        </w:rPr>
        <w:t xml:space="preserve">formulaire </w:t>
      </w:r>
      <w:r w:rsidRPr="00A2551C" w:rsidR="007E0DAC">
        <w:rPr>
          <w:lang w:val="fr-FR"/>
        </w:rPr>
        <w:t xml:space="preserve">de requête </w:t>
      </w:r>
      <w:r w:rsidRPr="00A2551C" w:rsidR="00112178">
        <w:rPr>
          <w:lang w:val="fr-FR"/>
        </w:rPr>
        <w:t>du</w:t>
      </w:r>
      <w:r w:rsidRPr="00A2551C" w:rsidR="007E0DAC">
        <w:rPr>
          <w:lang w:val="fr-FR"/>
        </w:rPr>
        <w:t xml:space="preserve"> 12 avril 2012 </w:t>
      </w:r>
      <w:r w:rsidRPr="00A2551C" w:rsidR="00112178">
        <w:rPr>
          <w:lang w:val="fr-FR"/>
        </w:rPr>
        <w:t xml:space="preserve">ni dans ses observations du </w:t>
      </w:r>
      <w:r w:rsidRPr="00A2551C" w:rsidR="00015B6B">
        <w:rPr>
          <w:lang w:val="fr-FR"/>
        </w:rPr>
        <w:t>23 </w:t>
      </w:r>
      <w:r w:rsidRPr="00A2551C" w:rsidR="00112178">
        <w:rPr>
          <w:lang w:val="fr-FR"/>
        </w:rPr>
        <w:t xml:space="preserve">octobre 2017, </w:t>
      </w:r>
      <w:r w:rsidRPr="00A2551C" w:rsidR="007E0DAC">
        <w:rPr>
          <w:lang w:val="fr-FR"/>
        </w:rPr>
        <w:t>le numéro de</w:t>
      </w:r>
      <w:r w:rsidRPr="00A2551C" w:rsidR="00112178">
        <w:rPr>
          <w:lang w:val="fr-FR"/>
        </w:rPr>
        <w:t xml:space="preserve">s </w:t>
      </w:r>
      <w:r w:rsidRPr="00A2551C" w:rsidR="007E0DAC">
        <w:rPr>
          <w:lang w:val="fr-FR"/>
        </w:rPr>
        <w:t>cellule</w:t>
      </w:r>
      <w:r w:rsidRPr="00A2551C" w:rsidR="00112178">
        <w:rPr>
          <w:lang w:val="fr-FR"/>
        </w:rPr>
        <w:t>s</w:t>
      </w:r>
      <w:r w:rsidRPr="00A2551C" w:rsidR="007E0DAC">
        <w:rPr>
          <w:lang w:val="fr-FR"/>
        </w:rPr>
        <w:t xml:space="preserve"> dans l</w:t>
      </w:r>
      <w:r w:rsidRPr="00A2551C" w:rsidR="00112178">
        <w:rPr>
          <w:lang w:val="fr-FR"/>
        </w:rPr>
        <w:t>es</w:t>
      </w:r>
      <w:r w:rsidRPr="00A2551C" w:rsidR="007E0DAC">
        <w:rPr>
          <w:lang w:val="fr-FR"/>
        </w:rPr>
        <w:t>quelle</w:t>
      </w:r>
      <w:r w:rsidRPr="00A2551C" w:rsidR="00112178">
        <w:rPr>
          <w:lang w:val="fr-FR"/>
        </w:rPr>
        <w:t>s</w:t>
      </w:r>
      <w:r w:rsidRPr="00A2551C" w:rsidR="007E0DAC">
        <w:rPr>
          <w:lang w:val="fr-FR"/>
        </w:rPr>
        <w:t xml:space="preserve"> il </w:t>
      </w:r>
      <w:r w:rsidRPr="00A2551C" w:rsidR="00112178">
        <w:rPr>
          <w:lang w:val="fr-FR"/>
        </w:rPr>
        <w:t>aurait été</w:t>
      </w:r>
      <w:r w:rsidRPr="00A2551C" w:rsidR="007E0DAC">
        <w:rPr>
          <w:lang w:val="fr-FR"/>
        </w:rPr>
        <w:t xml:space="preserve"> </w:t>
      </w:r>
      <w:r w:rsidRPr="00A2551C" w:rsidR="00112178">
        <w:rPr>
          <w:lang w:val="fr-FR"/>
        </w:rPr>
        <w:t>placé pendant les six premier</w:t>
      </w:r>
      <w:r w:rsidRPr="00A2551C" w:rsidR="006E599E">
        <w:rPr>
          <w:lang w:val="fr-FR"/>
        </w:rPr>
        <w:t>s</w:t>
      </w:r>
      <w:r w:rsidRPr="00A2551C" w:rsidR="00112178">
        <w:rPr>
          <w:lang w:val="fr-FR"/>
        </w:rPr>
        <w:t xml:space="preserve"> mois de sa détention dans la colonie pénitentiaire. Qui plus est, s</w:t>
      </w:r>
      <w:r w:rsidRPr="00A2551C" w:rsidR="00A2551C">
        <w:rPr>
          <w:lang w:val="fr-FR"/>
        </w:rPr>
        <w:t>’</w:t>
      </w:r>
      <w:r w:rsidRPr="00A2551C" w:rsidR="00112178">
        <w:rPr>
          <w:lang w:val="fr-FR"/>
        </w:rPr>
        <w:t xml:space="preserve">agissant de cette même période de sa détention, dans son formulaire de requête du 12 avril 2012, le requérant </w:t>
      </w:r>
      <w:r w:rsidRPr="00A2551C" w:rsidR="006E599E">
        <w:rPr>
          <w:lang w:val="fr-FR"/>
        </w:rPr>
        <w:t xml:space="preserve">soutient </w:t>
      </w:r>
      <w:r w:rsidRPr="00A2551C" w:rsidR="00112178">
        <w:rPr>
          <w:lang w:val="fr-FR"/>
        </w:rPr>
        <w:t>que la cellule me</w:t>
      </w:r>
      <w:r w:rsidRPr="00A2551C" w:rsidR="004E27F1">
        <w:rPr>
          <w:lang w:val="fr-FR"/>
        </w:rPr>
        <w:t>surait 12 </w:t>
      </w:r>
      <w:r w:rsidRPr="00A2551C" w:rsidR="00112178">
        <w:rPr>
          <w:lang w:val="fr-FR"/>
        </w:rPr>
        <w:t>m² et disposait de trois lits alors que</w:t>
      </w:r>
      <w:r w:rsidRPr="00A2551C" w:rsidR="006E599E">
        <w:rPr>
          <w:lang w:val="fr-FR"/>
        </w:rPr>
        <w:t>,</w:t>
      </w:r>
      <w:r w:rsidRPr="00A2551C" w:rsidR="00112178">
        <w:rPr>
          <w:lang w:val="fr-FR"/>
        </w:rPr>
        <w:t xml:space="preserve"> dans ses observations du 23 octobre 2017, il </w:t>
      </w:r>
      <w:r w:rsidRPr="00A2551C" w:rsidR="006E599E">
        <w:rPr>
          <w:lang w:val="fr-FR"/>
        </w:rPr>
        <w:t xml:space="preserve">indique </w:t>
      </w:r>
      <w:r w:rsidRPr="00A2551C" w:rsidR="00112178">
        <w:rPr>
          <w:lang w:val="fr-FR"/>
        </w:rPr>
        <w:t xml:space="preserve">que la cellule mesurait 14 m² et </w:t>
      </w:r>
      <w:r w:rsidRPr="00A2551C" w:rsidR="006E599E">
        <w:rPr>
          <w:lang w:val="fr-FR"/>
        </w:rPr>
        <w:t>comptait</w:t>
      </w:r>
      <w:r w:rsidRPr="00A2551C" w:rsidR="00112178">
        <w:rPr>
          <w:lang w:val="fr-FR"/>
        </w:rPr>
        <w:t xml:space="preserve"> quatre lits</w:t>
      </w:r>
      <w:r w:rsidRPr="00A2551C" w:rsidR="0064410F">
        <w:rPr>
          <w:lang w:val="fr-FR"/>
        </w:rPr>
        <w:t xml:space="preserve"> (paragraphes </w:t>
      </w:r>
      <w:r w:rsidRPr="00A2551C" w:rsidR="0064410F">
        <w:rPr>
          <w:lang w:val="fr-FR"/>
        </w:rPr>
        <w:fldChar w:fldCharType="begin"/>
      </w:r>
      <w:r w:rsidRPr="00A2551C" w:rsidR="0064410F">
        <w:rPr>
          <w:lang w:val="fr-FR"/>
        </w:rPr>
        <w:instrText xml:space="preserve"> REF condcreq1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32</w:t>
      </w:r>
      <w:r w:rsidRPr="00A2551C" w:rsidR="0064410F">
        <w:rPr>
          <w:lang w:val="fr-FR"/>
        </w:rPr>
        <w:fldChar w:fldCharType="end"/>
      </w:r>
      <w:r w:rsidRPr="00A2551C" w:rsidR="0064410F">
        <w:rPr>
          <w:lang w:val="fr-FR"/>
        </w:rPr>
        <w:t xml:space="preserve"> et </w:t>
      </w:r>
      <w:r w:rsidRPr="00A2551C" w:rsidR="0064410F">
        <w:rPr>
          <w:lang w:val="fr-FR"/>
        </w:rPr>
        <w:fldChar w:fldCharType="begin"/>
      </w:r>
      <w:r w:rsidRPr="00A2551C" w:rsidR="0064410F">
        <w:rPr>
          <w:lang w:val="fr-FR"/>
        </w:rPr>
        <w:instrText xml:space="preserve"> REF condcreq2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64</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sidR="00112178">
        <w:rPr>
          <w:lang w:val="fr-FR"/>
        </w:rPr>
        <w:t>.</w:t>
      </w:r>
      <w:r w:rsidRPr="00A2551C" w:rsidR="0005053D">
        <w:rPr>
          <w:lang w:val="fr-FR"/>
        </w:rPr>
        <w:t xml:space="preserve"> Quant aux lettres soumises par le requérant à l</w:t>
      </w:r>
      <w:r w:rsidRPr="00A2551C" w:rsidR="00A2551C">
        <w:rPr>
          <w:lang w:val="fr-FR"/>
        </w:rPr>
        <w:t>’</w:t>
      </w:r>
      <w:r w:rsidRPr="00A2551C" w:rsidR="0005053D">
        <w:rPr>
          <w:lang w:val="fr-FR"/>
        </w:rPr>
        <w:t>appui de ses allégations</w:t>
      </w:r>
      <w:r w:rsidRPr="00A2551C" w:rsidR="0064410F">
        <w:rPr>
          <w:lang w:val="fr-FR"/>
        </w:rPr>
        <w:t xml:space="preserve"> (paragraphe </w:t>
      </w:r>
      <w:r w:rsidRPr="00A2551C" w:rsidR="0064410F">
        <w:rPr>
          <w:lang w:val="fr-FR"/>
        </w:rPr>
        <w:fldChar w:fldCharType="begin"/>
      </w:r>
      <w:r w:rsidRPr="00A2551C" w:rsidR="0064410F">
        <w:rPr>
          <w:lang w:val="fr-FR"/>
        </w:rPr>
        <w:instrText xml:space="preserve"> REF condcreq4 \h </w:instrText>
      </w:r>
      <w:r w:rsidRPr="00A2551C" w:rsidR="001F5753">
        <w:rPr>
          <w:lang w:val="fr-FR"/>
        </w:rPr>
        <w:instrText xml:space="preserve"> \* MERGEFORMAT </w:instrText>
      </w:r>
      <w:r w:rsidRPr="00A2551C" w:rsidR="0064410F">
        <w:rPr>
          <w:lang w:val="fr-FR"/>
        </w:rPr>
      </w:r>
      <w:r w:rsidRPr="00A2551C" w:rsidR="0064410F">
        <w:rPr>
          <w:lang w:val="fr-FR"/>
        </w:rPr>
        <w:fldChar w:fldCharType="separate"/>
      </w:r>
      <w:r w:rsidRPr="00A2551C" w:rsidR="00A2551C">
        <w:rPr>
          <w:noProof/>
          <w:lang w:val="fr-FR"/>
        </w:rPr>
        <w:t>66</w:t>
      </w:r>
      <w:r w:rsidRPr="00A2551C" w:rsidR="0064410F">
        <w:rPr>
          <w:lang w:val="fr-FR"/>
        </w:rPr>
        <w:fldChar w:fldCharType="end"/>
      </w:r>
      <w:r w:rsidRPr="00A2551C" w:rsidR="0064410F">
        <w:rPr>
          <w:lang w:val="fr-FR"/>
        </w:rPr>
        <w:t xml:space="preserve"> ci</w:t>
      </w:r>
      <w:r w:rsidRPr="00A2551C" w:rsidR="0064410F">
        <w:rPr>
          <w:lang w:val="fr-FR"/>
        </w:rPr>
        <w:noBreakHyphen/>
        <w:t>dessus)</w:t>
      </w:r>
      <w:r w:rsidRPr="00A2551C" w:rsidR="0005053D">
        <w:rPr>
          <w:lang w:val="fr-FR"/>
        </w:rPr>
        <w:t>, la Cour relève qu</w:t>
      </w:r>
      <w:r w:rsidRPr="00A2551C" w:rsidR="00A2551C">
        <w:rPr>
          <w:lang w:val="fr-FR"/>
        </w:rPr>
        <w:t>’</w:t>
      </w:r>
      <w:r w:rsidRPr="00A2551C" w:rsidR="0005053D">
        <w:rPr>
          <w:lang w:val="fr-FR"/>
        </w:rPr>
        <w:t xml:space="preserve">elles ne contiennent pas de données quant aux numéros des cellules dans lesquelles </w:t>
      </w:r>
      <w:r w:rsidRPr="00A2551C" w:rsidR="00EC6BDF">
        <w:rPr>
          <w:lang w:val="fr-FR"/>
        </w:rPr>
        <w:t>l</w:t>
      </w:r>
      <w:r w:rsidRPr="00A2551C" w:rsidR="00A2551C">
        <w:rPr>
          <w:lang w:val="fr-FR"/>
        </w:rPr>
        <w:t>’</w:t>
      </w:r>
      <w:r w:rsidRPr="00A2551C" w:rsidR="00EC6BDF">
        <w:rPr>
          <w:lang w:val="fr-FR"/>
        </w:rPr>
        <w:t>intéressé</w:t>
      </w:r>
      <w:r w:rsidRPr="00A2551C" w:rsidR="00F033B5">
        <w:rPr>
          <w:lang w:val="fr-FR"/>
        </w:rPr>
        <w:t xml:space="preserve"> aurait été détenu</w:t>
      </w:r>
      <w:r w:rsidRPr="00A2551C" w:rsidR="004F7E6A">
        <w:rPr>
          <w:lang w:val="fr-FR"/>
        </w:rPr>
        <w:t xml:space="preserve">, quant </w:t>
      </w:r>
      <w:r w:rsidRPr="00A2551C" w:rsidR="0005053D">
        <w:rPr>
          <w:lang w:val="fr-FR"/>
        </w:rPr>
        <w:t>à leur emplacement</w:t>
      </w:r>
      <w:r w:rsidRPr="00A2551C" w:rsidR="00F033B5">
        <w:rPr>
          <w:lang w:val="fr-FR"/>
        </w:rPr>
        <w:t xml:space="preserve"> au sein de la colonie pénitentiaire</w:t>
      </w:r>
      <w:r w:rsidRPr="00A2551C" w:rsidR="0005053D">
        <w:rPr>
          <w:lang w:val="fr-FR"/>
        </w:rPr>
        <w:t xml:space="preserve"> </w:t>
      </w:r>
      <w:r w:rsidRPr="00A2551C" w:rsidR="0064410F">
        <w:rPr>
          <w:lang w:val="fr-FR"/>
        </w:rPr>
        <w:t xml:space="preserve">ni </w:t>
      </w:r>
      <w:r w:rsidRPr="00A2551C" w:rsidR="0005053D">
        <w:rPr>
          <w:lang w:val="fr-FR"/>
        </w:rPr>
        <w:t xml:space="preserve">au nombre de personnes </w:t>
      </w:r>
      <w:r w:rsidRPr="00A2551C" w:rsidR="009B5868">
        <w:rPr>
          <w:lang w:val="fr-FR"/>
        </w:rPr>
        <w:t xml:space="preserve">qui y auraient été </w:t>
      </w:r>
      <w:r w:rsidRPr="00A2551C" w:rsidR="0005053D">
        <w:rPr>
          <w:lang w:val="fr-FR"/>
        </w:rPr>
        <w:t>détenu</w:t>
      </w:r>
      <w:r w:rsidRPr="00A2551C" w:rsidR="009B5868">
        <w:rPr>
          <w:lang w:val="fr-FR"/>
        </w:rPr>
        <w:t>e</w:t>
      </w:r>
      <w:r w:rsidRPr="00A2551C" w:rsidR="0005053D">
        <w:rPr>
          <w:lang w:val="fr-FR"/>
        </w:rPr>
        <w:t xml:space="preserve">s avec </w:t>
      </w:r>
      <w:r w:rsidRPr="00A2551C" w:rsidR="005D333F">
        <w:rPr>
          <w:lang w:val="fr-FR"/>
        </w:rPr>
        <w:t>lui</w:t>
      </w:r>
      <w:r w:rsidRPr="00A2551C" w:rsidR="0005053D">
        <w:rPr>
          <w:lang w:val="fr-FR"/>
        </w:rPr>
        <w:t>.</w:t>
      </w:r>
    </w:p>
    <w:p w:rsidRPr="00A2551C" w:rsidR="002074AD" w:rsidP="00A2551C" w:rsidRDefault="00D629FD">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71</w:t>
      </w:r>
      <w:r w:rsidRPr="00A2551C">
        <w:rPr>
          <w:lang w:val="fr-FR"/>
        </w:rPr>
        <w:fldChar w:fldCharType="end"/>
      </w:r>
      <w:r w:rsidRPr="00A2551C">
        <w:rPr>
          <w:lang w:val="fr-FR"/>
        </w:rPr>
        <w:t>.  </w:t>
      </w:r>
      <w:r w:rsidRPr="00A2551C" w:rsidR="00E85DAC">
        <w:rPr>
          <w:lang w:val="fr-FR"/>
        </w:rPr>
        <w:t>La C</w:t>
      </w:r>
      <w:r w:rsidRPr="00A2551C" w:rsidR="00F033B5">
        <w:rPr>
          <w:lang w:val="fr-FR"/>
        </w:rPr>
        <w:t xml:space="preserve">our estime par conséquent que </w:t>
      </w:r>
      <w:r w:rsidRPr="00A2551C" w:rsidR="008F2952">
        <w:rPr>
          <w:lang w:val="fr-FR"/>
        </w:rPr>
        <w:t>le</w:t>
      </w:r>
      <w:r w:rsidRPr="00A2551C" w:rsidR="00F033B5">
        <w:rPr>
          <w:lang w:val="fr-FR"/>
        </w:rPr>
        <w:t xml:space="preserve"> requérant </w:t>
      </w:r>
      <w:r w:rsidRPr="00A2551C" w:rsidR="008F2952">
        <w:rPr>
          <w:lang w:val="fr-FR"/>
        </w:rPr>
        <w:t xml:space="preserve">a failli à </w:t>
      </w:r>
      <w:r w:rsidRPr="00A2551C" w:rsidR="00E85DAC">
        <w:rPr>
          <w:lang w:val="fr-FR"/>
        </w:rPr>
        <w:t xml:space="preserve">présenter </w:t>
      </w:r>
      <w:r w:rsidRPr="00A2551C" w:rsidR="00A33B06">
        <w:rPr>
          <w:lang w:val="fr-FR"/>
        </w:rPr>
        <w:t>une description concordante et cohérente</w:t>
      </w:r>
      <w:r w:rsidRPr="00A2551C" w:rsidR="00E85DAC">
        <w:rPr>
          <w:lang w:val="fr-FR"/>
        </w:rPr>
        <w:t xml:space="preserve"> de</w:t>
      </w:r>
      <w:r w:rsidRPr="00A2551C" w:rsidR="005D333F">
        <w:rPr>
          <w:lang w:val="fr-FR"/>
        </w:rPr>
        <w:t xml:space="preserve"> ses</w:t>
      </w:r>
      <w:r w:rsidRPr="00A2551C" w:rsidR="00E85DAC">
        <w:rPr>
          <w:lang w:val="fr-FR"/>
        </w:rPr>
        <w:t xml:space="preserve"> conditions de détention au sein de la colonie pénitentiaire </w:t>
      </w:r>
      <w:r w:rsidRPr="00A2551C" w:rsidR="008F2952">
        <w:rPr>
          <w:lang w:val="fr-FR"/>
        </w:rPr>
        <w:t>et que, dans les circonstances de l</w:t>
      </w:r>
      <w:r w:rsidRPr="00A2551C" w:rsidR="00A2551C">
        <w:rPr>
          <w:lang w:val="fr-FR"/>
        </w:rPr>
        <w:t>’</w:t>
      </w:r>
      <w:r w:rsidRPr="00A2551C" w:rsidR="008F2952">
        <w:rPr>
          <w:lang w:val="fr-FR"/>
        </w:rPr>
        <w:t xml:space="preserve">espèce, </w:t>
      </w:r>
      <w:r w:rsidRPr="00A2551C" w:rsidR="0064410F">
        <w:rPr>
          <w:lang w:val="fr-FR"/>
        </w:rPr>
        <w:t>il n</w:t>
      </w:r>
      <w:r w:rsidRPr="00A2551C" w:rsidR="00A2551C">
        <w:rPr>
          <w:lang w:val="fr-FR"/>
        </w:rPr>
        <w:t>’</w:t>
      </w:r>
      <w:r w:rsidRPr="00A2551C" w:rsidR="0064410F">
        <w:rPr>
          <w:lang w:val="fr-FR"/>
        </w:rPr>
        <w:t>y a pas lieu de</w:t>
      </w:r>
      <w:r w:rsidRPr="00A2551C" w:rsidR="00315FFB">
        <w:rPr>
          <w:lang w:val="fr-FR"/>
        </w:rPr>
        <w:t xml:space="preserve"> transférer la charge de la preuve au </w:t>
      </w:r>
      <w:r w:rsidRPr="00A2551C" w:rsidR="008F2952">
        <w:rPr>
          <w:lang w:val="fr-FR"/>
        </w:rPr>
        <w:t>Gouvernement</w:t>
      </w:r>
      <w:r w:rsidRPr="00A2551C" w:rsidR="00315FFB">
        <w:rPr>
          <w:lang w:val="fr-FR"/>
        </w:rPr>
        <w:t xml:space="preserve">. </w:t>
      </w:r>
      <w:r w:rsidRPr="00A2551C" w:rsidR="00E85DAC">
        <w:rPr>
          <w:lang w:val="fr-FR"/>
        </w:rPr>
        <w:t>Il s</w:t>
      </w:r>
      <w:r w:rsidRPr="00A2551C" w:rsidR="00A2551C">
        <w:rPr>
          <w:lang w:val="fr-FR"/>
        </w:rPr>
        <w:t>’</w:t>
      </w:r>
      <w:r w:rsidRPr="00A2551C" w:rsidR="00E85DAC">
        <w:rPr>
          <w:lang w:val="fr-FR"/>
        </w:rPr>
        <w:t xml:space="preserve">ensuit que cette partie du grief </w:t>
      </w:r>
      <w:r w:rsidRPr="00A2551C" w:rsidR="00F033B5">
        <w:rPr>
          <w:lang w:val="fr-FR"/>
        </w:rPr>
        <w:t xml:space="preserve">tiré </w:t>
      </w:r>
      <w:r w:rsidRPr="00A2551C" w:rsidR="00E85DAC">
        <w:rPr>
          <w:lang w:val="fr-FR"/>
        </w:rPr>
        <w:t>de l</w:t>
      </w:r>
      <w:r w:rsidRPr="00A2551C" w:rsidR="00A2551C">
        <w:rPr>
          <w:lang w:val="fr-FR"/>
        </w:rPr>
        <w:t>’</w:t>
      </w:r>
      <w:r w:rsidRPr="00A2551C" w:rsidR="00E85DAC">
        <w:rPr>
          <w:lang w:val="fr-FR"/>
        </w:rPr>
        <w:t>article 3 de la Convention est manifestement mal fondée et qu</w:t>
      </w:r>
      <w:r w:rsidRPr="00A2551C" w:rsidR="00A2551C">
        <w:rPr>
          <w:lang w:val="fr-FR"/>
        </w:rPr>
        <w:t>’</w:t>
      </w:r>
      <w:r w:rsidRPr="00A2551C" w:rsidR="00E85DAC">
        <w:rPr>
          <w:lang w:val="fr-FR"/>
        </w:rPr>
        <w:t>elle doit êtr</w:t>
      </w:r>
      <w:r w:rsidRPr="00A2551C" w:rsidR="00315FFB">
        <w:rPr>
          <w:lang w:val="fr-FR"/>
        </w:rPr>
        <w:t>e rejetée, en application de l</w:t>
      </w:r>
      <w:r w:rsidRPr="00A2551C" w:rsidR="00A2551C">
        <w:rPr>
          <w:lang w:val="fr-FR"/>
        </w:rPr>
        <w:t>’</w:t>
      </w:r>
      <w:r w:rsidRPr="00A2551C" w:rsidR="00E85DAC">
        <w:rPr>
          <w:lang w:val="fr-FR"/>
        </w:rPr>
        <w:t>article 35 §§ 3 a) et 4 de la Convention.</w:t>
      </w:r>
    </w:p>
    <w:p w:rsidRPr="00A2551C" w:rsidR="00E77CB3" w:rsidP="00A2551C" w:rsidRDefault="00657348">
      <w:pPr>
        <w:pStyle w:val="ECHRHeading1"/>
        <w:rPr>
          <w:lang w:val="fr-FR"/>
        </w:rPr>
      </w:pPr>
      <w:r w:rsidRPr="00A2551C">
        <w:rPr>
          <w:lang w:val="fr-FR"/>
        </w:rPr>
        <w:t>II</w:t>
      </w:r>
      <w:r w:rsidRPr="00A2551C" w:rsidR="00E77CB3">
        <w:rPr>
          <w:lang w:val="fr-FR"/>
        </w:rPr>
        <w:t>.  SUR LA VIOLATION ALLÉGUÉE DE L</w:t>
      </w:r>
      <w:r w:rsidRPr="00A2551C" w:rsidR="00A2551C">
        <w:rPr>
          <w:lang w:val="fr-FR"/>
        </w:rPr>
        <w:t>’</w:t>
      </w:r>
      <w:r w:rsidRPr="00A2551C" w:rsidR="00E77CB3">
        <w:rPr>
          <w:lang w:val="fr-FR"/>
        </w:rPr>
        <w:t xml:space="preserve">ARTICLE </w:t>
      </w:r>
      <w:r w:rsidRPr="00A2551C" w:rsidR="00146316">
        <w:rPr>
          <w:lang w:val="fr-FR"/>
        </w:rPr>
        <w:t>5 § 3</w:t>
      </w:r>
      <w:r w:rsidRPr="00A2551C" w:rsidR="00E77CB3">
        <w:rPr>
          <w:lang w:val="fr-FR"/>
        </w:rPr>
        <w:t xml:space="preserve"> DE LA CONVENTION</w:t>
      </w:r>
    </w:p>
    <w:p w:rsidRPr="00A2551C" w:rsidR="0014248D"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72</w:t>
      </w:r>
      <w:r w:rsidRPr="00A2551C">
        <w:rPr>
          <w:lang w:val="fr-FR"/>
        </w:rPr>
        <w:fldChar w:fldCharType="end"/>
      </w:r>
      <w:r w:rsidRPr="00A2551C" w:rsidR="00E77CB3">
        <w:rPr>
          <w:lang w:val="fr-FR"/>
        </w:rPr>
        <w:t>.  </w:t>
      </w:r>
      <w:r w:rsidRPr="00A2551C" w:rsidR="00B016B2">
        <w:rPr>
          <w:lang w:val="fr-FR"/>
        </w:rPr>
        <w:t>Le requérant allègue également que la durée de sa détention provisoire n</w:t>
      </w:r>
      <w:r w:rsidRPr="00A2551C" w:rsidR="00A2551C">
        <w:rPr>
          <w:lang w:val="fr-FR"/>
        </w:rPr>
        <w:t>’</w:t>
      </w:r>
      <w:r w:rsidRPr="00A2551C" w:rsidR="00B016B2">
        <w:rPr>
          <w:lang w:val="fr-FR"/>
        </w:rPr>
        <w:t>a pas été raisonnable au sens de l</w:t>
      </w:r>
      <w:r w:rsidRPr="00A2551C" w:rsidR="00A2551C">
        <w:rPr>
          <w:lang w:val="fr-FR"/>
        </w:rPr>
        <w:t>’</w:t>
      </w:r>
      <w:r w:rsidRPr="00A2551C" w:rsidR="00B016B2">
        <w:rPr>
          <w:lang w:val="fr-FR"/>
        </w:rPr>
        <w:t>article 5 § 3 de la Convention, ainsi libellé en ses parties pertinentes en l</w:t>
      </w:r>
      <w:r w:rsidRPr="00A2551C" w:rsidR="00A2551C">
        <w:rPr>
          <w:lang w:val="fr-FR"/>
        </w:rPr>
        <w:t>’</w:t>
      </w:r>
      <w:r w:rsidRPr="00A2551C" w:rsidR="00B016B2">
        <w:rPr>
          <w:lang w:val="fr-FR"/>
        </w:rPr>
        <w:t>espèce :</w:t>
      </w:r>
    </w:p>
    <w:p w:rsidRPr="00A2551C" w:rsidR="00B016B2" w:rsidP="00A2551C" w:rsidRDefault="00B016B2">
      <w:pPr>
        <w:pStyle w:val="ECHRParaQuote"/>
        <w:rPr>
          <w:lang w:val="fr-FR"/>
        </w:rPr>
      </w:pPr>
      <w:r w:rsidRPr="00A2551C">
        <w:rPr>
          <w:lang w:val="fr-FR"/>
        </w:rPr>
        <w:t>« Toute personne arrêtée ou détenue, dans les conditions prévues au paragraphe 1 c) du présent article (</w:t>
      </w:r>
      <w:r w:rsidRPr="00A2551C" w:rsidR="0014248D">
        <w:rPr>
          <w:lang w:val="fr-FR"/>
        </w:rPr>
        <w:t>...</w:t>
      </w:r>
      <w:r w:rsidRPr="00A2551C">
        <w:rPr>
          <w:lang w:val="fr-FR"/>
        </w:rPr>
        <w:t>) a le droit d</w:t>
      </w:r>
      <w:r w:rsidRPr="00A2551C" w:rsidR="00A2551C">
        <w:rPr>
          <w:lang w:val="fr-FR"/>
        </w:rPr>
        <w:t>’</w:t>
      </w:r>
      <w:r w:rsidRPr="00A2551C">
        <w:rPr>
          <w:lang w:val="fr-FR"/>
        </w:rPr>
        <w:t>être jugée dans un délai raisonnable, ou libérée pendant la procédure. La mise en liberté peut être subordonnée à une garantie assurant la comparution de l</w:t>
      </w:r>
      <w:r w:rsidRPr="00A2551C" w:rsidR="00A2551C">
        <w:rPr>
          <w:lang w:val="fr-FR"/>
        </w:rPr>
        <w:t>’</w:t>
      </w:r>
      <w:r w:rsidRPr="00A2551C">
        <w:rPr>
          <w:lang w:val="fr-FR"/>
        </w:rPr>
        <w:t>intéressé à l</w:t>
      </w:r>
      <w:r w:rsidRPr="00A2551C" w:rsidR="00A2551C">
        <w:rPr>
          <w:lang w:val="fr-FR"/>
        </w:rPr>
        <w:t>’</w:t>
      </w:r>
      <w:r w:rsidRPr="00A2551C">
        <w:rPr>
          <w:lang w:val="fr-FR"/>
        </w:rPr>
        <w:t>audience. »</w:t>
      </w:r>
    </w:p>
    <w:p w:rsidRPr="00A2551C" w:rsidR="00B016B2" w:rsidP="00A2551C" w:rsidRDefault="00B016B2">
      <w:pPr>
        <w:pStyle w:val="ECHRHeading2"/>
        <w:rPr>
          <w:lang w:val="fr-FR"/>
        </w:rPr>
      </w:pPr>
      <w:r w:rsidRPr="00A2551C">
        <w:rPr>
          <w:lang w:val="fr-FR"/>
        </w:rPr>
        <w:t>A.  Thèses des parties</w:t>
      </w:r>
    </w:p>
    <w:p w:rsidRPr="00A2551C" w:rsidR="00521CD7" w:rsidP="00A2551C" w:rsidRDefault="00B016B2">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73</w:t>
      </w:r>
      <w:r w:rsidRPr="00A2551C">
        <w:rPr>
          <w:lang w:val="fr-FR"/>
        </w:rPr>
        <w:fldChar w:fldCharType="end"/>
      </w:r>
      <w:r w:rsidRPr="00A2551C">
        <w:rPr>
          <w:lang w:val="fr-FR"/>
        </w:rPr>
        <w:t xml:space="preserve">.  Le Gouvernement </w:t>
      </w:r>
      <w:r w:rsidRPr="00A2551C" w:rsidR="00521CD7">
        <w:rPr>
          <w:lang w:val="fr-FR"/>
        </w:rPr>
        <w:t>argue que le requérant était accusé d</w:t>
      </w:r>
      <w:r w:rsidRPr="00A2551C" w:rsidR="00A2551C">
        <w:rPr>
          <w:lang w:val="fr-FR"/>
        </w:rPr>
        <w:t>’</w:t>
      </w:r>
      <w:r w:rsidRPr="00A2551C" w:rsidR="00521CD7">
        <w:rPr>
          <w:lang w:val="fr-FR"/>
        </w:rPr>
        <w:t>infractions particulièrement graves comm</w:t>
      </w:r>
      <w:r w:rsidRPr="00A2551C" w:rsidR="004E27F1">
        <w:rPr>
          <w:lang w:val="fr-FR"/>
        </w:rPr>
        <w:t>ises en bande organisée</w:t>
      </w:r>
      <w:r w:rsidRPr="00A2551C" w:rsidR="00074643">
        <w:rPr>
          <w:lang w:val="fr-FR"/>
        </w:rPr>
        <w:t>,</w:t>
      </w:r>
      <w:r w:rsidRPr="00A2551C" w:rsidR="004E27F1">
        <w:rPr>
          <w:lang w:val="fr-FR"/>
        </w:rPr>
        <w:t xml:space="preserve"> ce qui </w:t>
      </w:r>
      <w:r w:rsidRPr="00A2551C" w:rsidR="00521CD7">
        <w:rPr>
          <w:lang w:val="fr-FR"/>
        </w:rPr>
        <w:t>nécessit</w:t>
      </w:r>
      <w:r w:rsidRPr="00A2551C" w:rsidR="00074643">
        <w:rPr>
          <w:lang w:val="fr-FR"/>
        </w:rPr>
        <w:t>ait selon lui</w:t>
      </w:r>
      <w:r w:rsidRPr="00A2551C" w:rsidR="00521CD7">
        <w:rPr>
          <w:lang w:val="fr-FR"/>
        </w:rPr>
        <w:t xml:space="preserve"> une réponse adéquate des juridictions nationales. Outre la gravité des charges, </w:t>
      </w:r>
      <w:r w:rsidRPr="00A2551C" w:rsidR="00EC6BDF">
        <w:rPr>
          <w:lang w:val="fr-FR"/>
        </w:rPr>
        <w:t>les juridictions nationales</w:t>
      </w:r>
      <w:r w:rsidRPr="00A2551C" w:rsidR="00521CD7">
        <w:rPr>
          <w:lang w:val="fr-FR"/>
        </w:rPr>
        <w:t xml:space="preserve"> auraient également pris en compte les risques que l</w:t>
      </w:r>
      <w:r w:rsidRPr="00A2551C" w:rsidR="00A2551C">
        <w:rPr>
          <w:lang w:val="fr-FR"/>
        </w:rPr>
        <w:t>’</w:t>
      </w:r>
      <w:r w:rsidRPr="00A2551C" w:rsidR="00521CD7">
        <w:rPr>
          <w:lang w:val="fr-FR"/>
        </w:rPr>
        <w:t xml:space="preserve">intéressé </w:t>
      </w:r>
      <w:r w:rsidRPr="00A2551C" w:rsidR="000A559F">
        <w:rPr>
          <w:lang w:val="fr-FR"/>
        </w:rPr>
        <w:t>se soustraie à l</w:t>
      </w:r>
      <w:r w:rsidRPr="00A2551C" w:rsidR="00A2551C">
        <w:rPr>
          <w:lang w:val="fr-FR"/>
        </w:rPr>
        <w:t>’</w:t>
      </w:r>
      <w:r w:rsidRPr="00A2551C" w:rsidR="000A559F">
        <w:rPr>
          <w:lang w:val="fr-FR"/>
        </w:rPr>
        <w:t>enquête</w:t>
      </w:r>
      <w:r w:rsidRPr="00A2551C" w:rsidR="00521CD7">
        <w:rPr>
          <w:lang w:val="fr-FR"/>
        </w:rPr>
        <w:t xml:space="preserve">, fasse pression sur les témoins, </w:t>
      </w:r>
      <w:r w:rsidRPr="00A2551C" w:rsidR="000A559F">
        <w:rPr>
          <w:lang w:val="fr-FR"/>
        </w:rPr>
        <w:t xml:space="preserve">détruise des preuves </w:t>
      </w:r>
      <w:r w:rsidRPr="00A2551C" w:rsidR="00521CD7">
        <w:rPr>
          <w:lang w:val="fr-FR"/>
        </w:rPr>
        <w:t>ou entrave l</w:t>
      </w:r>
      <w:r w:rsidRPr="00A2551C" w:rsidR="00A2551C">
        <w:rPr>
          <w:lang w:val="fr-FR"/>
        </w:rPr>
        <w:t>’</w:t>
      </w:r>
      <w:r w:rsidRPr="00A2551C" w:rsidR="00521CD7">
        <w:rPr>
          <w:lang w:val="fr-FR"/>
        </w:rPr>
        <w:t>enquête d</w:t>
      </w:r>
      <w:r w:rsidRPr="00A2551C" w:rsidR="00A2551C">
        <w:rPr>
          <w:lang w:val="fr-FR"/>
        </w:rPr>
        <w:t>’</w:t>
      </w:r>
      <w:r w:rsidRPr="00A2551C" w:rsidR="000A559F">
        <w:rPr>
          <w:lang w:val="fr-FR"/>
        </w:rPr>
        <w:t xml:space="preserve">une autre manière. Le Gouvernement indique également </w:t>
      </w:r>
      <w:r w:rsidRPr="00A2551C" w:rsidR="00521CD7">
        <w:rPr>
          <w:lang w:val="fr-FR"/>
        </w:rPr>
        <w:t>que l</w:t>
      </w:r>
      <w:r w:rsidRPr="00A2551C" w:rsidR="00A2551C">
        <w:rPr>
          <w:lang w:val="fr-FR"/>
        </w:rPr>
        <w:t>’</w:t>
      </w:r>
      <w:r w:rsidRPr="00A2551C" w:rsidR="00521CD7">
        <w:rPr>
          <w:lang w:val="fr-FR"/>
        </w:rPr>
        <w:t>affaire pénale menée à l</w:t>
      </w:r>
      <w:r w:rsidRPr="00A2551C" w:rsidR="00A2551C">
        <w:rPr>
          <w:lang w:val="fr-FR"/>
        </w:rPr>
        <w:t>’</w:t>
      </w:r>
      <w:r w:rsidRPr="00A2551C" w:rsidR="00521CD7">
        <w:rPr>
          <w:lang w:val="fr-FR"/>
        </w:rPr>
        <w:t>encontre de l</w:t>
      </w:r>
      <w:r w:rsidRPr="00A2551C" w:rsidR="00A2551C">
        <w:rPr>
          <w:lang w:val="fr-FR"/>
        </w:rPr>
        <w:t>’</w:t>
      </w:r>
      <w:r w:rsidRPr="00A2551C" w:rsidR="00521CD7">
        <w:rPr>
          <w:lang w:val="fr-FR"/>
        </w:rPr>
        <w:t>intéressé était parti</w:t>
      </w:r>
      <w:r w:rsidRPr="00A2551C" w:rsidR="000A559F">
        <w:rPr>
          <w:lang w:val="fr-FR"/>
        </w:rPr>
        <w:t xml:space="preserve">culièrement complexe : </w:t>
      </w:r>
      <w:r w:rsidRPr="00A2551C" w:rsidR="00521CD7">
        <w:rPr>
          <w:lang w:val="fr-FR"/>
        </w:rPr>
        <w:t xml:space="preserve">il y avait </w:t>
      </w:r>
      <w:r w:rsidRPr="00A2551C" w:rsidR="000A559F">
        <w:rPr>
          <w:lang w:val="fr-FR"/>
        </w:rPr>
        <w:t>treize</w:t>
      </w:r>
      <w:r w:rsidRPr="00A2551C" w:rsidR="00521CD7">
        <w:rPr>
          <w:lang w:val="fr-FR"/>
        </w:rPr>
        <w:t xml:space="preserve"> accusés</w:t>
      </w:r>
      <w:r w:rsidRPr="00A2551C" w:rsidR="004E27F1">
        <w:rPr>
          <w:lang w:val="fr-FR"/>
        </w:rPr>
        <w:t>, les faits incriminés av</w:t>
      </w:r>
      <w:r w:rsidRPr="00A2551C" w:rsidR="000A559F">
        <w:rPr>
          <w:lang w:val="fr-FR"/>
        </w:rPr>
        <w:t>aient eu lieu dans plusieurs régions du pays ainsi qu</w:t>
      </w:r>
      <w:r w:rsidRPr="00A2551C" w:rsidR="00A2551C">
        <w:rPr>
          <w:lang w:val="fr-FR"/>
        </w:rPr>
        <w:t>’</w:t>
      </w:r>
      <w:r w:rsidRPr="00A2551C" w:rsidR="000A559F">
        <w:rPr>
          <w:lang w:val="fr-FR"/>
        </w:rPr>
        <w:t>en Biélorussie,</w:t>
      </w:r>
      <w:r w:rsidRPr="00A2551C" w:rsidR="00521CD7">
        <w:rPr>
          <w:lang w:val="fr-FR"/>
        </w:rPr>
        <w:t xml:space="preserve"> les autorités d</w:t>
      </w:r>
      <w:r w:rsidRPr="00A2551C" w:rsidR="00A2551C">
        <w:rPr>
          <w:lang w:val="fr-FR"/>
        </w:rPr>
        <w:t>’</w:t>
      </w:r>
      <w:r w:rsidRPr="00A2551C" w:rsidR="00521CD7">
        <w:rPr>
          <w:lang w:val="fr-FR"/>
        </w:rPr>
        <w:t>investigation avaient besoin de procéder à plusieurs mesures d</w:t>
      </w:r>
      <w:r w:rsidRPr="00A2551C" w:rsidR="00A2551C">
        <w:rPr>
          <w:lang w:val="fr-FR"/>
        </w:rPr>
        <w:t>’</w:t>
      </w:r>
      <w:r w:rsidRPr="00A2551C" w:rsidR="00521CD7">
        <w:rPr>
          <w:lang w:val="fr-FR"/>
        </w:rPr>
        <w:t>instruction et devaient s</w:t>
      </w:r>
      <w:r w:rsidRPr="00A2551C" w:rsidR="00A2551C">
        <w:rPr>
          <w:lang w:val="fr-FR"/>
        </w:rPr>
        <w:t>’</w:t>
      </w:r>
      <w:r w:rsidRPr="00A2551C" w:rsidR="00521CD7">
        <w:rPr>
          <w:lang w:val="fr-FR"/>
        </w:rPr>
        <w:t xml:space="preserve">assurer </w:t>
      </w:r>
      <w:r w:rsidRPr="00A2551C" w:rsidR="00AA6FF5">
        <w:rPr>
          <w:lang w:val="fr-FR"/>
        </w:rPr>
        <w:t>que</w:t>
      </w:r>
      <w:r w:rsidRPr="00A2551C" w:rsidR="00521CD7">
        <w:rPr>
          <w:lang w:val="fr-FR"/>
        </w:rPr>
        <w:t xml:space="preserve"> tous les accusés</w:t>
      </w:r>
      <w:r w:rsidRPr="00A2551C" w:rsidR="000A559F">
        <w:rPr>
          <w:lang w:val="fr-FR"/>
        </w:rPr>
        <w:t xml:space="preserve"> et leurs avocats</w:t>
      </w:r>
      <w:r w:rsidRPr="00A2551C" w:rsidR="00AA6FF5">
        <w:rPr>
          <w:lang w:val="fr-FR"/>
        </w:rPr>
        <w:t xml:space="preserve"> prennent connaissance du dossier pénal</w:t>
      </w:r>
      <w:r w:rsidRPr="00A2551C" w:rsidR="00521CD7">
        <w:rPr>
          <w:lang w:val="fr-FR"/>
        </w:rPr>
        <w:t>.</w:t>
      </w:r>
    </w:p>
    <w:p w:rsidRPr="00A2551C" w:rsidR="00B016B2" w:rsidP="00A2551C" w:rsidRDefault="000A559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74</w:t>
      </w:r>
      <w:r w:rsidRPr="00A2551C">
        <w:rPr>
          <w:lang w:val="fr-FR"/>
        </w:rPr>
        <w:fldChar w:fldCharType="end"/>
      </w:r>
      <w:r w:rsidRPr="00A2551C">
        <w:rPr>
          <w:lang w:val="fr-FR"/>
        </w:rPr>
        <w:t>.  </w:t>
      </w:r>
      <w:r w:rsidRPr="00A2551C" w:rsidR="00B016B2">
        <w:rPr>
          <w:lang w:val="fr-FR"/>
        </w:rPr>
        <w:t>L</w:t>
      </w:r>
      <w:r w:rsidRPr="00A2551C" w:rsidR="00D05753">
        <w:rPr>
          <w:lang w:val="fr-FR"/>
        </w:rPr>
        <w:t>e requérant maintient son grief et allègue que, pour prolonger sa détention provisoire, les tribunaux internes se sont constamment référés à la gravité des charges pesant à son encontre et au risque de fuite, d</w:t>
      </w:r>
      <w:r w:rsidRPr="00A2551C" w:rsidR="00A2551C">
        <w:rPr>
          <w:lang w:val="fr-FR"/>
        </w:rPr>
        <w:t>’</w:t>
      </w:r>
      <w:r w:rsidRPr="00A2551C" w:rsidR="00D05753">
        <w:rPr>
          <w:lang w:val="fr-FR"/>
        </w:rPr>
        <w:t>entrave à la justice ou de pressions sur les témoins ou sur les autres parties à la procédure pénale, et ce, selon lui, sans étayer ces motifs par des faits concrets.</w:t>
      </w:r>
    </w:p>
    <w:p w:rsidRPr="00A2551C" w:rsidR="00B016B2" w:rsidP="00A2551C" w:rsidRDefault="00B016B2">
      <w:pPr>
        <w:pStyle w:val="ECHRHeading2"/>
        <w:rPr>
          <w:lang w:val="fr-FR"/>
        </w:rPr>
      </w:pPr>
      <w:r w:rsidRPr="00A2551C">
        <w:rPr>
          <w:lang w:val="fr-FR"/>
        </w:rPr>
        <w:t>B.  Appréciation de la Cour</w:t>
      </w:r>
    </w:p>
    <w:p w:rsidRPr="00A2551C" w:rsidR="00B016B2" w:rsidP="00A2551C" w:rsidRDefault="00B016B2">
      <w:pPr>
        <w:pStyle w:val="ECHRHeading3"/>
        <w:rPr>
          <w:lang w:val="fr-FR"/>
        </w:rPr>
      </w:pPr>
      <w:r w:rsidRPr="00A2551C">
        <w:rPr>
          <w:lang w:val="fr-FR"/>
        </w:rPr>
        <w:t>1.  Sur la recevabilité</w:t>
      </w:r>
    </w:p>
    <w:p w:rsidRPr="00A2551C" w:rsidR="00B016B2" w:rsidP="00A2551C" w:rsidRDefault="00B7265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75</w:t>
      </w:r>
      <w:r w:rsidRPr="00A2551C">
        <w:rPr>
          <w:lang w:val="fr-FR"/>
        </w:rPr>
        <w:fldChar w:fldCharType="end"/>
      </w:r>
      <w:r w:rsidRPr="00A2551C">
        <w:rPr>
          <w:lang w:val="fr-FR"/>
        </w:rPr>
        <w:t>.  </w:t>
      </w:r>
      <w:r w:rsidRPr="00A2551C" w:rsidR="00657348">
        <w:rPr>
          <w:lang w:val="fr-FR"/>
        </w:rPr>
        <w:t>Constatant que ce grief n</w:t>
      </w:r>
      <w:r w:rsidRPr="00A2551C" w:rsidR="00A2551C">
        <w:rPr>
          <w:lang w:val="fr-FR"/>
        </w:rPr>
        <w:t>’</w:t>
      </w:r>
      <w:r w:rsidRPr="00A2551C" w:rsidR="00657348">
        <w:rPr>
          <w:lang w:val="fr-FR"/>
        </w:rPr>
        <w:t>est pas manifestement mal fondé au sens de l</w:t>
      </w:r>
      <w:r w:rsidRPr="00A2551C" w:rsidR="00A2551C">
        <w:rPr>
          <w:lang w:val="fr-FR"/>
        </w:rPr>
        <w:t>’</w:t>
      </w:r>
      <w:r w:rsidRPr="00A2551C" w:rsidR="00657348">
        <w:rPr>
          <w:lang w:val="fr-FR"/>
        </w:rPr>
        <w:t>article 35 § 3 a) de la Convention et qu</w:t>
      </w:r>
      <w:r w:rsidRPr="00A2551C" w:rsidR="00A2551C">
        <w:rPr>
          <w:lang w:val="fr-FR"/>
        </w:rPr>
        <w:t>’</w:t>
      </w:r>
      <w:r w:rsidRPr="00A2551C" w:rsidR="00657348">
        <w:rPr>
          <w:lang w:val="fr-FR"/>
        </w:rPr>
        <w:t>il ne se heurte par ailleurs à aucun autre motif d</w:t>
      </w:r>
      <w:r w:rsidRPr="00A2551C" w:rsidR="00A2551C">
        <w:rPr>
          <w:lang w:val="fr-FR"/>
        </w:rPr>
        <w:t>’</w:t>
      </w:r>
      <w:r w:rsidRPr="00A2551C" w:rsidR="00657348">
        <w:rPr>
          <w:lang w:val="fr-FR"/>
        </w:rPr>
        <w:t>irrecevabilité, la Cour le déclare recevable.</w:t>
      </w:r>
    </w:p>
    <w:p w:rsidRPr="00A2551C" w:rsidR="005D1B3B" w:rsidP="00A2551C" w:rsidRDefault="005D1B3B">
      <w:pPr>
        <w:pStyle w:val="ECHRHeading3"/>
        <w:rPr>
          <w:lang w:val="fr-FR"/>
        </w:rPr>
      </w:pPr>
      <w:r w:rsidRPr="00A2551C">
        <w:rPr>
          <w:lang w:val="fr-FR"/>
        </w:rPr>
        <w:t>2.  Sur le fond</w:t>
      </w:r>
    </w:p>
    <w:p w:rsidRPr="00A2551C" w:rsidR="005D1B3B" w:rsidP="00A2551C" w:rsidRDefault="007F6419">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76</w:t>
      </w:r>
      <w:r w:rsidRPr="00A2551C">
        <w:rPr>
          <w:lang w:val="fr-FR"/>
        </w:rPr>
        <w:fldChar w:fldCharType="end"/>
      </w:r>
      <w:r w:rsidRPr="00A2551C">
        <w:rPr>
          <w:lang w:val="fr-FR"/>
        </w:rPr>
        <w:t xml:space="preserve">.  La Cour note que </w:t>
      </w:r>
      <w:r w:rsidRPr="00A2551C" w:rsidR="005D1B3B">
        <w:rPr>
          <w:lang w:val="fr-FR"/>
        </w:rPr>
        <w:t xml:space="preserve">la détention provisoire du requérant a duré du </w:t>
      </w:r>
      <w:r w:rsidRPr="00A2551C" w:rsidR="006B2924">
        <w:rPr>
          <w:lang w:val="fr-FR"/>
        </w:rPr>
        <w:t>16 </w:t>
      </w:r>
      <w:r w:rsidRPr="00A2551C" w:rsidR="005D1B3B">
        <w:rPr>
          <w:lang w:val="fr-FR"/>
        </w:rPr>
        <w:t>janvier 2007 au 28 décembre 2010, date à laquelle ce dernier a été condamné par le t</w:t>
      </w:r>
      <w:r w:rsidRPr="00A2551C">
        <w:rPr>
          <w:lang w:val="fr-FR"/>
        </w:rPr>
        <w:t>ribunal de première instance</w:t>
      </w:r>
      <w:r w:rsidRPr="00A2551C" w:rsidR="00D05753">
        <w:rPr>
          <w:lang w:val="fr-FR"/>
        </w:rPr>
        <w:t xml:space="preserve">. </w:t>
      </w:r>
      <w:r w:rsidRPr="00A2551C" w:rsidR="00D05753">
        <w:rPr>
          <w:bCs/>
          <w:lang w:val="fr-FR"/>
        </w:rPr>
        <w:t>La durée globale de la détention au sens de l</w:t>
      </w:r>
      <w:r w:rsidRPr="00A2551C" w:rsidR="00A2551C">
        <w:rPr>
          <w:bCs/>
          <w:lang w:val="fr-FR"/>
        </w:rPr>
        <w:t>’</w:t>
      </w:r>
      <w:r w:rsidRPr="00A2551C" w:rsidR="00D05753">
        <w:rPr>
          <w:bCs/>
          <w:lang w:val="fr-FR"/>
        </w:rPr>
        <w:t xml:space="preserve">article 5 § 3 de la Convention a donc été de </w:t>
      </w:r>
      <w:r w:rsidRPr="00A2551C" w:rsidR="00D05753">
        <w:rPr>
          <w:lang w:val="fr-FR"/>
        </w:rPr>
        <w:t xml:space="preserve">trois ans, onze mois et douze jours. </w:t>
      </w:r>
      <w:r w:rsidRPr="00A2551C" w:rsidR="00D05753">
        <w:rPr>
          <w:bCs/>
          <w:lang w:val="fr-FR"/>
        </w:rPr>
        <w:t>Eu égard à la durée considérable de cette période et à la présomption en faveur d</w:t>
      </w:r>
      <w:r w:rsidRPr="00A2551C" w:rsidR="00A2551C">
        <w:rPr>
          <w:bCs/>
          <w:lang w:val="fr-FR"/>
        </w:rPr>
        <w:t>’</w:t>
      </w:r>
      <w:r w:rsidRPr="00A2551C" w:rsidR="00D05753">
        <w:rPr>
          <w:bCs/>
          <w:lang w:val="fr-FR"/>
        </w:rPr>
        <w:t>une libération, la Cour estime que les juridictions internes devaient invoquer des motifs convaincants pour prolonger la détention de l</w:t>
      </w:r>
      <w:r w:rsidRPr="00A2551C" w:rsidR="00A2551C">
        <w:rPr>
          <w:bCs/>
          <w:lang w:val="fr-FR"/>
        </w:rPr>
        <w:t>’</w:t>
      </w:r>
      <w:r w:rsidRPr="00A2551C" w:rsidR="00D05753">
        <w:rPr>
          <w:bCs/>
          <w:lang w:val="fr-FR"/>
        </w:rPr>
        <w:t>intéressé (</w:t>
      </w:r>
      <w:proofErr w:type="spellStart"/>
      <w:r w:rsidRPr="00A2551C" w:rsidR="00D05753">
        <w:rPr>
          <w:bCs/>
          <w:i/>
          <w:iCs/>
          <w:lang w:val="fr-FR"/>
        </w:rPr>
        <w:t>Stepan</w:t>
      </w:r>
      <w:proofErr w:type="spellEnd"/>
      <w:r w:rsidRPr="00A2551C" w:rsidR="00D05753">
        <w:rPr>
          <w:bCs/>
          <w:i/>
          <w:iCs/>
          <w:lang w:val="fr-FR"/>
        </w:rPr>
        <w:t xml:space="preserve"> </w:t>
      </w:r>
      <w:proofErr w:type="spellStart"/>
      <w:r w:rsidRPr="00A2551C" w:rsidR="00D05753">
        <w:rPr>
          <w:bCs/>
          <w:i/>
          <w:iCs/>
          <w:lang w:val="fr-FR"/>
        </w:rPr>
        <w:t>Zimin</w:t>
      </w:r>
      <w:proofErr w:type="spellEnd"/>
      <w:r w:rsidRPr="00A2551C" w:rsidR="00D05753">
        <w:rPr>
          <w:bCs/>
          <w:i/>
          <w:iCs/>
          <w:lang w:val="fr-FR"/>
        </w:rPr>
        <w:t xml:space="preserve"> c. Russie</w:t>
      </w:r>
      <w:r w:rsidRPr="00A2551C" w:rsidR="00D05753">
        <w:rPr>
          <w:bCs/>
          <w:lang w:val="fr-FR"/>
        </w:rPr>
        <w:t>, n</w:t>
      </w:r>
      <w:r w:rsidRPr="00A2551C" w:rsidR="00D05753">
        <w:rPr>
          <w:bCs/>
          <w:vertAlign w:val="superscript"/>
          <w:lang w:val="fr-FR"/>
        </w:rPr>
        <w:t>o</w:t>
      </w:r>
      <w:r w:rsidRPr="00A2551C" w:rsidR="004E4A89">
        <w:rPr>
          <w:bCs/>
          <w:vertAlign w:val="superscript"/>
          <w:lang w:val="fr-FR"/>
        </w:rPr>
        <w:t>s</w:t>
      </w:r>
      <w:r w:rsidRPr="00A2551C" w:rsidR="00D05753">
        <w:rPr>
          <w:bCs/>
          <w:vertAlign w:val="superscript"/>
          <w:lang w:val="fr-FR"/>
        </w:rPr>
        <w:t> </w:t>
      </w:r>
      <w:r w:rsidRPr="00A2551C" w:rsidR="00D05753">
        <w:rPr>
          <w:bCs/>
          <w:lang w:val="fr-FR"/>
        </w:rPr>
        <w:t>63686/13, 60894/14, § 55, 30 janvier 2018).</w:t>
      </w:r>
    </w:p>
    <w:p w:rsidRPr="00A2551C" w:rsidR="00D82A5C" w:rsidP="00A2551C" w:rsidRDefault="00D05753">
      <w:pPr>
        <w:pStyle w:val="ECHRPara"/>
        <w:rPr>
          <w:bCs/>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77</w:t>
      </w:r>
      <w:r w:rsidRPr="00A2551C">
        <w:rPr>
          <w:lang w:val="fr-FR"/>
        </w:rPr>
        <w:fldChar w:fldCharType="end"/>
      </w:r>
      <w:r w:rsidRPr="00A2551C">
        <w:rPr>
          <w:lang w:val="fr-FR"/>
        </w:rPr>
        <w:t>.  </w:t>
      </w:r>
      <w:r w:rsidRPr="00A2551C">
        <w:rPr>
          <w:bCs/>
          <w:lang w:val="fr-FR"/>
        </w:rPr>
        <w:t>En l</w:t>
      </w:r>
      <w:r w:rsidRPr="00A2551C" w:rsidR="00A2551C">
        <w:rPr>
          <w:bCs/>
          <w:lang w:val="fr-FR"/>
        </w:rPr>
        <w:t>’</w:t>
      </w:r>
      <w:r w:rsidRPr="00A2551C">
        <w:rPr>
          <w:bCs/>
          <w:lang w:val="fr-FR"/>
        </w:rPr>
        <w:t xml:space="preserve">espèce, </w:t>
      </w:r>
      <w:r w:rsidRPr="00A2551C" w:rsidR="00042107">
        <w:rPr>
          <w:bCs/>
          <w:lang w:val="fr-FR"/>
        </w:rPr>
        <w:t xml:space="preserve">la Cour </w:t>
      </w:r>
      <w:r w:rsidRPr="00A2551C">
        <w:rPr>
          <w:lang w:val="fr-FR"/>
        </w:rPr>
        <w:t>constate que les décisions prorogeant la détention provisoire du requérant étaient rédigé</w:t>
      </w:r>
      <w:r w:rsidRPr="00A2551C" w:rsidR="00042107">
        <w:rPr>
          <w:lang w:val="fr-FR"/>
        </w:rPr>
        <w:t>es en des termes stéréotypés et</w:t>
      </w:r>
      <w:r w:rsidRPr="00A2551C">
        <w:rPr>
          <w:lang w:val="fr-FR"/>
        </w:rPr>
        <w:t xml:space="preserve"> </w:t>
      </w:r>
      <w:r w:rsidRPr="00A2551C" w:rsidR="00967559">
        <w:rPr>
          <w:lang w:val="fr-FR"/>
        </w:rPr>
        <w:t>n</w:t>
      </w:r>
      <w:r w:rsidRPr="00A2551C" w:rsidR="00A2551C">
        <w:rPr>
          <w:lang w:val="fr-FR"/>
        </w:rPr>
        <w:t>’</w:t>
      </w:r>
      <w:r w:rsidRPr="00A2551C" w:rsidR="00967559">
        <w:rPr>
          <w:lang w:val="fr-FR"/>
        </w:rPr>
        <w:t>étaient basées</w:t>
      </w:r>
      <w:r w:rsidRPr="00A2551C" w:rsidR="007E19B6">
        <w:rPr>
          <w:lang w:val="fr-FR"/>
        </w:rPr>
        <w:t xml:space="preserve"> </w:t>
      </w:r>
      <w:r w:rsidRPr="00A2551C" w:rsidR="00967559">
        <w:rPr>
          <w:lang w:val="fr-FR"/>
        </w:rPr>
        <w:t xml:space="preserve">sur aucun élément factuel concret. </w:t>
      </w:r>
      <w:r w:rsidRPr="00A2551C" w:rsidR="00335DA1">
        <w:rPr>
          <w:lang w:val="fr-FR"/>
        </w:rPr>
        <w:t>L</w:t>
      </w:r>
      <w:r w:rsidRPr="00A2551C" w:rsidR="00DD3141">
        <w:rPr>
          <w:bCs/>
          <w:lang w:val="fr-FR"/>
        </w:rPr>
        <w:t>es tribunaux internes ont maintenu le requérant en détention provisoire en se référant principalement à la gravité des charges dirigées à son encontre ainsi qu</w:t>
      </w:r>
      <w:r w:rsidRPr="00A2551C" w:rsidR="00A2551C">
        <w:rPr>
          <w:bCs/>
          <w:lang w:val="fr-FR"/>
        </w:rPr>
        <w:t>’</w:t>
      </w:r>
      <w:r w:rsidRPr="00A2551C" w:rsidR="00DD3141">
        <w:rPr>
          <w:bCs/>
          <w:lang w:val="fr-FR"/>
        </w:rPr>
        <w:t xml:space="preserve">à la complexité </w:t>
      </w:r>
      <w:r w:rsidRPr="00A2551C" w:rsidR="00D82A5C">
        <w:rPr>
          <w:bCs/>
          <w:lang w:val="fr-FR"/>
        </w:rPr>
        <w:t>de l</w:t>
      </w:r>
      <w:r w:rsidRPr="00A2551C" w:rsidR="00A2551C">
        <w:rPr>
          <w:bCs/>
          <w:lang w:val="fr-FR"/>
        </w:rPr>
        <w:t>’</w:t>
      </w:r>
      <w:r w:rsidRPr="00A2551C" w:rsidR="00D82A5C">
        <w:rPr>
          <w:bCs/>
          <w:lang w:val="fr-FR"/>
        </w:rPr>
        <w:t>affaire</w:t>
      </w:r>
      <w:r w:rsidRPr="00A2551C" w:rsidR="00DD3141">
        <w:rPr>
          <w:bCs/>
          <w:lang w:val="fr-FR"/>
        </w:rPr>
        <w:t xml:space="preserve"> pénal</w:t>
      </w:r>
      <w:r w:rsidRPr="00A2551C" w:rsidR="00D82A5C">
        <w:rPr>
          <w:bCs/>
          <w:lang w:val="fr-FR"/>
        </w:rPr>
        <w:t>e</w:t>
      </w:r>
      <w:r w:rsidRPr="00A2551C" w:rsidR="0064410F">
        <w:rPr>
          <w:bCs/>
          <w:lang w:val="fr-FR"/>
        </w:rPr>
        <w:t xml:space="preserve"> (paragraphes </w:t>
      </w:r>
      <w:r w:rsidRPr="00A2551C" w:rsidR="0064410F">
        <w:rPr>
          <w:bCs/>
          <w:lang w:val="fr-FR"/>
        </w:rPr>
        <w:fldChar w:fldCharType="begin"/>
      </w:r>
      <w:r w:rsidRPr="00A2551C" w:rsidR="0064410F">
        <w:rPr>
          <w:bCs/>
          <w:lang w:val="fr-FR"/>
        </w:rPr>
        <w:instrText xml:space="preserve"> REF durdt1 \h </w:instrText>
      </w:r>
      <w:r w:rsidRPr="00A2551C" w:rsidR="001F5753">
        <w:rPr>
          <w:bCs/>
          <w:lang w:val="fr-FR"/>
        </w:rPr>
        <w:instrText xml:space="preserve"> \* MERGEFORMAT </w:instrText>
      </w:r>
      <w:r w:rsidRPr="00A2551C" w:rsidR="0064410F">
        <w:rPr>
          <w:bCs/>
          <w:lang w:val="fr-FR"/>
        </w:rPr>
      </w:r>
      <w:r w:rsidRPr="00A2551C" w:rsidR="0064410F">
        <w:rPr>
          <w:bCs/>
          <w:lang w:val="fr-FR"/>
        </w:rPr>
        <w:fldChar w:fldCharType="separate"/>
      </w:r>
      <w:r w:rsidRPr="00A2551C" w:rsidR="00A2551C">
        <w:rPr>
          <w:noProof/>
          <w:lang w:val="fr-FR"/>
        </w:rPr>
        <w:t>9</w:t>
      </w:r>
      <w:r w:rsidRPr="00A2551C" w:rsidR="0064410F">
        <w:rPr>
          <w:bCs/>
          <w:lang w:val="fr-FR"/>
        </w:rPr>
        <w:fldChar w:fldCharType="end"/>
      </w:r>
      <w:r w:rsidRPr="00A2551C" w:rsidR="0064410F">
        <w:rPr>
          <w:bCs/>
          <w:lang w:val="fr-FR"/>
        </w:rPr>
        <w:noBreakHyphen/>
      </w:r>
      <w:r w:rsidRPr="00A2551C" w:rsidR="0064410F">
        <w:rPr>
          <w:bCs/>
          <w:lang w:val="fr-FR"/>
        </w:rPr>
        <w:fldChar w:fldCharType="begin"/>
      </w:r>
      <w:r w:rsidRPr="00A2551C" w:rsidR="0064410F">
        <w:rPr>
          <w:bCs/>
          <w:lang w:val="fr-FR"/>
        </w:rPr>
        <w:instrText xml:space="preserve"> REF durdt2 \h </w:instrText>
      </w:r>
      <w:r w:rsidRPr="00A2551C" w:rsidR="001F5753">
        <w:rPr>
          <w:bCs/>
          <w:lang w:val="fr-FR"/>
        </w:rPr>
        <w:instrText xml:space="preserve"> \* MERGEFORMAT </w:instrText>
      </w:r>
      <w:r w:rsidRPr="00A2551C" w:rsidR="0064410F">
        <w:rPr>
          <w:bCs/>
          <w:lang w:val="fr-FR"/>
        </w:rPr>
      </w:r>
      <w:r w:rsidRPr="00A2551C" w:rsidR="0064410F">
        <w:rPr>
          <w:bCs/>
          <w:lang w:val="fr-FR"/>
        </w:rPr>
        <w:fldChar w:fldCharType="separate"/>
      </w:r>
      <w:r w:rsidRPr="00A2551C" w:rsidR="00A2551C">
        <w:rPr>
          <w:noProof/>
          <w:lang w:val="fr-FR"/>
        </w:rPr>
        <w:t>10</w:t>
      </w:r>
      <w:r w:rsidRPr="00A2551C" w:rsidR="0064410F">
        <w:rPr>
          <w:bCs/>
          <w:lang w:val="fr-FR"/>
        </w:rPr>
        <w:fldChar w:fldCharType="end"/>
      </w:r>
      <w:r w:rsidRPr="00A2551C" w:rsidR="0064410F">
        <w:rPr>
          <w:bCs/>
          <w:lang w:val="fr-FR"/>
        </w:rPr>
        <w:t xml:space="preserve">, </w:t>
      </w:r>
      <w:r w:rsidRPr="00A2551C" w:rsidR="0064410F">
        <w:rPr>
          <w:bCs/>
          <w:lang w:val="fr-FR"/>
        </w:rPr>
        <w:fldChar w:fldCharType="begin"/>
      </w:r>
      <w:r w:rsidRPr="00A2551C" w:rsidR="0064410F">
        <w:rPr>
          <w:bCs/>
          <w:lang w:val="fr-FR"/>
        </w:rPr>
        <w:instrText xml:space="preserve"> REF durdt3 \h </w:instrText>
      </w:r>
      <w:r w:rsidRPr="00A2551C" w:rsidR="001F5753">
        <w:rPr>
          <w:bCs/>
          <w:lang w:val="fr-FR"/>
        </w:rPr>
        <w:instrText xml:space="preserve"> \* MERGEFORMAT </w:instrText>
      </w:r>
      <w:r w:rsidRPr="00A2551C" w:rsidR="0064410F">
        <w:rPr>
          <w:bCs/>
          <w:lang w:val="fr-FR"/>
        </w:rPr>
      </w:r>
      <w:r w:rsidRPr="00A2551C" w:rsidR="0064410F">
        <w:rPr>
          <w:bCs/>
          <w:lang w:val="fr-FR"/>
        </w:rPr>
        <w:fldChar w:fldCharType="separate"/>
      </w:r>
      <w:r w:rsidRPr="00A2551C" w:rsidR="00A2551C">
        <w:rPr>
          <w:noProof/>
          <w:lang w:val="fr-FR"/>
        </w:rPr>
        <w:t>12</w:t>
      </w:r>
      <w:r w:rsidRPr="00A2551C" w:rsidR="0064410F">
        <w:rPr>
          <w:bCs/>
          <w:lang w:val="fr-FR"/>
        </w:rPr>
        <w:fldChar w:fldCharType="end"/>
      </w:r>
      <w:r w:rsidRPr="00A2551C" w:rsidR="0064410F">
        <w:rPr>
          <w:bCs/>
          <w:lang w:val="fr-FR"/>
        </w:rPr>
        <w:noBreakHyphen/>
      </w:r>
      <w:r w:rsidRPr="00A2551C" w:rsidR="0064410F">
        <w:rPr>
          <w:bCs/>
          <w:lang w:val="fr-FR"/>
        </w:rPr>
        <w:fldChar w:fldCharType="begin"/>
      </w:r>
      <w:r w:rsidRPr="00A2551C" w:rsidR="0064410F">
        <w:rPr>
          <w:bCs/>
          <w:lang w:val="fr-FR"/>
        </w:rPr>
        <w:instrText xml:space="preserve"> REF durdt4 \h </w:instrText>
      </w:r>
      <w:r w:rsidRPr="00A2551C" w:rsidR="001F5753">
        <w:rPr>
          <w:bCs/>
          <w:lang w:val="fr-FR"/>
        </w:rPr>
        <w:instrText xml:space="preserve"> \* MERGEFORMAT </w:instrText>
      </w:r>
      <w:r w:rsidRPr="00A2551C" w:rsidR="0064410F">
        <w:rPr>
          <w:bCs/>
          <w:lang w:val="fr-FR"/>
        </w:rPr>
      </w:r>
      <w:r w:rsidRPr="00A2551C" w:rsidR="0064410F">
        <w:rPr>
          <w:bCs/>
          <w:lang w:val="fr-FR"/>
        </w:rPr>
        <w:fldChar w:fldCharType="separate"/>
      </w:r>
      <w:r w:rsidRPr="00A2551C" w:rsidR="00A2551C">
        <w:rPr>
          <w:noProof/>
          <w:lang w:val="fr-FR"/>
        </w:rPr>
        <w:t>13</w:t>
      </w:r>
      <w:r w:rsidRPr="00A2551C" w:rsidR="0064410F">
        <w:rPr>
          <w:bCs/>
          <w:lang w:val="fr-FR"/>
        </w:rPr>
        <w:fldChar w:fldCharType="end"/>
      </w:r>
      <w:r w:rsidRPr="00A2551C" w:rsidR="0064410F">
        <w:rPr>
          <w:bCs/>
          <w:lang w:val="fr-FR"/>
        </w:rPr>
        <w:t xml:space="preserve"> et </w:t>
      </w:r>
      <w:r w:rsidRPr="00A2551C" w:rsidR="0064410F">
        <w:rPr>
          <w:bCs/>
          <w:lang w:val="fr-FR"/>
        </w:rPr>
        <w:fldChar w:fldCharType="begin"/>
      </w:r>
      <w:r w:rsidRPr="00A2551C" w:rsidR="0064410F">
        <w:rPr>
          <w:bCs/>
          <w:lang w:val="fr-FR"/>
        </w:rPr>
        <w:instrText xml:space="preserve"> REF durdt5 \h </w:instrText>
      </w:r>
      <w:r w:rsidRPr="00A2551C" w:rsidR="001F5753">
        <w:rPr>
          <w:bCs/>
          <w:lang w:val="fr-FR"/>
        </w:rPr>
        <w:instrText xml:space="preserve"> \* MERGEFORMAT </w:instrText>
      </w:r>
      <w:r w:rsidRPr="00A2551C" w:rsidR="0064410F">
        <w:rPr>
          <w:bCs/>
          <w:lang w:val="fr-FR"/>
        </w:rPr>
      </w:r>
      <w:r w:rsidRPr="00A2551C" w:rsidR="0064410F">
        <w:rPr>
          <w:bCs/>
          <w:lang w:val="fr-FR"/>
        </w:rPr>
        <w:fldChar w:fldCharType="separate"/>
      </w:r>
      <w:r w:rsidRPr="00A2551C" w:rsidR="00A2551C">
        <w:rPr>
          <w:noProof/>
          <w:lang w:val="fr-FR"/>
        </w:rPr>
        <w:t>16</w:t>
      </w:r>
      <w:r w:rsidRPr="00A2551C" w:rsidR="0064410F">
        <w:rPr>
          <w:bCs/>
          <w:lang w:val="fr-FR"/>
        </w:rPr>
        <w:fldChar w:fldCharType="end"/>
      </w:r>
      <w:r w:rsidRPr="00A2551C" w:rsidR="0064410F">
        <w:rPr>
          <w:bCs/>
          <w:lang w:val="fr-FR"/>
        </w:rPr>
        <w:t xml:space="preserve"> ci</w:t>
      </w:r>
      <w:r w:rsidRPr="00A2551C" w:rsidR="0064410F">
        <w:rPr>
          <w:bCs/>
          <w:lang w:val="fr-FR"/>
        </w:rPr>
        <w:noBreakHyphen/>
        <w:t>dessus)</w:t>
      </w:r>
      <w:r w:rsidRPr="00A2551C" w:rsidR="00DD3141">
        <w:rPr>
          <w:bCs/>
          <w:lang w:val="fr-FR"/>
        </w:rPr>
        <w:t>.</w:t>
      </w:r>
    </w:p>
    <w:p w:rsidRPr="00A2551C" w:rsidR="00DD3141" w:rsidP="00A2551C" w:rsidRDefault="00D82A5C">
      <w:pPr>
        <w:pStyle w:val="ECHRPara"/>
        <w:rPr>
          <w:bCs/>
          <w:lang w:val="fr-FR"/>
        </w:rPr>
      </w:pPr>
      <w:r w:rsidRPr="00A2551C">
        <w:rPr>
          <w:bCs/>
          <w:lang w:val="fr-FR"/>
        </w:rPr>
        <w:fldChar w:fldCharType="begin"/>
      </w:r>
      <w:r w:rsidRPr="00A2551C">
        <w:rPr>
          <w:bCs/>
          <w:lang w:val="fr-FR"/>
        </w:rPr>
        <w:instrText xml:space="preserve"> SEQ level0 \*arabic </w:instrText>
      </w:r>
      <w:r w:rsidRPr="00A2551C">
        <w:rPr>
          <w:bCs/>
          <w:lang w:val="fr-FR"/>
        </w:rPr>
        <w:fldChar w:fldCharType="separate"/>
      </w:r>
      <w:r w:rsidRPr="00A2551C" w:rsidR="00A2551C">
        <w:rPr>
          <w:bCs/>
          <w:noProof/>
          <w:lang w:val="fr-FR"/>
        </w:rPr>
        <w:t>78</w:t>
      </w:r>
      <w:r w:rsidRPr="00A2551C">
        <w:rPr>
          <w:bCs/>
          <w:lang w:val="fr-FR"/>
        </w:rPr>
        <w:fldChar w:fldCharType="end"/>
      </w:r>
      <w:r w:rsidRPr="00A2551C">
        <w:rPr>
          <w:bCs/>
          <w:lang w:val="fr-FR"/>
        </w:rPr>
        <w:t>.  </w:t>
      </w:r>
      <w:r w:rsidRPr="00A2551C" w:rsidR="00DD3141">
        <w:rPr>
          <w:bCs/>
          <w:lang w:val="fr-FR"/>
        </w:rPr>
        <w:t>La Cour rappelle que la gravité des charges ne peut, à elle seule, être le motif de la prolongation de la détention d</w:t>
      </w:r>
      <w:r w:rsidRPr="00A2551C" w:rsidR="00A2551C">
        <w:rPr>
          <w:bCs/>
          <w:lang w:val="fr-FR"/>
        </w:rPr>
        <w:t>’</w:t>
      </w:r>
      <w:r w:rsidRPr="00A2551C" w:rsidR="00DD3141">
        <w:rPr>
          <w:bCs/>
          <w:lang w:val="fr-FR"/>
        </w:rPr>
        <w:t>une personne à un stade avancé de la procédure (</w:t>
      </w:r>
      <w:proofErr w:type="spellStart"/>
      <w:r w:rsidRPr="00A2551C" w:rsidR="00DD3141">
        <w:rPr>
          <w:bCs/>
          <w:i/>
          <w:lang w:val="fr-FR"/>
        </w:rPr>
        <w:t>Kučera</w:t>
      </w:r>
      <w:proofErr w:type="spellEnd"/>
      <w:r w:rsidRPr="00A2551C" w:rsidR="00DD3141">
        <w:rPr>
          <w:bCs/>
          <w:i/>
          <w:lang w:val="fr-FR"/>
        </w:rPr>
        <w:t xml:space="preserve"> c. Slovaquie</w:t>
      </w:r>
      <w:r w:rsidRPr="00A2551C" w:rsidR="00DD3141">
        <w:rPr>
          <w:bCs/>
          <w:lang w:val="fr-FR"/>
        </w:rPr>
        <w:t>, n</w:t>
      </w:r>
      <w:r w:rsidRPr="00A2551C" w:rsidR="00DD3141">
        <w:rPr>
          <w:bCs/>
          <w:vertAlign w:val="superscript"/>
          <w:lang w:val="fr-FR"/>
        </w:rPr>
        <w:t>o</w:t>
      </w:r>
      <w:r w:rsidRPr="00A2551C" w:rsidR="00DD3141">
        <w:rPr>
          <w:bCs/>
          <w:lang w:val="fr-FR"/>
        </w:rPr>
        <w:t xml:space="preserve"> 48666/99, § 94, 17 juillet 2007). </w:t>
      </w:r>
      <w:r w:rsidRPr="00A2551C" w:rsidR="006B2924">
        <w:rPr>
          <w:bCs/>
          <w:lang w:val="fr-FR"/>
        </w:rPr>
        <w:t>Quant à la complexité de l</w:t>
      </w:r>
      <w:r w:rsidRPr="00A2551C" w:rsidR="00A2551C">
        <w:rPr>
          <w:bCs/>
          <w:lang w:val="fr-FR"/>
        </w:rPr>
        <w:t>’</w:t>
      </w:r>
      <w:r w:rsidRPr="00A2551C" w:rsidR="006B2924">
        <w:rPr>
          <w:bCs/>
          <w:lang w:val="fr-FR"/>
        </w:rPr>
        <w:t xml:space="preserve">affaire pénale, </w:t>
      </w:r>
      <w:r w:rsidRPr="00A2551C" w:rsidR="00AA6FF5">
        <w:rPr>
          <w:bCs/>
          <w:lang w:val="fr-FR"/>
        </w:rPr>
        <w:t>elle</w:t>
      </w:r>
      <w:r w:rsidRPr="00A2551C" w:rsidR="006B2924">
        <w:rPr>
          <w:bCs/>
          <w:lang w:val="fr-FR"/>
        </w:rPr>
        <w:t xml:space="preserve"> </w:t>
      </w:r>
      <w:r w:rsidRPr="00A2551C" w:rsidR="00644172">
        <w:rPr>
          <w:bCs/>
          <w:lang w:val="fr-FR"/>
        </w:rPr>
        <w:t>note que cet élément peut être pertinent</w:t>
      </w:r>
      <w:r w:rsidRPr="00A2551C">
        <w:rPr>
          <w:bCs/>
          <w:lang w:val="fr-FR"/>
        </w:rPr>
        <w:t>,</w:t>
      </w:r>
      <w:r w:rsidRPr="00A2551C" w:rsidR="00644172">
        <w:rPr>
          <w:bCs/>
          <w:lang w:val="fr-FR"/>
        </w:rPr>
        <w:t xml:space="preserve"> </w:t>
      </w:r>
      <w:r w:rsidRPr="00A2551C">
        <w:rPr>
          <w:bCs/>
          <w:lang w:val="fr-FR"/>
        </w:rPr>
        <w:t xml:space="preserve">notamment </w:t>
      </w:r>
      <w:r w:rsidRPr="00A2551C" w:rsidR="00644172">
        <w:rPr>
          <w:bCs/>
          <w:lang w:val="fr-FR"/>
        </w:rPr>
        <w:t xml:space="preserve">dans </w:t>
      </w:r>
      <w:r w:rsidRPr="00A2551C">
        <w:rPr>
          <w:bCs/>
          <w:lang w:val="fr-FR"/>
        </w:rPr>
        <w:t>d</w:t>
      </w:r>
      <w:r w:rsidRPr="00A2551C" w:rsidR="00644172">
        <w:rPr>
          <w:bCs/>
          <w:lang w:val="fr-FR"/>
        </w:rPr>
        <w:t>es affaires concernant</w:t>
      </w:r>
      <w:r w:rsidRPr="00A2551C">
        <w:rPr>
          <w:bCs/>
          <w:lang w:val="fr-FR"/>
        </w:rPr>
        <w:t xml:space="preserve"> la criminalité organisée </w:t>
      </w:r>
      <w:r w:rsidRPr="00A2551C" w:rsidR="006B2924">
        <w:rPr>
          <w:bCs/>
          <w:lang w:val="fr-FR"/>
        </w:rPr>
        <w:t>(voir, par exemple,</w:t>
      </w:r>
      <w:r w:rsidRPr="00A2551C" w:rsidR="009020DE">
        <w:rPr>
          <w:bCs/>
          <w:lang w:val="fr-FR"/>
        </w:rPr>
        <w:t xml:space="preserve"> </w:t>
      </w:r>
      <w:proofErr w:type="spellStart"/>
      <w:r w:rsidRPr="00A2551C" w:rsidR="009020DE">
        <w:rPr>
          <w:bCs/>
          <w:i/>
          <w:lang w:val="fr-FR"/>
        </w:rPr>
        <w:t>Mkhitaryan</w:t>
      </w:r>
      <w:proofErr w:type="spellEnd"/>
      <w:r w:rsidRPr="00A2551C" w:rsidR="009020DE">
        <w:rPr>
          <w:bCs/>
          <w:i/>
          <w:lang w:val="fr-FR"/>
        </w:rPr>
        <w:t xml:space="preserve"> c. Russie</w:t>
      </w:r>
      <w:r w:rsidRPr="00A2551C" w:rsidR="009020DE">
        <w:rPr>
          <w:bCs/>
          <w:lang w:val="fr-FR"/>
        </w:rPr>
        <w:t>, n</w:t>
      </w:r>
      <w:r w:rsidRPr="00A2551C" w:rsidR="009020DE">
        <w:rPr>
          <w:bCs/>
          <w:vertAlign w:val="superscript"/>
          <w:lang w:val="fr-FR"/>
        </w:rPr>
        <w:t>o</w:t>
      </w:r>
      <w:r w:rsidRPr="00A2551C" w:rsidR="009020DE">
        <w:rPr>
          <w:bCs/>
          <w:lang w:val="fr-FR"/>
        </w:rPr>
        <w:t xml:space="preserve"> 46108/11, §§ 98</w:t>
      </w:r>
      <w:r w:rsidRPr="00A2551C" w:rsidR="009020DE">
        <w:rPr>
          <w:bCs/>
          <w:lang w:val="fr-FR"/>
        </w:rPr>
        <w:noBreakHyphen/>
        <w:t>99, 5 février 2013, et</w:t>
      </w:r>
      <w:r w:rsidRPr="00A2551C" w:rsidR="008D7BF8">
        <w:rPr>
          <w:bCs/>
          <w:lang w:val="fr-FR"/>
        </w:rPr>
        <w:t xml:space="preserve"> </w:t>
      </w:r>
      <w:proofErr w:type="spellStart"/>
      <w:r w:rsidRPr="00A2551C" w:rsidR="008D7BF8">
        <w:rPr>
          <w:bCs/>
          <w:i/>
          <w:lang w:val="fr-FR"/>
        </w:rPr>
        <w:t>Podeschi</w:t>
      </w:r>
      <w:proofErr w:type="spellEnd"/>
      <w:r w:rsidRPr="00A2551C" w:rsidR="008D7BF8">
        <w:rPr>
          <w:bCs/>
          <w:i/>
          <w:lang w:val="fr-FR"/>
        </w:rPr>
        <w:t xml:space="preserve"> c. Saint-Marin</w:t>
      </w:r>
      <w:r w:rsidRPr="00A2551C" w:rsidR="008D7BF8">
        <w:rPr>
          <w:bCs/>
          <w:lang w:val="fr-FR"/>
        </w:rPr>
        <w:t>, n</w:t>
      </w:r>
      <w:r w:rsidRPr="00A2551C" w:rsidR="008D7BF8">
        <w:rPr>
          <w:bCs/>
          <w:vertAlign w:val="superscript"/>
          <w:lang w:val="fr-FR"/>
        </w:rPr>
        <w:t>o</w:t>
      </w:r>
      <w:r w:rsidRPr="00A2551C" w:rsidR="008D7BF8">
        <w:rPr>
          <w:bCs/>
          <w:lang w:val="fr-FR"/>
        </w:rPr>
        <w:t xml:space="preserve"> 66357/14, §§ 147</w:t>
      </w:r>
      <w:r w:rsidRPr="00A2551C" w:rsidR="008D7BF8">
        <w:rPr>
          <w:bCs/>
          <w:lang w:val="fr-FR"/>
        </w:rPr>
        <w:noBreakHyphen/>
        <w:t>148, 13 avril 2017</w:t>
      </w:r>
      <w:r w:rsidRPr="00A2551C" w:rsidR="009020DE">
        <w:rPr>
          <w:bCs/>
          <w:lang w:val="fr-FR"/>
        </w:rPr>
        <w:t>)</w:t>
      </w:r>
      <w:r w:rsidRPr="00A2551C" w:rsidR="00644172">
        <w:rPr>
          <w:bCs/>
          <w:lang w:val="fr-FR"/>
        </w:rPr>
        <w:t>.</w:t>
      </w:r>
      <w:r w:rsidRPr="00A2551C" w:rsidR="006B2924">
        <w:rPr>
          <w:bCs/>
          <w:lang w:val="fr-FR"/>
        </w:rPr>
        <w:t xml:space="preserve"> </w:t>
      </w:r>
      <w:r w:rsidRPr="00A2551C" w:rsidR="004E4ABB">
        <w:rPr>
          <w:bCs/>
          <w:lang w:val="fr-FR"/>
        </w:rPr>
        <w:t xml:space="preserve">Toutefois, </w:t>
      </w:r>
      <w:r w:rsidRPr="00A2551C" w:rsidR="00AA6FF5">
        <w:rPr>
          <w:bCs/>
          <w:lang w:val="fr-FR"/>
        </w:rPr>
        <w:t>elle</w:t>
      </w:r>
      <w:r w:rsidRPr="00A2551C" w:rsidR="004E4ABB">
        <w:rPr>
          <w:bCs/>
          <w:lang w:val="fr-FR"/>
        </w:rPr>
        <w:t xml:space="preserve"> estime qu</w:t>
      </w:r>
      <w:r w:rsidRPr="00A2551C" w:rsidR="00AA6FF5">
        <w:rPr>
          <w:bCs/>
          <w:lang w:val="fr-FR"/>
        </w:rPr>
        <w:t>e, en l</w:t>
      </w:r>
      <w:r w:rsidRPr="00A2551C" w:rsidR="00A2551C">
        <w:rPr>
          <w:bCs/>
          <w:lang w:val="fr-FR"/>
        </w:rPr>
        <w:t>’</w:t>
      </w:r>
      <w:r w:rsidRPr="00A2551C" w:rsidR="00AA6FF5">
        <w:rPr>
          <w:bCs/>
          <w:lang w:val="fr-FR"/>
        </w:rPr>
        <w:t xml:space="preserve">espèce, </w:t>
      </w:r>
      <w:r w:rsidRPr="00A2551C" w:rsidR="004E4ABB">
        <w:rPr>
          <w:bCs/>
          <w:lang w:val="fr-FR"/>
        </w:rPr>
        <w:t>après la fixation des preuves et le renvoi de l</w:t>
      </w:r>
      <w:r w:rsidRPr="00A2551C" w:rsidR="00A2551C">
        <w:rPr>
          <w:bCs/>
          <w:lang w:val="fr-FR"/>
        </w:rPr>
        <w:t>’</w:t>
      </w:r>
      <w:r w:rsidRPr="00A2551C" w:rsidR="004E4ABB">
        <w:rPr>
          <w:bCs/>
          <w:lang w:val="fr-FR"/>
        </w:rPr>
        <w:t>affaire pénale en jugement, cet élément n</w:t>
      </w:r>
      <w:r w:rsidRPr="00A2551C" w:rsidR="00A2551C">
        <w:rPr>
          <w:bCs/>
          <w:lang w:val="fr-FR"/>
        </w:rPr>
        <w:t>’</w:t>
      </w:r>
      <w:r w:rsidRPr="00A2551C" w:rsidR="004E4ABB">
        <w:rPr>
          <w:bCs/>
          <w:lang w:val="fr-FR"/>
        </w:rPr>
        <w:t>était plus suffisant pour maintenir le requérant en détention en l</w:t>
      </w:r>
      <w:r w:rsidRPr="00A2551C" w:rsidR="00A2551C">
        <w:rPr>
          <w:bCs/>
          <w:lang w:val="fr-FR"/>
        </w:rPr>
        <w:t>’</w:t>
      </w:r>
      <w:r w:rsidRPr="00A2551C" w:rsidR="004E4ABB">
        <w:rPr>
          <w:bCs/>
          <w:lang w:val="fr-FR"/>
        </w:rPr>
        <w:t>abs</w:t>
      </w:r>
      <w:r w:rsidRPr="00A2551C" w:rsidR="008D7BF8">
        <w:rPr>
          <w:bCs/>
          <w:lang w:val="fr-FR"/>
        </w:rPr>
        <w:t>ence d</w:t>
      </w:r>
      <w:r w:rsidRPr="00A2551C" w:rsidR="00A2551C">
        <w:rPr>
          <w:bCs/>
          <w:lang w:val="fr-FR"/>
        </w:rPr>
        <w:t>’</w:t>
      </w:r>
      <w:r w:rsidRPr="00A2551C" w:rsidR="004E4ABB">
        <w:rPr>
          <w:bCs/>
          <w:lang w:val="fr-FR"/>
        </w:rPr>
        <w:t>autre</w:t>
      </w:r>
      <w:r w:rsidRPr="00A2551C" w:rsidR="008D7BF8">
        <w:rPr>
          <w:bCs/>
          <w:lang w:val="fr-FR"/>
        </w:rPr>
        <w:t>s</w:t>
      </w:r>
      <w:r w:rsidRPr="00A2551C" w:rsidR="004E4ABB">
        <w:rPr>
          <w:bCs/>
          <w:lang w:val="fr-FR"/>
        </w:rPr>
        <w:t xml:space="preserve"> élément</w:t>
      </w:r>
      <w:r w:rsidRPr="00A2551C" w:rsidR="008D7BF8">
        <w:rPr>
          <w:bCs/>
          <w:lang w:val="fr-FR"/>
        </w:rPr>
        <w:t>s</w:t>
      </w:r>
      <w:r w:rsidRPr="00A2551C" w:rsidR="004E4ABB">
        <w:rPr>
          <w:bCs/>
          <w:lang w:val="fr-FR"/>
        </w:rPr>
        <w:t xml:space="preserve"> </w:t>
      </w:r>
      <w:r w:rsidRPr="00A2551C" w:rsidR="009D0293">
        <w:rPr>
          <w:bCs/>
          <w:lang w:val="fr-FR"/>
        </w:rPr>
        <w:t xml:space="preserve">concrets </w:t>
      </w:r>
      <w:r w:rsidRPr="00A2551C" w:rsidR="008D7BF8">
        <w:rPr>
          <w:bCs/>
          <w:lang w:val="fr-FR"/>
        </w:rPr>
        <w:t>démontrant le risque d</w:t>
      </w:r>
      <w:r w:rsidRPr="00A2551C" w:rsidR="00A2551C">
        <w:rPr>
          <w:bCs/>
          <w:lang w:val="fr-FR"/>
        </w:rPr>
        <w:t>’</w:t>
      </w:r>
      <w:r w:rsidRPr="00A2551C" w:rsidR="008D7BF8">
        <w:rPr>
          <w:bCs/>
          <w:lang w:val="fr-FR"/>
        </w:rPr>
        <w:t>entrave au cours de la justice</w:t>
      </w:r>
      <w:r w:rsidRPr="00A2551C" w:rsidR="009D0293">
        <w:rPr>
          <w:bCs/>
          <w:lang w:val="fr-FR"/>
        </w:rPr>
        <w:t xml:space="preserve"> lié au crime organisé </w:t>
      </w:r>
      <w:r w:rsidRPr="00A2551C" w:rsidR="008D7BF8">
        <w:rPr>
          <w:bCs/>
          <w:lang w:val="fr-FR"/>
        </w:rPr>
        <w:t>(voir,</w:t>
      </w:r>
      <w:r w:rsidRPr="00A2551C" w:rsidR="00106154">
        <w:rPr>
          <w:bCs/>
          <w:lang w:val="fr-FR"/>
        </w:rPr>
        <w:t xml:space="preserve"> </w:t>
      </w:r>
      <w:r w:rsidRPr="00A2551C" w:rsidR="00423F57">
        <w:rPr>
          <w:bCs/>
          <w:lang w:val="fr-FR"/>
        </w:rPr>
        <w:t>dans le même sens</w:t>
      </w:r>
      <w:r w:rsidRPr="00A2551C" w:rsidR="00106154">
        <w:rPr>
          <w:bCs/>
          <w:lang w:val="fr-FR"/>
        </w:rPr>
        <w:t xml:space="preserve">, </w:t>
      </w:r>
      <w:proofErr w:type="spellStart"/>
      <w:r w:rsidRPr="00A2551C" w:rsidR="00106154">
        <w:rPr>
          <w:bCs/>
          <w:i/>
          <w:lang w:val="pt-PT"/>
        </w:rPr>
        <w:t>Qing</w:t>
      </w:r>
      <w:proofErr w:type="spellEnd"/>
      <w:r w:rsidRPr="00A2551C" w:rsidR="00106154">
        <w:rPr>
          <w:bCs/>
          <w:i/>
          <w:lang w:val="pt-PT"/>
        </w:rPr>
        <w:t xml:space="preserve"> c. Portugal</w:t>
      </w:r>
      <w:r w:rsidRPr="00A2551C" w:rsidR="00106154">
        <w:rPr>
          <w:bCs/>
          <w:lang w:val="pt-PT"/>
        </w:rPr>
        <w:t>, n</w:t>
      </w:r>
      <w:r w:rsidRPr="00A2551C" w:rsidR="00106154">
        <w:rPr>
          <w:bCs/>
          <w:vertAlign w:val="superscript"/>
          <w:lang w:val="pt-PT"/>
        </w:rPr>
        <w:t>o</w:t>
      </w:r>
      <w:r w:rsidRPr="00A2551C" w:rsidR="009020DE">
        <w:rPr>
          <w:bCs/>
          <w:lang w:val="pt-PT"/>
        </w:rPr>
        <w:t> </w:t>
      </w:r>
      <w:r w:rsidRPr="00A2551C" w:rsidR="00106154">
        <w:rPr>
          <w:bCs/>
          <w:lang w:val="pt-PT"/>
        </w:rPr>
        <w:t>69861/11, §§ 65</w:t>
      </w:r>
      <w:r w:rsidRPr="00A2551C" w:rsidR="00106154">
        <w:rPr>
          <w:bCs/>
          <w:lang w:val="pt-PT"/>
        </w:rPr>
        <w:noBreakHyphen/>
        <w:t>66</w:t>
      </w:r>
      <w:r w:rsidRPr="00A2551C" w:rsidR="009D0293">
        <w:rPr>
          <w:bCs/>
          <w:lang w:val="pt-PT"/>
        </w:rPr>
        <w:t>, 5 </w:t>
      </w:r>
      <w:proofErr w:type="spellStart"/>
      <w:r w:rsidRPr="00A2551C" w:rsidR="00106154">
        <w:rPr>
          <w:bCs/>
          <w:lang w:val="pt-PT"/>
        </w:rPr>
        <w:t>novembre</w:t>
      </w:r>
      <w:proofErr w:type="spellEnd"/>
      <w:r w:rsidRPr="00A2551C" w:rsidR="00106154">
        <w:rPr>
          <w:bCs/>
          <w:lang w:val="pt-PT"/>
        </w:rPr>
        <w:t xml:space="preserve"> 2015, </w:t>
      </w:r>
      <w:proofErr w:type="spellStart"/>
      <w:r w:rsidRPr="00A2551C" w:rsidR="00106154">
        <w:rPr>
          <w:bCs/>
          <w:lang w:val="pt-PT"/>
        </w:rPr>
        <w:t>et</w:t>
      </w:r>
      <w:proofErr w:type="spellEnd"/>
      <w:r w:rsidRPr="00A2551C" w:rsidR="00106154">
        <w:rPr>
          <w:bCs/>
          <w:lang w:val="pt-PT"/>
        </w:rPr>
        <w:t xml:space="preserve">, </w:t>
      </w:r>
      <w:proofErr w:type="spellStart"/>
      <w:r w:rsidRPr="00A2551C" w:rsidR="008D7BF8">
        <w:rPr>
          <w:bCs/>
          <w:i/>
          <w:lang w:val="fr-FR"/>
        </w:rPr>
        <w:t>a</w:t>
      </w:r>
      <w:proofErr w:type="spellEnd"/>
      <w:r w:rsidRPr="00A2551C" w:rsidR="008D7BF8">
        <w:rPr>
          <w:bCs/>
          <w:i/>
          <w:lang w:val="fr-FR"/>
        </w:rPr>
        <w:t xml:space="preserve"> contrario</w:t>
      </w:r>
      <w:r w:rsidRPr="00A2551C" w:rsidR="008D7BF8">
        <w:rPr>
          <w:bCs/>
          <w:lang w:val="fr-FR"/>
        </w:rPr>
        <w:t xml:space="preserve">, </w:t>
      </w:r>
      <w:proofErr w:type="spellStart"/>
      <w:r w:rsidRPr="00A2551C" w:rsidR="008D7BF8">
        <w:rPr>
          <w:bCs/>
          <w:i/>
          <w:lang w:val="fr-FR"/>
        </w:rPr>
        <w:t>Podeschi</w:t>
      </w:r>
      <w:proofErr w:type="spellEnd"/>
      <w:r w:rsidRPr="00A2551C" w:rsidR="008D7BF8">
        <w:rPr>
          <w:bCs/>
          <w:i/>
          <w:lang w:val="fr-FR"/>
        </w:rPr>
        <w:t xml:space="preserve">, </w:t>
      </w:r>
      <w:r w:rsidRPr="00A2551C" w:rsidR="008D7BF8">
        <w:rPr>
          <w:bCs/>
          <w:lang w:val="fr-FR"/>
        </w:rPr>
        <w:t xml:space="preserve">précité, </w:t>
      </w:r>
      <w:r w:rsidRPr="00A2551C" w:rsidR="00423F57">
        <w:rPr>
          <w:bCs/>
          <w:lang w:val="fr-FR"/>
        </w:rPr>
        <w:t>§§ 151</w:t>
      </w:r>
      <w:r w:rsidRPr="00A2551C" w:rsidR="00423F57">
        <w:rPr>
          <w:bCs/>
          <w:lang w:val="fr-FR"/>
        </w:rPr>
        <w:noBreakHyphen/>
        <w:t>152</w:t>
      </w:r>
      <w:r w:rsidRPr="00A2551C">
        <w:rPr>
          <w:bCs/>
          <w:lang w:val="fr-FR"/>
        </w:rPr>
        <w:t xml:space="preserve">). </w:t>
      </w:r>
      <w:r w:rsidRPr="00A2551C" w:rsidR="00AA6FF5">
        <w:rPr>
          <w:bCs/>
          <w:lang w:val="fr-FR"/>
        </w:rPr>
        <w:t>Or elle</w:t>
      </w:r>
      <w:r w:rsidRPr="00A2551C" w:rsidR="00335DA1">
        <w:rPr>
          <w:bCs/>
          <w:lang w:val="fr-FR"/>
        </w:rPr>
        <w:t xml:space="preserve"> constate qu</w:t>
      </w:r>
      <w:r w:rsidRPr="00A2551C" w:rsidR="00AA6FF5">
        <w:rPr>
          <w:bCs/>
          <w:lang w:val="fr-FR"/>
        </w:rPr>
        <w:t xml:space="preserve">e, </w:t>
      </w:r>
      <w:r w:rsidRPr="00A2551C" w:rsidR="00335DA1">
        <w:rPr>
          <w:bCs/>
          <w:lang w:val="fr-FR"/>
        </w:rPr>
        <w:t>après la fin de l</w:t>
      </w:r>
      <w:r w:rsidRPr="00A2551C" w:rsidR="00A2551C">
        <w:rPr>
          <w:bCs/>
          <w:lang w:val="fr-FR"/>
        </w:rPr>
        <w:t>’</w:t>
      </w:r>
      <w:r w:rsidRPr="00A2551C" w:rsidR="00335DA1">
        <w:rPr>
          <w:bCs/>
          <w:lang w:val="fr-FR"/>
        </w:rPr>
        <w:t>enquête préliminaire, c</w:t>
      </w:r>
      <w:r w:rsidRPr="00A2551C" w:rsidR="00A2551C">
        <w:rPr>
          <w:bCs/>
          <w:lang w:val="fr-FR"/>
        </w:rPr>
        <w:t>’</w:t>
      </w:r>
      <w:r w:rsidRPr="00A2551C" w:rsidR="00536B89">
        <w:rPr>
          <w:bCs/>
          <w:lang w:val="fr-FR"/>
        </w:rPr>
        <w:t>est-à-dire après le 14 </w:t>
      </w:r>
      <w:r w:rsidRPr="00A2551C" w:rsidR="00335DA1">
        <w:rPr>
          <w:bCs/>
          <w:lang w:val="fr-FR"/>
        </w:rPr>
        <w:t xml:space="preserve">mai 2008, les juridictions </w:t>
      </w:r>
      <w:r w:rsidRPr="00A2551C" w:rsidR="00EC6BDF">
        <w:rPr>
          <w:bCs/>
          <w:lang w:val="fr-FR"/>
        </w:rPr>
        <w:t xml:space="preserve">nationales </w:t>
      </w:r>
      <w:r w:rsidRPr="00A2551C" w:rsidR="00335DA1">
        <w:rPr>
          <w:bCs/>
          <w:lang w:val="fr-FR"/>
        </w:rPr>
        <w:t>ont maintenu le requérant en détention provisoire pendant au moins deux ans et sept mois</w:t>
      </w:r>
      <w:r w:rsidRPr="00A2551C" w:rsidR="004E27F1">
        <w:rPr>
          <w:bCs/>
          <w:lang w:val="fr-FR"/>
        </w:rPr>
        <w:t xml:space="preserve"> en se référant toujours </w:t>
      </w:r>
      <w:r w:rsidRPr="00A2551C" w:rsidR="00335DA1">
        <w:rPr>
          <w:bCs/>
          <w:lang w:val="fr-FR"/>
        </w:rPr>
        <w:t xml:space="preserve">aux mêmes motifs </w:t>
      </w:r>
      <w:r w:rsidRPr="00A2551C" w:rsidR="00AA6FF5">
        <w:rPr>
          <w:bCs/>
          <w:lang w:val="fr-FR"/>
        </w:rPr>
        <w:t xml:space="preserve">et </w:t>
      </w:r>
      <w:r w:rsidRPr="00A2551C" w:rsidR="00335DA1">
        <w:rPr>
          <w:bCs/>
          <w:lang w:val="fr-FR"/>
        </w:rPr>
        <w:t>sans s</w:t>
      </w:r>
      <w:r w:rsidRPr="00A2551C" w:rsidR="00A2551C">
        <w:rPr>
          <w:bCs/>
          <w:lang w:val="fr-FR"/>
        </w:rPr>
        <w:t>’</w:t>
      </w:r>
      <w:r w:rsidRPr="00A2551C" w:rsidR="00335DA1">
        <w:rPr>
          <w:bCs/>
          <w:lang w:val="fr-FR"/>
        </w:rPr>
        <w:t xml:space="preserve">appuyer sur des éléments factuels concrets. </w:t>
      </w:r>
      <w:r w:rsidRPr="00A2551C" w:rsidR="00AA6FF5">
        <w:rPr>
          <w:bCs/>
          <w:lang w:val="fr-FR"/>
        </w:rPr>
        <w:t xml:space="preserve">Elle note que, de plus, </w:t>
      </w:r>
      <w:r w:rsidRPr="00A2551C" w:rsidR="00335DA1">
        <w:rPr>
          <w:bCs/>
          <w:lang w:val="fr-FR"/>
        </w:rPr>
        <w:t>l</w:t>
      </w:r>
      <w:r w:rsidRPr="00A2551C" w:rsidR="00EC6BDF">
        <w:rPr>
          <w:bCs/>
          <w:lang w:val="fr-FR"/>
        </w:rPr>
        <w:t>eurs</w:t>
      </w:r>
      <w:r w:rsidRPr="00A2551C" w:rsidR="00335DA1">
        <w:rPr>
          <w:bCs/>
          <w:lang w:val="fr-FR"/>
        </w:rPr>
        <w:t xml:space="preserve"> décisions étaient « collectives » dans le sens où elles </w:t>
      </w:r>
      <w:r w:rsidRPr="00A2551C" w:rsidR="0064410F">
        <w:rPr>
          <w:bCs/>
          <w:lang w:val="fr-FR"/>
        </w:rPr>
        <w:t xml:space="preserve">ont </w:t>
      </w:r>
      <w:r w:rsidRPr="00A2551C" w:rsidR="00AA6FF5">
        <w:rPr>
          <w:bCs/>
          <w:lang w:val="fr-FR"/>
        </w:rPr>
        <w:t xml:space="preserve">été adoptées </w:t>
      </w:r>
      <w:r w:rsidRPr="00A2551C" w:rsidR="00335DA1">
        <w:rPr>
          <w:bCs/>
          <w:lang w:val="fr-FR"/>
        </w:rPr>
        <w:t>à l</w:t>
      </w:r>
      <w:r w:rsidRPr="00A2551C" w:rsidR="00A2551C">
        <w:rPr>
          <w:bCs/>
          <w:lang w:val="fr-FR"/>
        </w:rPr>
        <w:t>’</w:t>
      </w:r>
      <w:r w:rsidRPr="00A2551C" w:rsidR="00335DA1">
        <w:rPr>
          <w:bCs/>
          <w:lang w:val="fr-FR"/>
        </w:rPr>
        <w:t>égard de l</w:t>
      </w:r>
      <w:r w:rsidRPr="00A2551C" w:rsidR="00A2551C">
        <w:rPr>
          <w:bCs/>
          <w:lang w:val="fr-FR"/>
        </w:rPr>
        <w:t>’</w:t>
      </w:r>
      <w:r w:rsidRPr="00A2551C" w:rsidR="00335DA1">
        <w:rPr>
          <w:bCs/>
          <w:lang w:val="fr-FR"/>
        </w:rPr>
        <w:t>intéressé et de plusieurs coaccusés à la fois.</w:t>
      </w:r>
    </w:p>
    <w:p w:rsidRPr="00A2551C" w:rsidR="00D05753" w:rsidP="00A2551C" w:rsidRDefault="00D05753">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79</w:t>
      </w:r>
      <w:r w:rsidRPr="00A2551C">
        <w:rPr>
          <w:lang w:val="fr-FR"/>
        </w:rPr>
        <w:fldChar w:fldCharType="end"/>
      </w:r>
      <w:r w:rsidRPr="00A2551C">
        <w:rPr>
          <w:lang w:val="fr-FR"/>
        </w:rPr>
        <w:t>.  La Cour a souvent conclu à la violation de l</w:t>
      </w:r>
      <w:r w:rsidRPr="00A2551C" w:rsidR="00A2551C">
        <w:rPr>
          <w:lang w:val="fr-FR"/>
        </w:rPr>
        <w:t>’</w:t>
      </w:r>
      <w:r w:rsidRPr="00A2551C">
        <w:rPr>
          <w:lang w:val="fr-FR"/>
        </w:rPr>
        <w:t>article 5 § 3 de la Convention dans les affaires où les tribunaux internes avaient maintenu le requérant en détention en invoquant essentiellement la gravité des charges et en recourant à des formules stéréotypées sans évoquer de faits précis ou sans envisager d</w:t>
      </w:r>
      <w:r w:rsidRPr="00A2551C" w:rsidR="00A2551C">
        <w:rPr>
          <w:lang w:val="fr-FR"/>
        </w:rPr>
        <w:t>’</w:t>
      </w:r>
      <w:r w:rsidRPr="00A2551C">
        <w:rPr>
          <w:lang w:val="fr-FR"/>
        </w:rPr>
        <w:t>autres mesures préventives (</w:t>
      </w:r>
      <w:proofErr w:type="spellStart"/>
      <w:r w:rsidRPr="00A2551C" w:rsidR="009020DE">
        <w:rPr>
          <w:i/>
          <w:lang w:val="fr-FR"/>
        </w:rPr>
        <w:t>Lamazhyk</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w:t>
      </w:r>
      <w:r w:rsidRPr="00A2551C" w:rsidR="009020DE">
        <w:rPr>
          <w:lang w:val="fr-FR"/>
        </w:rPr>
        <w:t> 20571/04, §§ 88</w:t>
      </w:r>
      <w:r w:rsidRPr="00A2551C" w:rsidR="009020DE">
        <w:rPr>
          <w:lang w:val="fr-FR"/>
        </w:rPr>
        <w:noBreakHyphen/>
        <w:t xml:space="preserve">98, 30 juillet 2009, </w:t>
      </w:r>
      <w:r w:rsidRPr="00A2551C" w:rsidR="009020DE">
        <w:rPr>
          <w:i/>
          <w:lang w:val="fr-FR"/>
        </w:rPr>
        <w:t>Romanova c. Russie</w:t>
      </w:r>
      <w:r w:rsidRPr="00A2551C" w:rsidR="009020DE">
        <w:rPr>
          <w:lang w:val="fr-FR"/>
        </w:rPr>
        <w:t>, n</w:t>
      </w:r>
      <w:r w:rsidRPr="00A2551C" w:rsidR="009020DE">
        <w:rPr>
          <w:vertAlign w:val="superscript"/>
          <w:lang w:val="fr-FR"/>
        </w:rPr>
        <w:t>o</w:t>
      </w:r>
      <w:r w:rsidRPr="00A2551C" w:rsidR="009020DE">
        <w:rPr>
          <w:lang w:val="fr-FR"/>
        </w:rPr>
        <w:t> 23215/02, §§ 121</w:t>
      </w:r>
      <w:r w:rsidRPr="00A2551C" w:rsidR="009020DE">
        <w:rPr>
          <w:lang w:val="fr-FR"/>
        </w:rPr>
        <w:noBreakHyphen/>
        <w:t xml:space="preserve">133, 11 octobre 2011, </w:t>
      </w:r>
      <w:proofErr w:type="spellStart"/>
      <w:r w:rsidRPr="00A2551C" w:rsidR="009020DE">
        <w:rPr>
          <w:i/>
          <w:lang w:val="fr-FR"/>
        </w:rPr>
        <w:t>Dirdizov</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w:t>
      </w:r>
      <w:r w:rsidRPr="00A2551C" w:rsidR="009020DE">
        <w:rPr>
          <w:lang w:val="fr-FR"/>
        </w:rPr>
        <w:t> 41461/10, §§ 108</w:t>
      </w:r>
      <w:r w:rsidRPr="00A2551C" w:rsidR="009020DE">
        <w:rPr>
          <w:lang w:val="fr-FR"/>
        </w:rPr>
        <w:noBreakHyphen/>
        <w:t xml:space="preserve">111, 27 novembre 2012, </w:t>
      </w:r>
      <w:proofErr w:type="spellStart"/>
      <w:r w:rsidRPr="00A2551C" w:rsidR="009020DE">
        <w:rPr>
          <w:i/>
          <w:lang w:val="fr-FR"/>
        </w:rPr>
        <w:t>Korkin</w:t>
      </w:r>
      <w:proofErr w:type="spellEnd"/>
      <w:r w:rsidRPr="00A2551C" w:rsidR="009020DE">
        <w:rPr>
          <w:i/>
          <w:lang w:val="fr-FR"/>
        </w:rPr>
        <w:t xml:space="preserve"> c. Russie</w:t>
      </w:r>
      <w:r w:rsidRPr="00A2551C" w:rsidR="009020DE">
        <w:rPr>
          <w:lang w:val="fr-FR"/>
        </w:rPr>
        <w:t>, n</w:t>
      </w:r>
      <w:r w:rsidRPr="00A2551C" w:rsidR="009020DE">
        <w:rPr>
          <w:vertAlign w:val="superscript"/>
          <w:lang w:val="fr-FR"/>
        </w:rPr>
        <w:t>o</w:t>
      </w:r>
      <w:r w:rsidRPr="00A2551C" w:rsidR="009020DE">
        <w:rPr>
          <w:lang w:val="fr-FR"/>
        </w:rPr>
        <w:t> 48416/09, §§ 88</w:t>
      </w:r>
      <w:r w:rsidRPr="00A2551C" w:rsidR="009020DE">
        <w:rPr>
          <w:lang w:val="fr-FR"/>
        </w:rPr>
        <w:noBreakHyphen/>
        <w:t xml:space="preserve">96, 12 novembre 2015, et </w:t>
      </w:r>
      <w:r w:rsidRPr="00A2551C" w:rsidR="00E125A8">
        <w:rPr>
          <w:i/>
          <w:lang w:val="fr-FR"/>
        </w:rPr>
        <w:t>G.</w:t>
      </w:r>
      <w:r w:rsidRPr="00A2551C" w:rsidR="00E125A8">
        <w:rPr>
          <w:lang w:val="fr-FR"/>
        </w:rPr>
        <w:t xml:space="preserve"> </w:t>
      </w:r>
      <w:r w:rsidRPr="00A2551C" w:rsidR="00E125A8">
        <w:rPr>
          <w:i/>
          <w:lang w:val="fr-FR"/>
        </w:rPr>
        <w:t>c. Russie</w:t>
      </w:r>
      <w:r w:rsidRPr="00A2551C" w:rsidR="00E125A8">
        <w:rPr>
          <w:lang w:val="fr-FR"/>
        </w:rPr>
        <w:t>, n</w:t>
      </w:r>
      <w:r w:rsidRPr="00A2551C" w:rsidR="00E125A8">
        <w:rPr>
          <w:vertAlign w:val="superscript"/>
          <w:lang w:val="fr-FR"/>
        </w:rPr>
        <w:t>o</w:t>
      </w:r>
      <w:r w:rsidRPr="00A2551C" w:rsidR="00E125A8">
        <w:rPr>
          <w:lang w:val="fr-FR"/>
        </w:rPr>
        <w:t xml:space="preserve"> 42526/07, §§ 114</w:t>
      </w:r>
      <w:r w:rsidRPr="00A2551C" w:rsidR="00E125A8">
        <w:rPr>
          <w:lang w:val="fr-FR"/>
        </w:rPr>
        <w:noBreakHyphen/>
        <w:t>119, 21 juin 2016</w:t>
      </w:r>
      <w:r w:rsidRPr="00A2551C">
        <w:rPr>
          <w:lang w:val="fr-FR"/>
        </w:rPr>
        <w:t>). Dans la présente affaire, rien ne lui permet de parvenir à une conclusion différente.</w:t>
      </w:r>
    </w:p>
    <w:p w:rsidRPr="00A2551C" w:rsidR="00D05753" w:rsidP="00A2551C" w:rsidRDefault="009D0293">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80</w:t>
      </w:r>
      <w:r w:rsidRPr="00A2551C">
        <w:rPr>
          <w:lang w:val="fr-FR"/>
        </w:rPr>
        <w:fldChar w:fldCharType="end"/>
      </w:r>
      <w:r w:rsidRPr="00A2551C">
        <w:rPr>
          <w:lang w:val="fr-FR"/>
        </w:rPr>
        <w:t>.  </w:t>
      </w:r>
      <w:r w:rsidRPr="00A2551C" w:rsidR="00D05753">
        <w:rPr>
          <w:lang w:val="fr-FR"/>
        </w:rPr>
        <w:t>Eu égard à ce qui précède, la Cour considère que, en s</w:t>
      </w:r>
      <w:r w:rsidRPr="00A2551C" w:rsidR="00A2551C">
        <w:rPr>
          <w:lang w:val="fr-FR"/>
        </w:rPr>
        <w:t>’</w:t>
      </w:r>
      <w:r w:rsidRPr="00A2551C" w:rsidR="00D05753">
        <w:rPr>
          <w:lang w:val="fr-FR"/>
        </w:rPr>
        <w:t>appuyant essentiellement et systématiquement sur la gravité des charges à l</w:t>
      </w:r>
      <w:r w:rsidRPr="00A2551C" w:rsidR="00A2551C">
        <w:rPr>
          <w:lang w:val="fr-FR"/>
        </w:rPr>
        <w:t>’</w:t>
      </w:r>
      <w:r w:rsidRPr="00A2551C" w:rsidR="00D05753">
        <w:rPr>
          <w:lang w:val="fr-FR"/>
        </w:rPr>
        <w:t xml:space="preserve">encontre du </w:t>
      </w:r>
      <w:r w:rsidRPr="00A2551C" w:rsidR="00335DA1">
        <w:rPr>
          <w:lang w:val="fr-FR"/>
        </w:rPr>
        <w:t>r</w:t>
      </w:r>
      <w:r w:rsidRPr="00A2551C" w:rsidR="00D05753">
        <w:rPr>
          <w:lang w:val="fr-FR"/>
        </w:rPr>
        <w:t xml:space="preserve">equérant, les autorités ont maintenu ce dernier en détention provisoire pendant </w:t>
      </w:r>
      <w:r w:rsidRPr="00A2551C" w:rsidR="00335DA1">
        <w:rPr>
          <w:lang w:val="fr-FR"/>
        </w:rPr>
        <w:t>plus de</w:t>
      </w:r>
      <w:r w:rsidRPr="00A2551C" w:rsidR="00D05753">
        <w:rPr>
          <w:lang w:val="fr-FR"/>
        </w:rPr>
        <w:t xml:space="preserve"> </w:t>
      </w:r>
      <w:r w:rsidRPr="00A2551C" w:rsidR="00335DA1">
        <w:rPr>
          <w:lang w:val="fr-FR"/>
        </w:rPr>
        <w:t xml:space="preserve">trois </w:t>
      </w:r>
      <w:r w:rsidRPr="00A2551C">
        <w:rPr>
          <w:lang w:val="fr-FR"/>
        </w:rPr>
        <w:t xml:space="preserve">ans </w:t>
      </w:r>
      <w:r w:rsidRPr="00A2551C" w:rsidR="00D05753">
        <w:rPr>
          <w:lang w:val="fr-FR"/>
        </w:rPr>
        <w:t>pour des motifs qui ne sauraient être considérés comme « suffisants » pour justifier la durée de cette détention.</w:t>
      </w:r>
    </w:p>
    <w:p w:rsidRPr="00A2551C" w:rsidR="00D05753" w:rsidP="00A2551C" w:rsidRDefault="00D05753">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81</w:t>
      </w:r>
      <w:r w:rsidRPr="00A2551C">
        <w:rPr>
          <w:lang w:val="fr-FR"/>
        </w:rPr>
        <w:fldChar w:fldCharType="end"/>
      </w:r>
      <w:r w:rsidRPr="00A2551C">
        <w:rPr>
          <w:lang w:val="fr-FR"/>
        </w:rPr>
        <w:t>.  Dans ces circonstances, il n</w:t>
      </w:r>
      <w:r w:rsidRPr="00A2551C" w:rsidR="00A2551C">
        <w:rPr>
          <w:lang w:val="fr-FR"/>
        </w:rPr>
        <w:t>’</w:t>
      </w:r>
      <w:r w:rsidRPr="00A2551C">
        <w:rPr>
          <w:lang w:val="fr-FR"/>
        </w:rPr>
        <w:t>est pas nécessaire de rechercher si les autorités nationales compétentes ont apporté une « diligence particulière » à la poursuite de la procédure (</w:t>
      </w:r>
      <w:proofErr w:type="spellStart"/>
      <w:r w:rsidRPr="00A2551C">
        <w:rPr>
          <w:i/>
          <w:lang w:val="fr-FR"/>
        </w:rPr>
        <w:t>Dolgova</w:t>
      </w:r>
      <w:proofErr w:type="spellEnd"/>
      <w:r w:rsidRPr="00A2551C">
        <w:rPr>
          <w:i/>
          <w:lang w:val="fr-FR"/>
        </w:rPr>
        <w:t xml:space="preserve"> c. Russie</w:t>
      </w:r>
      <w:r w:rsidRPr="00A2551C">
        <w:rPr>
          <w:lang w:val="fr-FR"/>
        </w:rPr>
        <w:t>, n</w:t>
      </w:r>
      <w:r w:rsidRPr="00A2551C">
        <w:rPr>
          <w:vertAlign w:val="superscript"/>
          <w:lang w:val="fr-FR"/>
        </w:rPr>
        <w:t>o</w:t>
      </w:r>
      <w:r w:rsidRPr="00A2551C">
        <w:rPr>
          <w:lang w:val="fr-FR"/>
        </w:rPr>
        <w:t> 11886/05, § 50, 2 mars 2006). Partant, il y a eu violation de l</w:t>
      </w:r>
      <w:r w:rsidRPr="00A2551C" w:rsidR="00A2551C">
        <w:rPr>
          <w:lang w:val="fr-FR"/>
        </w:rPr>
        <w:t>’</w:t>
      </w:r>
      <w:r w:rsidRPr="00A2551C">
        <w:rPr>
          <w:lang w:val="fr-FR"/>
        </w:rPr>
        <w:t>article 5 § 3 de la Convention.</w:t>
      </w:r>
    </w:p>
    <w:p w:rsidRPr="00A2551C" w:rsidR="00E77CB3" w:rsidP="00A2551C" w:rsidRDefault="00657348">
      <w:pPr>
        <w:pStyle w:val="ECHRHeading1"/>
        <w:rPr>
          <w:lang w:val="fr-FR"/>
        </w:rPr>
      </w:pPr>
      <w:r w:rsidRPr="00A2551C">
        <w:rPr>
          <w:lang w:val="fr-FR"/>
        </w:rPr>
        <w:t>III</w:t>
      </w:r>
      <w:r w:rsidRPr="00A2551C" w:rsidR="00E77CB3">
        <w:rPr>
          <w:lang w:val="fr-FR"/>
        </w:rPr>
        <w:t>.  SUR LA VIOLATION ALLÉGUÉE DE L</w:t>
      </w:r>
      <w:r w:rsidRPr="00A2551C" w:rsidR="00A2551C">
        <w:rPr>
          <w:lang w:val="fr-FR"/>
        </w:rPr>
        <w:t>’</w:t>
      </w:r>
      <w:r w:rsidRPr="00A2551C" w:rsidR="00E77CB3">
        <w:rPr>
          <w:lang w:val="fr-FR"/>
        </w:rPr>
        <w:t xml:space="preserve">ARTICLE </w:t>
      </w:r>
      <w:r w:rsidRPr="00A2551C" w:rsidR="00146316">
        <w:rPr>
          <w:lang w:val="fr-FR"/>
        </w:rPr>
        <w:t>6</w:t>
      </w:r>
      <w:r w:rsidRPr="00A2551C" w:rsidR="00E77CB3">
        <w:rPr>
          <w:lang w:val="fr-FR"/>
        </w:rPr>
        <w:t xml:space="preserve"> DE LA CONVENTION</w:t>
      </w:r>
    </w:p>
    <w:p w:rsidRPr="00A2551C" w:rsidR="00E77CB3"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82</w:t>
      </w:r>
      <w:r w:rsidRPr="00A2551C">
        <w:rPr>
          <w:lang w:val="fr-FR"/>
        </w:rPr>
        <w:fldChar w:fldCharType="end"/>
      </w:r>
      <w:r w:rsidRPr="00A2551C" w:rsidR="00E77CB3">
        <w:rPr>
          <w:lang w:val="fr-FR"/>
        </w:rPr>
        <w:t>.  </w:t>
      </w:r>
      <w:r w:rsidRPr="00A2551C">
        <w:rPr>
          <w:lang w:val="fr-FR"/>
        </w:rPr>
        <w:t xml:space="preserve">Le requérant </w:t>
      </w:r>
      <w:r w:rsidRPr="00A2551C" w:rsidR="00146316">
        <w:rPr>
          <w:lang w:val="fr-FR"/>
        </w:rPr>
        <w:t xml:space="preserve">dénonce une atteinte à son droit de voir sa cause être entendue équitablement et publiquement. Il soutient notamment que la décision </w:t>
      </w:r>
      <w:r w:rsidRPr="00A2551C" w:rsidR="00B77282">
        <w:rPr>
          <w:lang w:val="fr-FR"/>
        </w:rPr>
        <w:t>du</w:t>
      </w:r>
      <w:r w:rsidRPr="00A2551C" w:rsidR="00146316">
        <w:rPr>
          <w:lang w:val="fr-FR"/>
        </w:rPr>
        <w:t xml:space="preserve"> </w:t>
      </w:r>
      <w:r w:rsidRPr="00A2551C" w:rsidR="008A56E0">
        <w:rPr>
          <w:lang w:val="fr-FR"/>
        </w:rPr>
        <w:t xml:space="preserve">tribunal </w:t>
      </w:r>
      <w:r w:rsidRPr="00A2551C" w:rsidR="00B77282">
        <w:rPr>
          <w:lang w:val="fr-FR"/>
        </w:rPr>
        <w:t>portant sur l</w:t>
      </w:r>
      <w:r w:rsidRPr="00A2551C" w:rsidR="00A2551C">
        <w:rPr>
          <w:lang w:val="fr-FR"/>
        </w:rPr>
        <w:t>’</w:t>
      </w:r>
      <w:r w:rsidRPr="00A2551C" w:rsidR="00B77282">
        <w:rPr>
          <w:lang w:val="fr-FR"/>
        </w:rPr>
        <w:t>e</w:t>
      </w:r>
      <w:r w:rsidRPr="00A2551C" w:rsidR="00146316">
        <w:rPr>
          <w:lang w:val="fr-FR"/>
        </w:rPr>
        <w:t>xam</w:t>
      </w:r>
      <w:r w:rsidRPr="00A2551C" w:rsidR="00B77282">
        <w:rPr>
          <w:lang w:val="fr-FR"/>
        </w:rPr>
        <w:t>en</w:t>
      </w:r>
      <w:r w:rsidRPr="00A2551C" w:rsidR="00146316">
        <w:rPr>
          <w:lang w:val="fr-FR"/>
        </w:rPr>
        <w:t xml:space="preserve"> </w:t>
      </w:r>
      <w:r w:rsidRPr="00A2551C" w:rsidR="00D03891">
        <w:rPr>
          <w:lang w:val="fr-FR"/>
        </w:rPr>
        <w:t xml:space="preserve">de </w:t>
      </w:r>
      <w:r w:rsidRPr="00A2551C" w:rsidR="00146316">
        <w:rPr>
          <w:lang w:val="fr-FR"/>
        </w:rPr>
        <w:t>l</w:t>
      </w:r>
      <w:r w:rsidRPr="00A2551C" w:rsidR="00A2551C">
        <w:rPr>
          <w:lang w:val="fr-FR"/>
        </w:rPr>
        <w:t>’</w:t>
      </w:r>
      <w:r w:rsidRPr="00A2551C" w:rsidR="00146316">
        <w:rPr>
          <w:lang w:val="fr-FR"/>
        </w:rPr>
        <w:t>affaire pénale à huis clos était déraisonna</w:t>
      </w:r>
      <w:r w:rsidRPr="00A2551C" w:rsidR="005E0D7F">
        <w:rPr>
          <w:lang w:val="fr-FR"/>
        </w:rPr>
        <w:t xml:space="preserve">ble au motif que les éléments portant </w:t>
      </w:r>
      <w:r w:rsidRPr="00A2551C" w:rsidR="007903AD">
        <w:rPr>
          <w:lang w:val="fr-FR"/>
        </w:rPr>
        <w:t xml:space="preserve">la </w:t>
      </w:r>
      <w:r w:rsidRPr="00A2551C" w:rsidR="005E0D7F">
        <w:rPr>
          <w:lang w:val="fr-FR"/>
        </w:rPr>
        <w:t>mention</w:t>
      </w:r>
      <w:r w:rsidRPr="00A2551C" w:rsidR="00146316">
        <w:rPr>
          <w:lang w:val="fr-FR"/>
        </w:rPr>
        <w:t xml:space="preserve"> « </w:t>
      </w:r>
      <w:r w:rsidRPr="00A2551C" w:rsidR="005E0D7F">
        <w:rPr>
          <w:lang w:val="fr-FR"/>
        </w:rPr>
        <w:t xml:space="preserve">très </w:t>
      </w:r>
      <w:r w:rsidRPr="00A2551C" w:rsidR="00146316">
        <w:rPr>
          <w:lang w:val="fr-FR"/>
        </w:rPr>
        <w:t xml:space="preserve">secret » ne représentaient que quatre </w:t>
      </w:r>
      <w:r w:rsidRPr="00A2551C" w:rsidR="005E0D7F">
        <w:rPr>
          <w:lang w:val="fr-FR"/>
        </w:rPr>
        <w:t>documents</w:t>
      </w:r>
      <w:r w:rsidRPr="00A2551C" w:rsidR="00146316">
        <w:rPr>
          <w:lang w:val="fr-FR"/>
        </w:rPr>
        <w:t xml:space="preserve"> </w:t>
      </w:r>
      <w:r w:rsidRPr="00A2551C" w:rsidR="007903AD">
        <w:rPr>
          <w:lang w:val="fr-FR"/>
        </w:rPr>
        <w:t xml:space="preserve">sur les </w:t>
      </w:r>
      <w:r w:rsidRPr="00A2551C" w:rsidR="005E0D7F">
        <w:rPr>
          <w:lang w:val="fr-FR"/>
        </w:rPr>
        <w:t>plus de</w:t>
      </w:r>
      <w:r w:rsidRPr="00A2551C" w:rsidR="00146316">
        <w:rPr>
          <w:lang w:val="fr-FR"/>
        </w:rPr>
        <w:t xml:space="preserve"> cent volumes qu</w:t>
      </w:r>
      <w:r w:rsidRPr="00A2551C" w:rsidR="00A2551C">
        <w:rPr>
          <w:lang w:val="fr-FR"/>
        </w:rPr>
        <w:t>’</w:t>
      </w:r>
      <w:r w:rsidRPr="00A2551C" w:rsidR="00146316">
        <w:rPr>
          <w:lang w:val="fr-FR"/>
        </w:rPr>
        <w:t>aurait comportés le dossier pénal. Il invoque l</w:t>
      </w:r>
      <w:r w:rsidRPr="00A2551C" w:rsidR="00A2551C">
        <w:rPr>
          <w:lang w:val="fr-FR"/>
        </w:rPr>
        <w:t>’</w:t>
      </w:r>
      <w:r w:rsidRPr="00A2551C" w:rsidR="00146316">
        <w:rPr>
          <w:lang w:val="fr-FR"/>
        </w:rPr>
        <w:t>article</w:t>
      </w:r>
      <w:r w:rsidRPr="00A2551C" w:rsidR="007903AD">
        <w:rPr>
          <w:lang w:val="fr-FR"/>
        </w:rPr>
        <w:t> </w:t>
      </w:r>
      <w:r w:rsidRPr="00A2551C" w:rsidR="009D0293">
        <w:rPr>
          <w:lang w:val="fr-FR"/>
        </w:rPr>
        <w:t>6 § 1 de la Convention, ainsi rédigé en ses parties pertinentes en l</w:t>
      </w:r>
      <w:r w:rsidRPr="00A2551C" w:rsidR="00A2551C">
        <w:rPr>
          <w:lang w:val="fr-FR"/>
        </w:rPr>
        <w:t>’</w:t>
      </w:r>
      <w:r w:rsidRPr="00A2551C" w:rsidR="009D0293">
        <w:rPr>
          <w:lang w:val="fr-FR"/>
        </w:rPr>
        <w:t>espèce :</w:t>
      </w:r>
    </w:p>
    <w:p w:rsidRPr="00A2551C" w:rsidR="009D0293" w:rsidP="00A2551C" w:rsidRDefault="009D0293">
      <w:pPr>
        <w:pStyle w:val="ECHRParaQuote"/>
        <w:rPr>
          <w:lang w:val="fr-FR"/>
        </w:rPr>
      </w:pPr>
      <w:r w:rsidRPr="00A2551C">
        <w:rPr>
          <w:lang w:val="fr-FR"/>
        </w:rPr>
        <w:t>« Toute personne a droit à ce que sa cause soit entendue équitablement (...) par un tribunal (</w:t>
      </w:r>
      <w:r w:rsidRPr="00A2551C" w:rsidR="0076324D">
        <w:rPr>
          <w:lang w:val="fr-FR"/>
        </w:rPr>
        <w:t>...</w:t>
      </w:r>
      <w:r w:rsidRPr="00A2551C">
        <w:rPr>
          <w:lang w:val="fr-FR"/>
        </w:rPr>
        <w:t>) qui décidera (...) du bien-fondé de toute accusation en matière pénale dirigée contre elle. Le jugement doit être rendu publiquement, mais l</w:t>
      </w:r>
      <w:r w:rsidRPr="00A2551C" w:rsidR="00A2551C">
        <w:rPr>
          <w:lang w:val="fr-FR"/>
        </w:rPr>
        <w:t>’</w:t>
      </w:r>
      <w:r w:rsidRPr="00A2551C">
        <w:rPr>
          <w:lang w:val="fr-FR"/>
        </w:rPr>
        <w:t>accès de la salle d</w:t>
      </w:r>
      <w:r w:rsidRPr="00A2551C" w:rsidR="00A2551C">
        <w:rPr>
          <w:lang w:val="fr-FR"/>
        </w:rPr>
        <w:t>’</w:t>
      </w:r>
      <w:r w:rsidRPr="00A2551C">
        <w:rPr>
          <w:lang w:val="fr-FR"/>
        </w:rPr>
        <w:t>audience peut être interdit à la presse et au public pendant la totalité ou une partie du procès dans l</w:t>
      </w:r>
      <w:r w:rsidRPr="00A2551C" w:rsidR="00A2551C">
        <w:rPr>
          <w:lang w:val="fr-FR"/>
        </w:rPr>
        <w:t>’</w:t>
      </w:r>
      <w:r w:rsidRPr="00A2551C">
        <w:rPr>
          <w:lang w:val="fr-FR"/>
        </w:rPr>
        <w:t>intérêt de la moralité, de l</w:t>
      </w:r>
      <w:r w:rsidRPr="00A2551C" w:rsidR="00A2551C">
        <w:rPr>
          <w:lang w:val="fr-FR"/>
        </w:rPr>
        <w:t>’</w:t>
      </w:r>
      <w:r w:rsidRPr="00A2551C">
        <w:rPr>
          <w:lang w:val="fr-FR"/>
        </w:rPr>
        <w:t>ordre public ou de la sécurité nationale dans une société démocratique, lorsque les intérêts des mineurs ou la protection de la vie privée des parties au procès l</w:t>
      </w:r>
      <w:r w:rsidRPr="00A2551C" w:rsidR="00A2551C">
        <w:rPr>
          <w:lang w:val="fr-FR"/>
        </w:rPr>
        <w:t>’</w:t>
      </w:r>
      <w:r w:rsidRPr="00A2551C">
        <w:rPr>
          <w:lang w:val="fr-FR"/>
        </w:rPr>
        <w:t>exigent, ou dans la mesure jugée strictement nécessaire par le tribunal, lorsque dans des circonstances spéciales la publicité serait de nature à porter attei</w:t>
      </w:r>
      <w:r w:rsidRPr="00A2551C" w:rsidR="00160A81">
        <w:rPr>
          <w:lang w:val="fr-FR"/>
        </w:rPr>
        <w:t>nte aux intérêts de la justice. </w:t>
      </w:r>
      <w:r w:rsidRPr="00A2551C">
        <w:rPr>
          <w:lang w:val="fr-FR"/>
        </w:rPr>
        <w:t>»</w:t>
      </w:r>
    </w:p>
    <w:p w:rsidRPr="00A2551C" w:rsidR="00657348" w:rsidP="00A2551C" w:rsidRDefault="00657348">
      <w:pPr>
        <w:pStyle w:val="ECHRHeading2"/>
        <w:rPr>
          <w:lang w:val="fr-FR"/>
        </w:rPr>
      </w:pPr>
      <w:r w:rsidRPr="00A2551C">
        <w:rPr>
          <w:lang w:val="fr-FR"/>
        </w:rPr>
        <w:t>A.  Thèses des parties</w:t>
      </w:r>
    </w:p>
    <w:p w:rsidRPr="00A2551C" w:rsidR="00657348" w:rsidP="00A2551C" w:rsidRDefault="00657348">
      <w:pPr>
        <w:pStyle w:val="ECHRHeading3"/>
        <w:rPr>
          <w:lang w:val="fr-FR"/>
        </w:rPr>
      </w:pPr>
      <w:r w:rsidRPr="00A2551C">
        <w:rPr>
          <w:lang w:val="fr-FR"/>
        </w:rPr>
        <w:t>1.  Le Gouvernement</w:t>
      </w:r>
    </w:p>
    <w:p w:rsidRPr="00A2551C" w:rsidR="0076324D" w:rsidP="00A2551C" w:rsidRDefault="00B56C44">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83</w:t>
      </w:r>
      <w:r w:rsidRPr="00A2551C">
        <w:rPr>
          <w:lang w:val="fr-FR"/>
        </w:rPr>
        <w:fldChar w:fldCharType="end"/>
      </w:r>
      <w:r w:rsidRPr="00A2551C">
        <w:rPr>
          <w:lang w:val="fr-FR"/>
        </w:rPr>
        <w:t>.  Le Gouvernement argue que le requérant n</w:t>
      </w:r>
      <w:r w:rsidRPr="00A2551C" w:rsidR="00A2551C">
        <w:rPr>
          <w:lang w:val="fr-FR"/>
        </w:rPr>
        <w:t>’</w:t>
      </w:r>
      <w:r w:rsidRPr="00A2551C">
        <w:rPr>
          <w:lang w:val="fr-FR"/>
        </w:rPr>
        <w:t xml:space="preserve">a pas contesté la décision du 24 </w:t>
      </w:r>
      <w:r w:rsidRPr="00A2551C" w:rsidR="00325191">
        <w:rPr>
          <w:lang w:val="fr-FR"/>
        </w:rPr>
        <w:t>juin 2009</w:t>
      </w:r>
      <w:r w:rsidRPr="00A2551C">
        <w:rPr>
          <w:lang w:val="fr-FR"/>
        </w:rPr>
        <w:t xml:space="preserve"> par laquelle la juridiction du fond avait décidé de tenir le procès à huis clos. Il invite la Cour à rejeter le grief de l</w:t>
      </w:r>
      <w:r w:rsidRPr="00A2551C" w:rsidR="00A2551C">
        <w:rPr>
          <w:lang w:val="fr-FR"/>
        </w:rPr>
        <w:t>’</w:t>
      </w:r>
      <w:r w:rsidRPr="00A2551C">
        <w:rPr>
          <w:lang w:val="fr-FR"/>
        </w:rPr>
        <w:t>i</w:t>
      </w:r>
      <w:r w:rsidRPr="00A2551C" w:rsidR="00E125A8">
        <w:rPr>
          <w:lang w:val="fr-FR"/>
        </w:rPr>
        <w:t>ntéressé pour non</w:t>
      </w:r>
      <w:r w:rsidRPr="00A2551C" w:rsidR="00E125A8">
        <w:rPr>
          <w:lang w:val="fr-FR"/>
        </w:rPr>
        <w:noBreakHyphen/>
        <w:t>épuisement des</w:t>
      </w:r>
      <w:r w:rsidRPr="00A2551C">
        <w:rPr>
          <w:lang w:val="fr-FR"/>
        </w:rPr>
        <w:t xml:space="preserve"> voies de recours internes.</w:t>
      </w:r>
    </w:p>
    <w:p w:rsidRPr="00A2551C" w:rsidR="00657348" w:rsidP="00A2551C" w:rsidRDefault="00657348">
      <w:pPr>
        <w:pStyle w:val="ECHRHeading3"/>
        <w:rPr>
          <w:lang w:val="fr-FR"/>
        </w:rPr>
      </w:pPr>
      <w:r w:rsidRPr="00A2551C">
        <w:rPr>
          <w:lang w:val="fr-FR"/>
        </w:rPr>
        <w:t>2.  Le requérant</w:t>
      </w:r>
    </w:p>
    <w:p w:rsidRPr="00A2551C" w:rsidR="00325191" w:rsidP="00A2551C" w:rsidRDefault="0032519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84</w:t>
      </w:r>
      <w:r w:rsidRPr="00A2551C">
        <w:rPr>
          <w:lang w:val="fr-FR"/>
        </w:rPr>
        <w:fldChar w:fldCharType="end"/>
      </w:r>
      <w:r w:rsidRPr="00A2551C">
        <w:rPr>
          <w:lang w:val="fr-FR"/>
        </w:rPr>
        <w:t>.  </w:t>
      </w:r>
      <w:r w:rsidRPr="00A2551C" w:rsidR="0058468C">
        <w:rPr>
          <w:lang w:val="fr-FR"/>
        </w:rPr>
        <w:t>S</w:t>
      </w:r>
      <w:r w:rsidRPr="00A2551C" w:rsidR="00A2551C">
        <w:rPr>
          <w:lang w:val="fr-FR"/>
        </w:rPr>
        <w:t>’</w:t>
      </w:r>
      <w:r w:rsidRPr="00A2551C" w:rsidR="0058468C">
        <w:rPr>
          <w:lang w:val="fr-FR"/>
        </w:rPr>
        <w:t>agissant de l</w:t>
      </w:r>
      <w:r w:rsidRPr="00A2551C" w:rsidR="00A2551C">
        <w:rPr>
          <w:lang w:val="fr-FR"/>
        </w:rPr>
        <w:t>’</w:t>
      </w:r>
      <w:r w:rsidRPr="00A2551C" w:rsidR="0058468C">
        <w:rPr>
          <w:lang w:val="fr-FR"/>
        </w:rPr>
        <w:t>exception d</w:t>
      </w:r>
      <w:r w:rsidRPr="00A2551C" w:rsidR="00A2551C">
        <w:rPr>
          <w:lang w:val="fr-FR"/>
        </w:rPr>
        <w:t>’</w:t>
      </w:r>
      <w:r w:rsidRPr="00A2551C" w:rsidR="0058468C">
        <w:rPr>
          <w:lang w:val="fr-FR"/>
        </w:rPr>
        <w:t>irrecevabilité tiré d</w:t>
      </w:r>
      <w:r w:rsidRPr="00A2551C" w:rsidR="008A7E13">
        <w:rPr>
          <w:lang w:val="fr-FR"/>
        </w:rPr>
        <w:t>u</w:t>
      </w:r>
      <w:r w:rsidRPr="00A2551C" w:rsidR="0058468C">
        <w:rPr>
          <w:lang w:val="fr-FR"/>
        </w:rPr>
        <w:t xml:space="preserve"> non</w:t>
      </w:r>
      <w:r w:rsidRPr="00A2551C" w:rsidR="0058468C">
        <w:rPr>
          <w:lang w:val="fr-FR"/>
        </w:rPr>
        <w:noBreakHyphen/>
        <w:t>épuisement des voies de recours internes, l</w:t>
      </w:r>
      <w:r w:rsidRPr="00A2551C" w:rsidR="000F3867">
        <w:rPr>
          <w:lang w:val="fr-FR"/>
        </w:rPr>
        <w:t>e requérant indique qu</w:t>
      </w:r>
      <w:r w:rsidRPr="00A2551C" w:rsidR="00A2551C">
        <w:rPr>
          <w:lang w:val="fr-FR"/>
        </w:rPr>
        <w:t>’</w:t>
      </w:r>
      <w:r w:rsidRPr="00A2551C" w:rsidR="000F3867">
        <w:rPr>
          <w:lang w:val="fr-FR"/>
        </w:rPr>
        <w:t>une décision du tribunal prise à l</w:t>
      </w:r>
      <w:r w:rsidRPr="00A2551C" w:rsidR="00A2551C">
        <w:rPr>
          <w:lang w:val="fr-FR"/>
        </w:rPr>
        <w:t>’</w:t>
      </w:r>
      <w:r w:rsidRPr="00A2551C" w:rsidR="000F3867">
        <w:rPr>
          <w:lang w:val="fr-FR"/>
        </w:rPr>
        <w:t>issue de l</w:t>
      </w:r>
      <w:r w:rsidRPr="00A2551C" w:rsidR="00A2551C">
        <w:rPr>
          <w:lang w:val="fr-FR"/>
        </w:rPr>
        <w:t>’</w:t>
      </w:r>
      <w:r w:rsidRPr="00A2551C" w:rsidR="000F3867">
        <w:rPr>
          <w:lang w:val="fr-FR"/>
        </w:rPr>
        <w:t xml:space="preserve">audience préliminaire </w:t>
      </w:r>
      <w:r w:rsidRPr="00A2551C" w:rsidR="00D03891">
        <w:rPr>
          <w:lang w:val="fr-FR"/>
        </w:rPr>
        <w:t>conformément à l</w:t>
      </w:r>
      <w:r w:rsidRPr="00A2551C" w:rsidR="00A2551C">
        <w:rPr>
          <w:lang w:val="fr-FR"/>
        </w:rPr>
        <w:t>’</w:t>
      </w:r>
      <w:r w:rsidRPr="00A2551C" w:rsidR="00D03891">
        <w:rPr>
          <w:lang w:val="fr-FR"/>
        </w:rPr>
        <w:t xml:space="preserve">article 236 du CPP </w:t>
      </w:r>
      <w:r w:rsidRPr="00A2551C" w:rsidR="000F3867">
        <w:rPr>
          <w:lang w:val="fr-FR"/>
        </w:rPr>
        <w:t>n</w:t>
      </w:r>
      <w:r w:rsidRPr="00A2551C" w:rsidR="00A2551C">
        <w:rPr>
          <w:lang w:val="fr-FR"/>
        </w:rPr>
        <w:t>’</w:t>
      </w:r>
      <w:r w:rsidRPr="00A2551C" w:rsidR="000F3867">
        <w:rPr>
          <w:lang w:val="fr-FR"/>
        </w:rPr>
        <w:t>est susceptible d</w:t>
      </w:r>
      <w:r w:rsidRPr="00A2551C" w:rsidR="00A2551C">
        <w:rPr>
          <w:lang w:val="fr-FR"/>
        </w:rPr>
        <w:t>’</w:t>
      </w:r>
      <w:r w:rsidRPr="00A2551C" w:rsidR="000F3867">
        <w:rPr>
          <w:lang w:val="fr-FR"/>
        </w:rPr>
        <w:t xml:space="preserve">appel </w:t>
      </w:r>
      <w:r w:rsidRPr="00A2551C" w:rsidR="00D03891">
        <w:rPr>
          <w:lang w:val="fr-FR"/>
        </w:rPr>
        <w:t>que dans sa partie portant sur l</w:t>
      </w:r>
      <w:r w:rsidRPr="00A2551C" w:rsidR="00A2551C">
        <w:rPr>
          <w:lang w:val="fr-FR"/>
        </w:rPr>
        <w:t>’</w:t>
      </w:r>
      <w:r w:rsidRPr="00A2551C" w:rsidR="00D03891">
        <w:rPr>
          <w:lang w:val="fr-FR"/>
        </w:rPr>
        <w:t>application d</w:t>
      </w:r>
      <w:r w:rsidRPr="00A2551C" w:rsidR="00A2551C">
        <w:rPr>
          <w:lang w:val="fr-FR"/>
        </w:rPr>
        <w:t>’</w:t>
      </w:r>
      <w:r w:rsidRPr="00A2551C" w:rsidR="00D03891">
        <w:rPr>
          <w:lang w:val="fr-FR"/>
        </w:rPr>
        <w:t>une mesure restrictive de liberté à l</w:t>
      </w:r>
      <w:r w:rsidRPr="00A2551C" w:rsidR="00A2551C">
        <w:rPr>
          <w:lang w:val="fr-FR"/>
        </w:rPr>
        <w:t>’</w:t>
      </w:r>
      <w:r w:rsidRPr="00A2551C" w:rsidR="00D03891">
        <w:rPr>
          <w:lang w:val="fr-FR"/>
        </w:rPr>
        <w:t>égard de l</w:t>
      </w:r>
      <w:r w:rsidRPr="00A2551C" w:rsidR="00A2551C">
        <w:rPr>
          <w:lang w:val="fr-FR"/>
        </w:rPr>
        <w:t>’</w:t>
      </w:r>
      <w:r w:rsidRPr="00A2551C" w:rsidR="00D03891">
        <w:rPr>
          <w:lang w:val="fr-FR"/>
        </w:rPr>
        <w:t>accusé ou dans le cas où la décision en question met fin aux poursuites pénales dirigées contre ce dernier</w:t>
      </w:r>
      <w:r w:rsidRPr="00A2551C" w:rsidR="001A7418">
        <w:rPr>
          <w:lang w:val="fr-FR"/>
        </w:rPr>
        <w:t>. I</w:t>
      </w:r>
      <w:r w:rsidRPr="00A2551C" w:rsidR="001A7C0D">
        <w:rPr>
          <w:lang w:val="fr-FR"/>
        </w:rPr>
        <w:t>l argue par conséquent qu</w:t>
      </w:r>
      <w:r w:rsidRPr="00A2551C" w:rsidR="00A2551C">
        <w:rPr>
          <w:lang w:val="fr-FR"/>
        </w:rPr>
        <w:t>’</w:t>
      </w:r>
      <w:r w:rsidRPr="00A2551C" w:rsidR="001A7C0D">
        <w:rPr>
          <w:lang w:val="fr-FR"/>
        </w:rPr>
        <w:t xml:space="preserve">il </w:t>
      </w:r>
      <w:r w:rsidRPr="00A2551C" w:rsidR="001A7418">
        <w:rPr>
          <w:lang w:val="fr-FR"/>
        </w:rPr>
        <w:t>n</w:t>
      </w:r>
      <w:r w:rsidRPr="00A2551C" w:rsidR="00A2551C">
        <w:rPr>
          <w:lang w:val="fr-FR"/>
        </w:rPr>
        <w:t>’</w:t>
      </w:r>
      <w:r w:rsidRPr="00A2551C" w:rsidR="001A7418">
        <w:rPr>
          <w:lang w:val="fr-FR"/>
        </w:rPr>
        <w:t xml:space="preserve">a pas interjeté appel </w:t>
      </w:r>
      <w:r w:rsidRPr="00A2551C" w:rsidR="001A7C0D">
        <w:rPr>
          <w:lang w:val="fr-FR"/>
        </w:rPr>
        <w:t>de la décision interlocutoire invoquée par le Gouvernement et note que celui</w:t>
      </w:r>
      <w:r w:rsidRPr="00A2551C" w:rsidR="001A7C0D">
        <w:rPr>
          <w:lang w:val="fr-FR"/>
        </w:rPr>
        <w:noBreakHyphen/>
        <w:t>ci n</w:t>
      </w:r>
      <w:r w:rsidRPr="00A2551C" w:rsidR="00A2551C">
        <w:rPr>
          <w:lang w:val="fr-FR"/>
        </w:rPr>
        <w:t>’</w:t>
      </w:r>
      <w:r w:rsidRPr="00A2551C" w:rsidR="001A7C0D">
        <w:rPr>
          <w:lang w:val="fr-FR"/>
        </w:rPr>
        <w:t>a démontré</w:t>
      </w:r>
      <w:r w:rsidRPr="00A2551C" w:rsidR="003F2353">
        <w:rPr>
          <w:lang w:val="fr-FR"/>
        </w:rPr>
        <w:t xml:space="preserve"> l</w:t>
      </w:r>
      <w:r w:rsidRPr="00A2551C" w:rsidR="00A2551C">
        <w:rPr>
          <w:lang w:val="fr-FR"/>
        </w:rPr>
        <w:t>’</w:t>
      </w:r>
      <w:r w:rsidRPr="00A2551C" w:rsidR="003F2353">
        <w:rPr>
          <w:lang w:val="fr-FR"/>
        </w:rPr>
        <w:t xml:space="preserve">effectivité de la voie de recours suggérée ni en théorie ni en pratique, </w:t>
      </w:r>
      <w:r w:rsidRPr="00A2551C" w:rsidR="00E125A8">
        <w:rPr>
          <w:lang w:val="fr-FR"/>
        </w:rPr>
        <w:t xml:space="preserve">ayant omis </w:t>
      </w:r>
      <w:r w:rsidRPr="00A2551C" w:rsidR="007903AD">
        <w:rPr>
          <w:lang w:val="fr-FR"/>
        </w:rPr>
        <w:t xml:space="preserve">de </w:t>
      </w:r>
      <w:r w:rsidRPr="00A2551C" w:rsidR="005E0D7F">
        <w:rPr>
          <w:lang w:val="fr-FR"/>
        </w:rPr>
        <w:t>produi</w:t>
      </w:r>
      <w:r w:rsidRPr="00A2551C" w:rsidR="00E125A8">
        <w:rPr>
          <w:lang w:val="fr-FR"/>
        </w:rPr>
        <w:t xml:space="preserve">re </w:t>
      </w:r>
      <w:r w:rsidRPr="00A2551C" w:rsidR="005E0D7F">
        <w:rPr>
          <w:lang w:val="fr-FR"/>
        </w:rPr>
        <w:t xml:space="preserve">des exemples </w:t>
      </w:r>
      <w:r w:rsidRPr="00A2551C" w:rsidR="003F2353">
        <w:rPr>
          <w:lang w:val="fr-FR"/>
        </w:rPr>
        <w:t>de décisions</w:t>
      </w:r>
      <w:r w:rsidRPr="00A2551C" w:rsidR="001A7C0D">
        <w:rPr>
          <w:lang w:val="fr-FR"/>
        </w:rPr>
        <w:t xml:space="preserve"> </w:t>
      </w:r>
      <w:r w:rsidRPr="00A2551C" w:rsidR="003F2353">
        <w:rPr>
          <w:lang w:val="fr-FR"/>
        </w:rPr>
        <w:t>judiciaires pertinentes</w:t>
      </w:r>
      <w:r w:rsidRPr="00A2551C" w:rsidR="001A7C0D">
        <w:rPr>
          <w:lang w:val="fr-FR"/>
        </w:rPr>
        <w:t>.</w:t>
      </w:r>
    </w:p>
    <w:bookmarkStart w:name="A6argreq2" w:id="37"/>
    <w:p w:rsidRPr="00A2551C" w:rsidR="001A7418" w:rsidP="00A2551C" w:rsidRDefault="001A741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85</w:t>
      </w:r>
      <w:r w:rsidRPr="00A2551C">
        <w:rPr>
          <w:lang w:val="fr-FR"/>
        </w:rPr>
        <w:fldChar w:fldCharType="end"/>
      </w:r>
      <w:bookmarkEnd w:id="37"/>
      <w:r w:rsidRPr="00A2551C">
        <w:rPr>
          <w:lang w:val="fr-FR"/>
        </w:rPr>
        <w:t>.  </w:t>
      </w:r>
      <w:r w:rsidRPr="00A2551C" w:rsidR="00C20616">
        <w:rPr>
          <w:lang w:val="fr-FR"/>
        </w:rPr>
        <w:t xml:space="preserve">Se référant ensuite à la jurisprudence de la Cour en matière de publicité </w:t>
      </w:r>
      <w:r w:rsidRPr="00A2551C" w:rsidR="0024532E">
        <w:rPr>
          <w:lang w:val="fr-FR"/>
        </w:rPr>
        <w:t>de la procédure judiciaire</w:t>
      </w:r>
      <w:r w:rsidRPr="00A2551C" w:rsidR="00C20616">
        <w:rPr>
          <w:lang w:val="fr-FR"/>
        </w:rPr>
        <w:t xml:space="preserve"> (</w:t>
      </w:r>
      <w:proofErr w:type="spellStart"/>
      <w:r w:rsidRPr="00A2551C" w:rsidR="0024532E">
        <w:rPr>
          <w:i/>
          <w:lang w:val="fr-FR"/>
        </w:rPr>
        <w:t>Belachev</w:t>
      </w:r>
      <w:proofErr w:type="spellEnd"/>
      <w:r w:rsidRPr="00A2551C" w:rsidR="0024532E">
        <w:rPr>
          <w:i/>
          <w:lang w:val="fr-FR"/>
        </w:rPr>
        <w:t xml:space="preserve"> c. Russie</w:t>
      </w:r>
      <w:r w:rsidRPr="00A2551C" w:rsidR="0024532E">
        <w:rPr>
          <w:lang w:val="fr-FR"/>
        </w:rPr>
        <w:t>, n</w:t>
      </w:r>
      <w:r w:rsidRPr="00A2551C" w:rsidR="0024532E">
        <w:rPr>
          <w:vertAlign w:val="superscript"/>
          <w:lang w:val="fr-FR"/>
        </w:rPr>
        <w:t>o</w:t>
      </w:r>
      <w:r w:rsidRPr="00A2551C" w:rsidR="0024532E">
        <w:rPr>
          <w:lang w:val="fr-FR"/>
        </w:rPr>
        <w:t> 28617/03, § 83</w:t>
      </w:r>
      <w:r w:rsidRPr="00A2551C" w:rsidR="00B13E7B">
        <w:rPr>
          <w:lang w:val="fr-FR"/>
        </w:rPr>
        <w:t>, 4 </w:t>
      </w:r>
      <w:r w:rsidRPr="00A2551C" w:rsidR="0024532E">
        <w:rPr>
          <w:lang w:val="fr-FR"/>
        </w:rPr>
        <w:t xml:space="preserve">décembre 2008, </w:t>
      </w:r>
      <w:r w:rsidRPr="00A2551C" w:rsidR="0024532E">
        <w:rPr>
          <w:i/>
          <w:lang w:val="fr-FR"/>
        </w:rPr>
        <w:t>Romanova c. Russie</w:t>
      </w:r>
      <w:r w:rsidRPr="00A2551C" w:rsidR="0024532E">
        <w:rPr>
          <w:lang w:val="fr-FR"/>
        </w:rPr>
        <w:t xml:space="preserve">, </w:t>
      </w:r>
      <w:r w:rsidRPr="00A2551C" w:rsidR="008140EE">
        <w:rPr>
          <w:lang w:val="fr-FR"/>
        </w:rPr>
        <w:t>précité</w:t>
      </w:r>
      <w:r w:rsidRPr="00A2551C" w:rsidR="0024532E">
        <w:rPr>
          <w:lang w:val="fr-FR"/>
        </w:rPr>
        <w:t>, § 155</w:t>
      </w:r>
      <w:r w:rsidRPr="00A2551C" w:rsidR="00B13E7B">
        <w:rPr>
          <w:lang w:val="fr-FR"/>
        </w:rPr>
        <w:t>, 11 </w:t>
      </w:r>
      <w:r w:rsidRPr="00A2551C" w:rsidR="0024532E">
        <w:rPr>
          <w:lang w:val="fr-FR"/>
        </w:rPr>
        <w:t xml:space="preserve">octobre 2011, </w:t>
      </w:r>
      <w:r w:rsidRPr="00A2551C" w:rsidR="007903AD">
        <w:rPr>
          <w:lang w:val="fr-FR"/>
        </w:rPr>
        <w:t xml:space="preserve">et </w:t>
      </w:r>
      <w:proofErr w:type="spellStart"/>
      <w:r w:rsidRPr="00A2551C" w:rsidR="0024532E">
        <w:rPr>
          <w:i/>
          <w:lang w:val="fr-FR"/>
        </w:rPr>
        <w:t>Pichugin</w:t>
      </w:r>
      <w:proofErr w:type="spellEnd"/>
      <w:r w:rsidRPr="00A2551C" w:rsidR="0024532E">
        <w:rPr>
          <w:i/>
          <w:lang w:val="fr-FR"/>
        </w:rPr>
        <w:t xml:space="preserve"> c. Russie</w:t>
      </w:r>
      <w:r w:rsidRPr="00A2551C" w:rsidR="0024532E">
        <w:rPr>
          <w:lang w:val="fr-FR"/>
        </w:rPr>
        <w:t>, n</w:t>
      </w:r>
      <w:r w:rsidRPr="00A2551C" w:rsidR="0024532E">
        <w:rPr>
          <w:vertAlign w:val="superscript"/>
          <w:lang w:val="fr-FR"/>
        </w:rPr>
        <w:t>o</w:t>
      </w:r>
      <w:r w:rsidRPr="00A2551C" w:rsidR="00B13E7B">
        <w:rPr>
          <w:lang w:val="fr-FR"/>
        </w:rPr>
        <w:t> </w:t>
      </w:r>
      <w:r w:rsidRPr="00A2551C" w:rsidR="0024532E">
        <w:rPr>
          <w:lang w:val="fr-FR"/>
        </w:rPr>
        <w:t>38623/03, § 187</w:t>
      </w:r>
      <w:r w:rsidRPr="00A2551C" w:rsidR="00B13E7B">
        <w:rPr>
          <w:lang w:val="fr-FR"/>
        </w:rPr>
        <w:t>, 23 </w:t>
      </w:r>
      <w:r w:rsidRPr="00A2551C" w:rsidR="0024532E">
        <w:rPr>
          <w:lang w:val="fr-FR"/>
        </w:rPr>
        <w:t>octobre 2012</w:t>
      </w:r>
      <w:r w:rsidRPr="00A2551C" w:rsidR="003F2353">
        <w:rPr>
          <w:lang w:val="fr-FR"/>
        </w:rPr>
        <w:t xml:space="preserve"> et autres</w:t>
      </w:r>
      <w:r w:rsidRPr="00A2551C" w:rsidR="0024532E">
        <w:rPr>
          <w:lang w:val="fr-FR"/>
        </w:rPr>
        <w:t xml:space="preserve">), le requérant soutient que </w:t>
      </w:r>
      <w:r w:rsidRPr="00A2551C" w:rsidR="00620FDB">
        <w:rPr>
          <w:lang w:val="fr-FR"/>
        </w:rPr>
        <w:t>les décisions du trib</w:t>
      </w:r>
      <w:r w:rsidRPr="00A2551C" w:rsidR="00E125A8">
        <w:rPr>
          <w:lang w:val="fr-FR"/>
        </w:rPr>
        <w:t>unal de première instance du 24 juin 2009 et du 19 </w:t>
      </w:r>
      <w:r w:rsidRPr="00A2551C" w:rsidR="00620FDB">
        <w:rPr>
          <w:lang w:val="fr-FR"/>
        </w:rPr>
        <w:t xml:space="preserve">mai 2010 portant sur </w:t>
      </w:r>
      <w:r w:rsidRPr="00A2551C" w:rsidR="00B13E7B">
        <w:rPr>
          <w:lang w:val="fr-FR"/>
        </w:rPr>
        <w:t>l</w:t>
      </w:r>
      <w:r w:rsidRPr="00A2551C" w:rsidR="00A2551C">
        <w:rPr>
          <w:lang w:val="fr-FR"/>
        </w:rPr>
        <w:t>’</w:t>
      </w:r>
      <w:r w:rsidRPr="00A2551C" w:rsidR="003F2353">
        <w:rPr>
          <w:lang w:val="fr-FR"/>
        </w:rPr>
        <w:t xml:space="preserve">exclusion du public des débats </w:t>
      </w:r>
      <w:r w:rsidRPr="00A2551C" w:rsidR="00620FDB">
        <w:rPr>
          <w:lang w:val="fr-FR"/>
        </w:rPr>
        <w:t xml:space="preserve">ne font apparaître aucune </w:t>
      </w:r>
      <w:r w:rsidRPr="00A2551C" w:rsidR="003F2353">
        <w:rPr>
          <w:lang w:val="fr-FR"/>
        </w:rPr>
        <w:t>mise en balance du principe de publicité des débats et des impératifs de protection de l</w:t>
      </w:r>
      <w:r w:rsidRPr="00A2551C" w:rsidR="00A2551C">
        <w:rPr>
          <w:lang w:val="fr-FR"/>
        </w:rPr>
        <w:t>’</w:t>
      </w:r>
      <w:r w:rsidRPr="00A2551C" w:rsidR="003F2353">
        <w:rPr>
          <w:lang w:val="fr-FR"/>
        </w:rPr>
        <w:t xml:space="preserve">ordre public et de la sécurité nationale. </w:t>
      </w:r>
      <w:r w:rsidRPr="00A2551C" w:rsidR="007903AD">
        <w:rPr>
          <w:lang w:val="fr-FR"/>
        </w:rPr>
        <w:t>Il</w:t>
      </w:r>
      <w:r w:rsidRPr="00A2551C" w:rsidR="003F2353">
        <w:rPr>
          <w:lang w:val="fr-FR"/>
        </w:rPr>
        <w:t xml:space="preserve"> argue </w:t>
      </w:r>
      <w:r w:rsidRPr="00A2551C" w:rsidR="007903AD">
        <w:rPr>
          <w:lang w:val="fr-FR"/>
        </w:rPr>
        <w:t xml:space="preserve">notamment </w:t>
      </w:r>
      <w:r w:rsidRPr="00A2551C" w:rsidR="003F2353">
        <w:rPr>
          <w:lang w:val="fr-FR"/>
        </w:rPr>
        <w:t>que les</w:t>
      </w:r>
      <w:r w:rsidRPr="00A2551C" w:rsidR="00620FDB">
        <w:rPr>
          <w:lang w:val="fr-FR"/>
        </w:rPr>
        <w:t xml:space="preserve"> quatre </w:t>
      </w:r>
      <w:r w:rsidRPr="00A2551C" w:rsidR="005E0D7F">
        <w:rPr>
          <w:lang w:val="fr-FR"/>
        </w:rPr>
        <w:t xml:space="preserve">documents portant </w:t>
      </w:r>
      <w:r w:rsidRPr="00A2551C" w:rsidR="005B2773">
        <w:rPr>
          <w:lang w:val="fr-FR"/>
        </w:rPr>
        <w:t xml:space="preserve">la </w:t>
      </w:r>
      <w:r w:rsidRPr="00A2551C" w:rsidR="005E0D7F">
        <w:rPr>
          <w:lang w:val="fr-FR"/>
        </w:rPr>
        <w:t>mention</w:t>
      </w:r>
      <w:r w:rsidRPr="00A2551C" w:rsidR="003F2353">
        <w:rPr>
          <w:lang w:val="fr-FR"/>
        </w:rPr>
        <w:t xml:space="preserve"> « très secret » </w:t>
      </w:r>
      <w:r w:rsidRPr="00A2551C" w:rsidR="00620FDB">
        <w:rPr>
          <w:lang w:val="fr-FR"/>
        </w:rPr>
        <w:t>auxquels le tribunal a</w:t>
      </w:r>
      <w:r w:rsidRPr="00A2551C" w:rsidR="005B2773">
        <w:rPr>
          <w:lang w:val="fr-FR"/>
        </w:rPr>
        <w:t>urait</w:t>
      </w:r>
      <w:r w:rsidRPr="00A2551C" w:rsidR="00620FDB">
        <w:rPr>
          <w:lang w:val="fr-FR"/>
        </w:rPr>
        <w:t xml:space="preserve"> fait référence </w:t>
      </w:r>
      <w:r w:rsidRPr="00A2551C" w:rsidR="00852E58">
        <w:rPr>
          <w:lang w:val="fr-FR"/>
        </w:rPr>
        <w:t>concernaient uniquement</w:t>
      </w:r>
      <w:r w:rsidRPr="00A2551C" w:rsidR="003F2353">
        <w:rPr>
          <w:lang w:val="fr-FR"/>
        </w:rPr>
        <w:t xml:space="preserve"> le chef d</w:t>
      </w:r>
      <w:r w:rsidRPr="00A2551C" w:rsidR="00A2551C">
        <w:rPr>
          <w:lang w:val="fr-FR"/>
        </w:rPr>
        <w:t>’</w:t>
      </w:r>
      <w:r w:rsidRPr="00A2551C" w:rsidR="003F2353">
        <w:rPr>
          <w:lang w:val="fr-FR"/>
        </w:rPr>
        <w:t>accusation lié à la tentative de transmission d</w:t>
      </w:r>
      <w:r w:rsidRPr="00A2551C" w:rsidR="00A2551C">
        <w:rPr>
          <w:lang w:val="fr-FR"/>
        </w:rPr>
        <w:t>’</w:t>
      </w:r>
      <w:r w:rsidRPr="00A2551C" w:rsidR="00536B89">
        <w:rPr>
          <w:lang w:val="fr-FR"/>
        </w:rPr>
        <w:t>un pot</w:t>
      </w:r>
      <w:r w:rsidRPr="00A2551C" w:rsidR="00536B89">
        <w:rPr>
          <w:lang w:val="fr-FR"/>
        </w:rPr>
        <w:noBreakHyphen/>
      </w:r>
      <w:r w:rsidRPr="00A2551C" w:rsidR="003F2353">
        <w:rPr>
          <w:lang w:val="fr-FR"/>
        </w:rPr>
        <w:t>de-vin</w:t>
      </w:r>
      <w:r w:rsidRPr="00A2551C" w:rsidR="00852E58">
        <w:rPr>
          <w:lang w:val="fr-FR"/>
        </w:rPr>
        <w:t xml:space="preserve">, </w:t>
      </w:r>
      <w:r w:rsidRPr="00A2551C" w:rsidR="005B2773">
        <w:rPr>
          <w:lang w:val="fr-FR"/>
        </w:rPr>
        <w:t>et en particulier</w:t>
      </w:r>
      <w:r w:rsidRPr="00A2551C" w:rsidR="00852E58">
        <w:rPr>
          <w:lang w:val="fr-FR"/>
        </w:rPr>
        <w:t xml:space="preserve"> </w:t>
      </w:r>
      <w:r w:rsidRPr="00A2551C" w:rsidR="00620FDB">
        <w:rPr>
          <w:lang w:val="fr-FR"/>
        </w:rPr>
        <w:t>d</w:t>
      </w:r>
      <w:r w:rsidRPr="00A2551C" w:rsidR="003F2353">
        <w:rPr>
          <w:lang w:val="fr-FR"/>
        </w:rPr>
        <w:t>es mesures opérationnelles d</w:t>
      </w:r>
      <w:r w:rsidRPr="00A2551C" w:rsidR="00A2551C">
        <w:rPr>
          <w:lang w:val="fr-FR"/>
        </w:rPr>
        <w:t>’</w:t>
      </w:r>
      <w:r w:rsidRPr="00A2551C" w:rsidR="003F2353">
        <w:rPr>
          <w:lang w:val="fr-FR"/>
        </w:rPr>
        <w:t xml:space="preserve">investigation menées </w:t>
      </w:r>
      <w:r w:rsidRPr="00A2551C" w:rsidR="00B13E7B">
        <w:rPr>
          <w:lang w:val="fr-FR"/>
        </w:rPr>
        <w:t>par les autorités d</w:t>
      </w:r>
      <w:r w:rsidRPr="00A2551C" w:rsidR="00A2551C">
        <w:rPr>
          <w:lang w:val="fr-FR"/>
        </w:rPr>
        <w:t>’</w:t>
      </w:r>
      <w:r w:rsidRPr="00A2551C" w:rsidR="00620FDB">
        <w:rPr>
          <w:lang w:val="fr-FR"/>
        </w:rPr>
        <w:t xml:space="preserve">enquête à cet égard, alors que le reste du dossier </w:t>
      </w:r>
      <w:r w:rsidRPr="00A2551C" w:rsidR="005B2773">
        <w:rPr>
          <w:lang w:val="fr-FR"/>
        </w:rPr>
        <w:t xml:space="preserve">aurait comporté </w:t>
      </w:r>
      <w:r w:rsidRPr="00A2551C" w:rsidR="00620FDB">
        <w:rPr>
          <w:lang w:val="fr-FR"/>
        </w:rPr>
        <w:t xml:space="preserve">plus de cent volumes de deux cents pages </w:t>
      </w:r>
      <w:r w:rsidRPr="00A2551C" w:rsidR="005B2773">
        <w:rPr>
          <w:lang w:val="fr-FR"/>
        </w:rPr>
        <w:t xml:space="preserve">non classifiées </w:t>
      </w:r>
      <w:r w:rsidRPr="00A2551C" w:rsidR="00620FDB">
        <w:rPr>
          <w:lang w:val="fr-FR"/>
        </w:rPr>
        <w:t xml:space="preserve">chacun. </w:t>
      </w:r>
      <w:r w:rsidRPr="00A2551C" w:rsidR="00B13E7B">
        <w:rPr>
          <w:lang w:val="fr-FR"/>
        </w:rPr>
        <w:t xml:space="preserve">Il </w:t>
      </w:r>
      <w:r w:rsidRPr="00A2551C" w:rsidR="00620FDB">
        <w:rPr>
          <w:lang w:val="fr-FR"/>
        </w:rPr>
        <w:t>allègue</w:t>
      </w:r>
      <w:r w:rsidRPr="00A2551C" w:rsidR="00B13E7B">
        <w:rPr>
          <w:lang w:val="fr-FR"/>
        </w:rPr>
        <w:t xml:space="preserve"> que le tribunal </w:t>
      </w:r>
      <w:r w:rsidRPr="00A2551C" w:rsidR="00735FA5">
        <w:rPr>
          <w:lang w:val="fr-FR"/>
        </w:rPr>
        <w:t>n</w:t>
      </w:r>
      <w:r w:rsidRPr="00A2551C" w:rsidR="00A2551C">
        <w:rPr>
          <w:lang w:val="fr-FR"/>
        </w:rPr>
        <w:t>’</w:t>
      </w:r>
      <w:r w:rsidRPr="00A2551C" w:rsidR="00735FA5">
        <w:rPr>
          <w:lang w:val="fr-FR"/>
        </w:rPr>
        <w:t>a</w:t>
      </w:r>
      <w:r w:rsidRPr="00A2551C" w:rsidR="00B13E7B">
        <w:rPr>
          <w:lang w:val="fr-FR"/>
        </w:rPr>
        <w:t xml:space="preserve"> </w:t>
      </w:r>
      <w:r w:rsidRPr="00A2551C" w:rsidR="005B2773">
        <w:rPr>
          <w:lang w:val="fr-FR"/>
        </w:rPr>
        <w:t>finalement pas</w:t>
      </w:r>
      <w:r w:rsidRPr="00A2551C" w:rsidR="00735FA5">
        <w:rPr>
          <w:lang w:val="fr-FR"/>
        </w:rPr>
        <w:t xml:space="preserve"> examiné </w:t>
      </w:r>
      <w:r w:rsidRPr="00A2551C" w:rsidR="00620FDB">
        <w:rPr>
          <w:lang w:val="fr-FR"/>
        </w:rPr>
        <w:t>l</w:t>
      </w:r>
      <w:r w:rsidRPr="00A2551C" w:rsidR="00B13E7B">
        <w:rPr>
          <w:lang w:val="fr-FR"/>
        </w:rPr>
        <w:t xml:space="preserve">es documents </w:t>
      </w:r>
      <w:r w:rsidRPr="00A2551C" w:rsidR="00620FDB">
        <w:rPr>
          <w:lang w:val="fr-FR"/>
        </w:rPr>
        <w:t xml:space="preserve">litigieux </w:t>
      </w:r>
      <w:r w:rsidRPr="00A2551C" w:rsidR="00735FA5">
        <w:rPr>
          <w:lang w:val="fr-FR"/>
        </w:rPr>
        <w:t xml:space="preserve">en audience judiciaire et </w:t>
      </w:r>
      <w:r w:rsidRPr="00A2551C" w:rsidR="00AE172C">
        <w:rPr>
          <w:lang w:val="fr-FR"/>
        </w:rPr>
        <w:t>qu</w:t>
      </w:r>
      <w:r w:rsidRPr="00A2551C" w:rsidR="00A2551C">
        <w:rPr>
          <w:lang w:val="fr-FR"/>
        </w:rPr>
        <w:t>’</w:t>
      </w:r>
      <w:r w:rsidRPr="00A2551C" w:rsidR="00AE172C">
        <w:rPr>
          <w:lang w:val="fr-FR"/>
        </w:rPr>
        <w:t xml:space="preserve">il </w:t>
      </w:r>
      <w:r w:rsidRPr="00A2551C" w:rsidR="00735FA5">
        <w:rPr>
          <w:lang w:val="fr-FR"/>
        </w:rPr>
        <w:t>ne s</w:t>
      </w:r>
      <w:r w:rsidRPr="00A2551C" w:rsidR="00A2551C">
        <w:rPr>
          <w:lang w:val="fr-FR"/>
        </w:rPr>
        <w:t>’</w:t>
      </w:r>
      <w:r w:rsidRPr="00A2551C" w:rsidR="00735FA5">
        <w:rPr>
          <w:lang w:val="fr-FR"/>
        </w:rPr>
        <w:t xml:space="preserve">y est pas référé dans le jugement </w:t>
      </w:r>
      <w:r w:rsidRPr="00A2551C" w:rsidR="00620FDB">
        <w:rPr>
          <w:lang w:val="fr-FR"/>
        </w:rPr>
        <w:t>du 28</w:t>
      </w:r>
      <w:r w:rsidRPr="00A2551C" w:rsidR="00AE172C">
        <w:rPr>
          <w:lang w:val="fr-FR"/>
        </w:rPr>
        <w:t> </w:t>
      </w:r>
      <w:r w:rsidRPr="00A2551C" w:rsidR="00620FDB">
        <w:rPr>
          <w:lang w:val="fr-FR"/>
        </w:rPr>
        <w:t xml:space="preserve">décembre 2010. </w:t>
      </w:r>
      <w:r w:rsidRPr="00A2551C" w:rsidR="00852E58">
        <w:rPr>
          <w:lang w:val="fr-FR"/>
        </w:rPr>
        <w:t>Il soutient par conséquent que l</w:t>
      </w:r>
      <w:r w:rsidRPr="00A2551C" w:rsidR="00A2551C">
        <w:rPr>
          <w:lang w:val="fr-FR"/>
        </w:rPr>
        <w:t>’</w:t>
      </w:r>
      <w:r w:rsidRPr="00A2551C" w:rsidR="00852E58">
        <w:rPr>
          <w:lang w:val="fr-FR"/>
        </w:rPr>
        <w:t>exclusion du public des débats n</w:t>
      </w:r>
      <w:r w:rsidRPr="00A2551C" w:rsidR="00A2551C">
        <w:rPr>
          <w:lang w:val="fr-FR"/>
        </w:rPr>
        <w:t>’</w:t>
      </w:r>
      <w:r w:rsidRPr="00A2551C" w:rsidR="00852E58">
        <w:rPr>
          <w:lang w:val="fr-FR"/>
        </w:rPr>
        <w:t>a pas été « strictement nécessaire » au sens de l</w:t>
      </w:r>
      <w:r w:rsidRPr="00A2551C" w:rsidR="00A2551C">
        <w:rPr>
          <w:lang w:val="fr-FR"/>
        </w:rPr>
        <w:t>’</w:t>
      </w:r>
      <w:r w:rsidRPr="00A2551C" w:rsidR="00852E58">
        <w:rPr>
          <w:lang w:val="fr-FR"/>
        </w:rPr>
        <w:t>article 6 § 1 de la Convention.</w:t>
      </w:r>
    </w:p>
    <w:p w:rsidRPr="00A2551C" w:rsidR="00657348" w:rsidP="00A2551C" w:rsidRDefault="00657348">
      <w:pPr>
        <w:pStyle w:val="ECHRHeading2"/>
        <w:rPr>
          <w:lang w:val="fr-FR"/>
        </w:rPr>
      </w:pPr>
      <w:r w:rsidRPr="00A2551C">
        <w:rPr>
          <w:lang w:val="fr-FR"/>
        </w:rPr>
        <w:t>B.  Appréciation de la Cour</w:t>
      </w:r>
    </w:p>
    <w:p w:rsidRPr="00A2551C" w:rsidR="0014248D" w:rsidP="00A2551C" w:rsidRDefault="00657348">
      <w:pPr>
        <w:pStyle w:val="ECHRHeading3"/>
        <w:rPr>
          <w:lang w:val="fr-FR"/>
        </w:rPr>
      </w:pPr>
      <w:r w:rsidRPr="00A2551C">
        <w:rPr>
          <w:lang w:val="fr-FR"/>
        </w:rPr>
        <w:t>1.  Sur la recevabilité</w:t>
      </w:r>
    </w:p>
    <w:p w:rsidRPr="00A2551C" w:rsidR="00C42671"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86</w:t>
      </w:r>
      <w:r w:rsidRPr="00A2551C">
        <w:rPr>
          <w:lang w:val="fr-FR"/>
        </w:rPr>
        <w:fldChar w:fldCharType="end"/>
      </w:r>
      <w:r w:rsidRPr="00A2551C">
        <w:rPr>
          <w:lang w:val="fr-FR"/>
        </w:rPr>
        <w:t>.  </w:t>
      </w:r>
      <w:r w:rsidRPr="00A2551C" w:rsidR="00C42671">
        <w:rPr>
          <w:lang w:val="fr-FR"/>
        </w:rPr>
        <w:t>La Cour rappelle que la règle relative à l</w:t>
      </w:r>
      <w:r w:rsidRPr="00A2551C" w:rsidR="00A2551C">
        <w:rPr>
          <w:lang w:val="fr-FR"/>
        </w:rPr>
        <w:t>’</w:t>
      </w:r>
      <w:r w:rsidRPr="00A2551C" w:rsidR="00C42671">
        <w:rPr>
          <w:lang w:val="fr-FR"/>
        </w:rPr>
        <w:t>épuisement des voies de recours internes vise à ménager aux États contractants l</w:t>
      </w:r>
      <w:r w:rsidRPr="00A2551C" w:rsidR="00A2551C">
        <w:rPr>
          <w:lang w:val="fr-FR"/>
        </w:rPr>
        <w:t>’</w:t>
      </w:r>
      <w:r w:rsidRPr="00A2551C" w:rsidR="00C42671">
        <w:rPr>
          <w:lang w:val="fr-FR"/>
        </w:rPr>
        <w:t>occasion de prévenir ou de redresser les violations alléguées contre eux avant que ces allégations ne lui soient soumises (voir, parmi beaucoup d</w:t>
      </w:r>
      <w:r w:rsidRPr="00A2551C" w:rsidR="00A2551C">
        <w:rPr>
          <w:lang w:val="fr-FR"/>
        </w:rPr>
        <w:t>’</w:t>
      </w:r>
      <w:r w:rsidRPr="00A2551C" w:rsidR="00C42671">
        <w:rPr>
          <w:lang w:val="fr-FR"/>
        </w:rPr>
        <w:t xml:space="preserve">autres, </w:t>
      </w:r>
      <w:proofErr w:type="spellStart"/>
      <w:r w:rsidRPr="00A2551C" w:rsidR="00C42671">
        <w:rPr>
          <w:i/>
          <w:iCs/>
          <w:lang w:val="fr-FR"/>
        </w:rPr>
        <w:t>Paksas</w:t>
      </w:r>
      <w:proofErr w:type="spellEnd"/>
      <w:r w:rsidRPr="00A2551C" w:rsidR="00C42671">
        <w:rPr>
          <w:i/>
          <w:iCs/>
          <w:lang w:val="fr-FR"/>
        </w:rPr>
        <w:t xml:space="preserve"> c. Lituanie </w:t>
      </w:r>
      <w:r w:rsidRPr="00A2551C" w:rsidR="00C42671">
        <w:rPr>
          <w:lang w:val="fr-FR"/>
        </w:rPr>
        <w:t>[GC], n</w:t>
      </w:r>
      <w:r w:rsidRPr="00A2551C" w:rsidR="00C42671">
        <w:rPr>
          <w:vertAlign w:val="superscript"/>
          <w:lang w:val="fr-FR"/>
        </w:rPr>
        <w:t>o</w:t>
      </w:r>
      <w:r w:rsidRPr="00A2551C" w:rsidR="00C42671">
        <w:rPr>
          <w:lang w:val="fr-FR"/>
        </w:rPr>
        <w:t> 34932/04, § 75, CEDH 2011 (extraits)).</w:t>
      </w:r>
    </w:p>
    <w:p w:rsidRPr="00A2551C" w:rsidR="0076324D" w:rsidP="00A2551C" w:rsidRDefault="00C4267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87</w:t>
      </w:r>
      <w:r w:rsidRPr="00A2551C">
        <w:rPr>
          <w:lang w:val="fr-FR"/>
        </w:rPr>
        <w:fldChar w:fldCharType="end"/>
      </w:r>
      <w:r w:rsidRPr="00A2551C">
        <w:rPr>
          <w:lang w:val="fr-FR"/>
        </w:rPr>
        <w:t>.  En l</w:t>
      </w:r>
      <w:r w:rsidRPr="00A2551C" w:rsidR="00A2551C">
        <w:rPr>
          <w:lang w:val="fr-FR"/>
        </w:rPr>
        <w:t>’</w:t>
      </w:r>
      <w:r w:rsidRPr="00A2551C">
        <w:rPr>
          <w:lang w:val="fr-FR"/>
        </w:rPr>
        <w:t xml:space="preserve">espèce, elle </w:t>
      </w:r>
      <w:r w:rsidRPr="00A2551C" w:rsidR="000C1951">
        <w:rPr>
          <w:lang w:val="fr-FR"/>
        </w:rPr>
        <w:t xml:space="preserve">note </w:t>
      </w:r>
      <w:r w:rsidRPr="00A2551C" w:rsidR="00C8562F">
        <w:rPr>
          <w:lang w:val="fr-FR"/>
        </w:rPr>
        <w:t>d</w:t>
      </w:r>
      <w:r w:rsidRPr="00A2551C" w:rsidR="00A2551C">
        <w:rPr>
          <w:lang w:val="fr-FR"/>
        </w:rPr>
        <w:t>’</w:t>
      </w:r>
      <w:r w:rsidRPr="00A2551C" w:rsidR="00C8562F">
        <w:rPr>
          <w:lang w:val="fr-FR"/>
        </w:rPr>
        <w:t>emblée que le procès pénal dirigé à l</w:t>
      </w:r>
      <w:r w:rsidRPr="00A2551C" w:rsidR="00A2551C">
        <w:rPr>
          <w:lang w:val="fr-FR"/>
        </w:rPr>
        <w:t>’</w:t>
      </w:r>
      <w:r w:rsidRPr="00A2551C" w:rsidR="00C8562F">
        <w:rPr>
          <w:lang w:val="fr-FR"/>
        </w:rPr>
        <w:t xml:space="preserve">encontre du requérant a repris dès le début à partir du 19 mai 2010, date à laquelle le tribunal </w:t>
      </w:r>
      <w:r w:rsidRPr="00A2551C" w:rsidR="00CA6D7A">
        <w:rPr>
          <w:lang w:val="fr-FR"/>
        </w:rPr>
        <w:t xml:space="preserve">de première instance </w:t>
      </w:r>
      <w:r w:rsidRPr="00A2551C" w:rsidR="00C8562F">
        <w:rPr>
          <w:lang w:val="fr-FR"/>
        </w:rPr>
        <w:t>a tenu une nouvelle audience préliminaire</w:t>
      </w:r>
      <w:r w:rsidRPr="00A2551C">
        <w:rPr>
          <w:lang w:val="fr-FR"/>
        </w:rPr>
        <w:t xml:space="preserve"> (paragraphe</w:t>
      </w:r>
      <w:r w:rsidRPr="00A2551C" w:rsidR="00B725FF">
        <w:rPr>
          <w:lang w:val="fr-FR"/>
        </w:rPr>
        <w:t xml:space="preserve"> </w:t>
      </w:r>
      <w:r w:rsidRPr="00A2551C" w:rsidR="00B725FF">
        <w:rPr>
          <w:lang w:val="fr-FR"/>
        </w:rPr>
        <w:fldChar w:fldCharType="begin"/>
      </w:r>
      <w:r w:rsidRPr="00A2551C" w:rsidR="00B725FF">
        <w:rPr>
          <w:lang w:val="fr-FR"/>
        </w:rPr>
        <w:instrText xml:space="preserve"> REF dechclos19mai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22</w:t>
      </w:r>
      <w:r w:rsidRPr="00A2551C" w:rsidR="00B725FF">
        <w:rPr>
          <w:lang w:val="fr-FR"/>
        </w:rPr>
        <w:fldChar w:fldCharType="end"/>
      </w:r>
      <w:r w:rsidRPr="00A2551C">
        <w:rPr>
          <w:lang w:val="fr-FR"/>
        </w:rPr>
        <w:t xml:space="preserve"> ci</w:t>
      </w:r>
      <w:r w:rsidRPr="00A2551C">
        <w:rPr>
          <w:lang w:val="fr-FR"/>
        </w:rPr>
        <w:noBreakHyphen/>
        <w:t>dessus)</w:t>
      </w:r>
      <w:r w:rsidRPr="00A2551C" w:rsidR="00C8562F">
        <w:rPr>
          <w:lang w:val="fr-FR"/>
        </w:rPr>
        <w:t>. La référence du Gouvernement à la décision du tribunal du 24 juin 2009 n</w:t>
      </w:r>
      <w:r w:rsidRPr="00A2551C" w:rsidR="00A2551C">
        <w:rPr>
          <w:lang w:val="fr-FR"/>
        </w:rPr>
        <w:t>’</w:t>
      </w:r>
      <w:r w:rsidRPr="00A2551C" w:rsidR="00C8562F">
        <w:rPr>
          <w:lang w:val="fr-FR"/>
        </w:rPr>
        <w:t>est donc pas pertinente puisque celle</w:t>
      </w:r>
      <w:r w:rsidRPr="00A2551C" w:rsidR="00C8562F">
        <w:rPr>
          <w:lang w:val="fr-FR"/>
        </w:rPr>
        <w:noBreakHyphen/>
        <w:t>ci concernait la première partie du procès dont les effets juridiques avaient cessé</w:t>
      </w:r>
      <w:r w:rsidRPr="00A2551C" w:rsidR="00CA6D7A">
        <w:rPr>
          <w:lang w:val="fr-FR"/>
        </w:rPr>
        <w:t xml:space="preserve"> d</w:t>
      </w:r>
      <w:r w:rsidRPr="00A2551C" w:rsidR="00A2551C">
        <w:rPr>
          <w:lang w:val="fr-FR"/>
        </w:rPr>
        <w:t>’</w:t>
      </w:r>
      <w:r w:rsidRPr="00A2551C" w:rsidR="00CA6D7A">
        <w:rPr>
          <w:lang w:val="fr-FR"/>
        </w:rPr>
        <w:t>exister à partir du 19 mai 2010</w:t>
      </w:r>
      <w:r w:rsidRPr="00A2551C" w:rsidR="00C8562F">
        <w:rPr>
          <w:lang w:val="fr-FR"/>
        </w:rPr>
        <w:t>.</w:t>
      </w:r>
    </w:p>
    <w:p w:rsidRPr="00A2551C" w:rsidR="0076324D" w:rsidP="00A2551C" w:rsidRDefault="00C4267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88</w:t>
      </w:r>
      <w:r w:rsidRPr="00A2551C">
        <w:rPr>
          <w:lang w:val="fr-FR"/>
        </w:rPr>
        <w:fldChar w:fldCharType="end"/>
      </w:r>
      <w:r w:rsidRPr="00A2551C">
        <w:rPr>
          <w:lang w:val="fr-FR"/>
        </w:rPr>
        <w:t>.  </w:t>
      </w:r>
      <w:r w:rsidRPr="00A2551C" w:rsidR="00C8562F">
        <w:rPr>
          <w:lang w:val="fr-FR"/>
        </w:rPr>
        <w:t xml:space="preserve">En tout état de cause, </w:t>
      </w:r>
      <w:r w:rsidRPr="00A2551C" w:rsidR="000C1951">
        <w:rPr>
          <w:lang w:val="fr-FR"/>
        </w:rPr>
        <w:t>le Gouvernement n</w:t>
      </w:r>
      <w:r w:rsidRPr="00A2551C" w:rsidR="00A2551C">
        <w:rPr>
          <w:lang w:val="fr-FR"/>
        </w:rPr>
        <w:t>’</w:t>
      </w:r>
      <w:r w:rsidRPr="00A2551C" w:rsidR="000C1951">
        <w:rPr>
          <w:lang w:val="fr-FR"/>
        </w:rPr>
        <w:t>a cité aucune disposition du droit interne qui aurait permis à l</w:t>
      </w:r>
      <w:r w:rsidRPr="00A2551C" w:rsidR="00A2551C">
        <w:rPr>
          <w:lang w:val="fr-FR"/>
        </w:rPr>
        <w:t>’</w:t>
      </w:r>
      <w:r w:rsidRPr="00A2551C" w:rsidR="000C1951">
        <w:rPr>
          <w:lang w:val="fr-FR"/>
        </w:rPr>
        <w:t xml:space="preserve">intéressé de contester </w:t>
      </w:r>
      <w:r w:rsidRPr="00A2551C" w:rsidR="00C8562F">
        <w:rPr>
          <w:lang w:val="fr-FR"/>
        </w:rPr>
        <w:t xml:space="preserve">tant </w:t>
      </w:r>
      <w:r w:rsidRPr="00A2551C" w:rsidR="000C1951">
        <w:rPr>
          <w:lang w:val="fr-FR"/>
        </w:rPr>
        <w:t>la décision du tribunal de première instance du 24 juin 2009</w:t>
      </w:r>
      <w:r w:rsidRPr="00A2551C" w:rsidR="00C8562F">
        <w:rPr>
          <w:lang w:val="fr-FR"/>
        </w:rPr>
        <w:t xml:space="preserve"> que celle du 19 mai 2010 dans leurs parties portant sur la tenue du procès à huis clos. </w:t>
      </w:r>
      <w:r w:rsidRPr="00A2551C" w:rsidR="00AE172C">
        <w:rPr>
          <w:lang w:val="fr-FR"/>
        </w:rPr>
        <w:t>À</w:t>
      </w:r>
      <w:r w:rsidRPr="00A2551C" w:rsidR="000C1951">
        <w:rPr>
          <w:lang w:val="fr-FR"/>
        </w:rPr>
        <w:t xml:space="preserve"> l</w:t>
      </w:r>
      <w:r w:rsidRPr="00A2551C" w:rsidR="00A2551C">
        <w:rPr>
          <w:lang w:val="fr-FR"/>
        </w:rPr>
        <w:t>’</w:t>
      </w:r>
      <w:r w:rsidRPr="00A2551C" w:rsidR="000C1951">
        <w:rPr>
          <w:lang w:val="fr-FR"/>
        </w:rPr>
        <w:t xml:space="preserve">instar du requérant, </w:t>
      </w:r>
      <w:r w:rsidRPr="00A2551C" w:rsidR="00C8562F">
        <w:rPr>
          <w:lang w:val="fr-FR"/>
        </w:rPr>
        <w:t>la Cour</w:t>
      </w:r>
      <w:r w:rsidRPr="00A2551C" w:rsidR="000C1951">
        <w:rPr>
          <w:lang w:val="fr-FR"/>
        </w:rPr>
        <w:t xml:space="preserve"> estime </w:t>
      </w:r>
      <w:r w:rsidRPr="00A2551C" w:rsidR="00C8562F">
        <w:rPr>
          <w:lang w:val="fr-FR"/>
        </w:rPr>
        <w:t>que</w:t>
      </w:r>
      <w:r w:rsidRPr="00A2551C" w:rsidR="00AE172C">
        <w:rPr>
          <w:lang w:val="fr-FR"/>
        </w:rPr>
        <w:t>,</w:t>
      </w:r>
      <w:r w:rsidRPr="00A2551C" w:rsidR="00C8562F">
        <w:rPr>
          <w:lang w:val="fr-FR"/>
        </w:rPr>
        <w:t xml:space="preserve"> </w:t>
      </w:r>
      <w:r w:rsidRPr="00A2551C" w:rsidR="000C1951">
        <w:rPr>
          <w:lang w:val="fr-FR"/>
        </w:rPr>
        <w:t>par le jeu combiné des articles 227, 231 et 236 § 7 du CPP en vigueur au moment des faits (paragraphes</w:t>
      </w:r>
      <w:r w:rsidRPr="00A2551C" w:rsidR="00B725FF">
        <w:rPr>
          <w:lang w:val="fr-FR"/>
        </w:rPr>
        <w:t xml:space="preserve"> </w:t>
      </w:r>
      <w:r w:rsidRPr="00A2551C" w:rsidR="00B725FF">
        <w:rPr>
          <w:lang w:val="fr-FR"/>
        </w:rPr>
        <w:fldChar w:fldCharType="begin"/>
      </w:r>
      <w:r w:rsidRPr="00A2551C" w:rsidR="00B725FF">
        <w:rPr>
          <w:lang w:val="fr-FR"/>
        </w:rPr>
        <w:instrText xml:space="preserve"> REF cpp241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35</w:t>
      </w:r>
      <w:r w:rsidRPr="00A2551C" w:rsidR="00B725FF">
        <w:rPr>
          <w:lang w:val="fr-FR"/>
        </w:rPr>
        <w:fldChar w:fldCharType="end"/>
      </w:r>
      <w:r w:rsidRPr="00A2551C" w:rsidR="00B725FF">
        <w:rPr>
          <w:lang w:val="fr-FR"/>
        </w:rPr>
        <w:noBreakHyphen/>
      </w:r>
      <w:r w:rsidRPr="00A2551C" w:rsidR="00B725FF">
        <w:rPr>
          <w:lang w:val="fr-FR"/>
        </w:rPr>
        <w:fldChar w:fldCharType="begin"/>
      </w:r>
      <w:r w:rsidRPr="00A2551C" w:rsidR="00B725FF">
        <w:rPr>
          <w:lang w:val="fr-FR"/>
        </w:rPr>
        <w:instrText xml:space="preserve"> REF cpp236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37</w:t>
      </w:r>
      <w:r w:rsidRPr="00A2551C" w:rsidR="00B725FF">
        <w:rPr>
          <w:lang w:val="fr-FR"/>
        </w:rPr>
        <w:fldChar w:fldCharType="end"/>
      </w:r>
      <w:r w:rsidRPr="00A2551C" w:rsidR="00B725FF">
        <w:rPr>
          <w:lang w:val="fr-FR"/>
        </w:rPr>
        <w:t xml:space="preserve"> </w:t>
      </w:r>
      <w:r w:rsidRPr="00A2551C" w:rsidR="000C1951">
        <w:rPr>
          <w:lang w:val="fr-FR"/>
        </w:rPr>
        <w:t>ci</w:t>
      </w:r>
      <w:r w:rsidRPr="00A2551C" w:rsidR="000C1951">
        <w:rPr>
          <w:lang w:val="fr-FR"/>
        </w:rPr>
        <w:noBreakHyphen/>
        <w:t xml:space="preserve">dessus), </w:t>
      </w:r>
      <w:r w:rsidRPr="00A2551C" w:rsidR="00C8562F">
        <w:rPr>
          <w:lang w:val="fr-FR"/>
        </w:rPr>
        <w:t>les</w:t>
      </w:r>
      <w:r w:rsidRPr="00A2551C" w:rsidR="000C1951">
        <w:rPr>
          <w:lang w:val="fr-FR"/>
        </w:rPr>
        <w:t xml:space="preserve"> décision</w:t>
      </w:r>
      <w:r w:rsidRPr="00A2551C" w:rsidR="00C8562F">
        <w:rPr>
          <w:lang w:val="fr-FR"/>
        </w:rPr>
        <w:t>s susmentionnées</w:t>
      </w:r>
      <w:r w:rsidRPr="00A2551C" w:rsidR="000C1951">
        <w:rPr>
          <w:lang w:val="fr-FR"/>
        </w:rPr>
        <w:t xml:space="preserve"> n</w:t>
      </w:r>
      <w:r w:rsidRPr="00A2551C" w:rsidR="00A2551C">
        <w:rPr>
          <w:lang w:val="fr-FR"/>
        </w:rPr>
        <w:t>’</w:t>
      </w:r>
      <w:r w:rsidRPr="00A2551C" w:rsidR="000C1951">
        <w:rPr>
          <w:lang w:val="fr-FR"/>
        </w:rPr>
        <w:t>étai</w:t>
      </w:r>
      <w:r w:rsidRPr="00A2551C" w:rsidR="00C8562F">
        <w:rPr>
          <w:lang w:val="fr-FR"/>
        </w:rPr>
        <w:t>en</w:t>
      </w:r>
      <w:r w:rsidRPr="00A2551C" w:rsidR="000C1951">
        <w:rPr>
          <w:lang w:val="fr-FR"/>
        </w:rPr>
        <w:t>t pas susceptible</w:t>
      </w:r>
      <w:r w:rsidRPr="00A2551C" w:rsidR="00C8562F">
        <w:rPr>
          <w:lang w:val="fr-FR"/>
        </w:rPr>
        <w:t>s</w:t>
      </w:r>
      <w:r w:rsidRPr="00A2551C" w:rsidR="000C1951">
        <w:rPr>
          <w:lang w:val="fr-FR"/>
        </w:rPr>
        <w:t xml:space="preserve"> d</w:t>
      </w:r>
      <w:r w:rsidRPr="00A2551C" w:rsidR="00A2551C">
        <w:rPr>
          <w:lang w:val="fr-FR"/>
        </w:rPr>
        <w:t>’</w:t>
      </w:r>
      <w:r w:rsidRPr="00A2551C" w:rsidR="000C1951">
        <w:rPr>
          <w:lang w:val="fr-FR"/>
        </w:rPr>
        <w:t xml:space="preserve">appel </w:t>
      </w:r>
      <w:r w:rsidRPr="00A2551C">
        <w:rPr>
          <w:lang w:val="fr-FR"/>
        </w:rPr>
        <w:t xml:space="preserve">interlocutoire </w:t>
      </w:r>
      <w:r w:rsidRPr="00A2551C" w:rsidR="000C1951">
        <w:rPr>
          <w:lang w:val="fr-FR"/>
        </w:rPr>
        <w:t>dans</w:t>
      </w:r>
      <w:r w:rsidRPr="00A2551C" w:rsidR="00C8562F">
        <w:rPr>
          <w:lang w:val="fr-FR"/>
        </w:rPr>
        <w:t xml:space="preserve"> leurs</w:t>
      </w:r>
      <w:r w:rsidRPr="00A2551C" w:rsidR="000C1951">
        <w:rPr>
          <w:lang w:val="fr-FR"/>
        </w:rPr>
        <w:t xml:space="preserve"> partie</w:t>
      </w:r>
      <w:r w:rsidRPr="00A2551C" w:rsidR="00C8562F">
        <w:rPr>
          <w:lang w:val="fr-FR"/>
        </w:rPr>
        <w:t>s</w:t>
      </w:r>
      <w:r w:rsidRPr="00A2551C" w:rsidR="000C1951">
        <w:rPr>
          <w:lang w:val="fr-FR"/>
        </w:rPr>
        <w:t xml:space="preserve"> portant sur la tenue du procès à huis clos.</w:t>
      </w:r>
    </w:p>
    <w:p w:rsidRPr="00A2551C" w:rsidR="00C8562F" w:rsidP="00A2551C" w:rsidRDefault="00C4267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89</w:t>
      </w:r>
      <w:r w:rsidRPr="00A2551C">
        <w:rPr>
          <w:lang w:val="fr-FR"/>
        </w:rPr>
        <w:fldChar w:fldCharType="end"/>
      </w:r>
      <w:r w:rsidRPr="00A2551C">
        <w:rPr>
          <w:lang w:val="fr-FR"/>
        </w:rPr>
        <w:t>.  </w:t>
      </w:r>
      <w:r w:rsidRPr="00A2551C" w:rsidR="00C8562F">
        <w:rPr>
          <w:lang w:val="fr-FR"/>
        </w:rPr>
        <w:t>Elle relève en outre que</w:t>
      </w:r>
      <w:r w:rsidRPr="00A2551C" w:rsidR="00D6054A">
        <w:rPr>
          <w:lang w:val="fr-FR"/>
        </w:rPr>
        <w:t>,</w:t>
      </w:r>
      <w:r w:rsidRPr="00A2551C" w:rsidR="00C8562F">
        <w:rPr>
          <w:lang w:val="fr-FR"/>
        </w:rPr>
        <w:t xml:space="preserve"> lors de l</w:t>
      </w:r>
      <w:r w:rsidRPr="00A2551C" w:rsidR="00A2551C">
        <w:rPr>
          <w:lang w:val="fr-FR"/>
        </w:rPr>
        <w:t>’</w:t>
      </w:r>
      <w:r w:rsidRPr="00A2551C" w:rsidR="00C8562F">
        <w:rPr>
          <w:lang w:val="fr-FR"/>
        </w:rPr>
        <w:t>audience du 19 mai 2010</w:t>
      </w:r>
      <w:r w:rsidRPr="00A2551C" w:rsidR="00D6054A">
        <w:rPr>
          <w:lang w:val="fr-FR"/>
        </w:rPr>
        <w:t>,</w:t>
      </w:r>
      <w:r w:rsidRPr="00A2551C" w:rsidR="00C8562F">
        <w:rPr>
          <w:lang w:val="fr-FR"/>
        </w:rPr>
        <w:t xml:space="preserve"> le requérant s</w:t>
      </w:r>
      <w:r w:rsidRPr="00A2551C" w:rsidR="00A2551C">
        <w:rPr>
          <w:lang w:val="fr-FR"/>
        </w:rPr>
        <w:t>’</w:t>
      </w:r>
      <w:r w:rsidRPr="00A2551C" w:rsidR="00C8562F">
        <w:rPr>
          <w:lang w:val="fr-FR"/>
        </w:rPr>
        <w:t>est opposé à l</w:t>
      </w:r>
      <w:r w:rsidRPr="00A2551C" w:rsidR="00A2551C">
        <w:rPr>
          <w:lang w:val="fr-FR"/>
        </w:rPr>
        <w:t>’</w:t>
      </w:r>
      <w:r w:rsidRPr="00A2551C" w:rsidR="00C8562F">
        <w:rPr>
          <w:lang w:val="fr-FR"/>
        </w:rPr>
        <w:t xml:space="preserve">exclusion du public </w:t>
      </w:r>
      <w:r w:rsidRPr="00A2551C" w:rsidR="00CA6D7A">
        <w:rPr>
          <w:lang w:val="fr-FR"/>
        </w:rPr>
        <w:t xml:space="preserve">du prétoire pour toute la durée du procès </w:t>
      </w:r>
      <w:r w:rsidRPr="00A2551C" w:rsidR="00C8562F">
        <w:rPr>
          <w:lang w:val="fr-FR"/>
        </w:rPr>
        <w:t>(</w:t>
      </w:r>
      <w:r w:rsidRPr="00A2551C" w:rsidR="00B725FF">
        <w:rPr>
          <w:lang w:val="fr-FR"/>
        </w:rPr>
        <w:t xml:space="preserve">paragraphe </w:t>
      </w:r>
      <w:r w:rsidRPr="00A2551C" w:rsidR="003920D5">
        <w:rPr>
          <w:lang w:val="fr-FR"/>
        </w:rPr>
        <w:fldChar w:fldCharType="begin"/>
      </w:r>
      <w:r w:rsidRPr="00A2551C" w:rsidR="003920D5">
        <w:rPr>
          <w:lang w:val="fr-FR"/>
        </w:rPr>
        <w:instrText xml:space="preserve"> REF aud19mai \h </w:instrText>
      </w:r>
      <w:r w:rsidRPr="00A2551C" w:rsidR="001F5753">
        <w:rPr>
          <w:lang w:val="fr-FR"/>
        </w:rPr>
        <w:instrText xml:space="preserve"> \* MERGEFORMAT </w:instrText>
      </w:r>
      <w:r w:rsidRPr="00A2551C" w:rsidR="003920D5">
        <w:rPr>
          <w:lang w:val="fr-FR"/>
        </w:rPr>
      </w:r>
      <w:r w:rsidRPr="00A2551C" w:rsidR="003920D5">
        <w:rPr>
          <w:lang w:val="fr-FR"/>
        </w:rPr>
        <w:fldChar w:fldCharType="separate"/>
      </w:r>
      <w:r w:rsidRPr="00A2551C" w:rsidR="00A2551C">
        <w:rPr>
          <w:noProof/>
          <w:lang w:val="fr-FR"/>
        </w:rPr>
        <w:t>21</w:t>
      </w:r>
      <w:r w:rsidRPr="00A2551C" w:rsidR="003920D5">
        <w:rPr>
          <w:lang w:val="fr-FR"/>
        </w:rPr>
        <w:fldChar w:fldCharType="end"/>
      </w:r>
      <w:r w:rsidRPr="00A2551C" w:rsidR="00B725FF">
        <w:rPr>
          <w:lang w:val="fr-FR"/>
        </w:rPr>
        <w:t xml:space="preserve"> </w:t>
      </w:r>
      <w:r w:rsidRPr="00A2551C" w:rsidR="005E0D7F">
        <w:rPr>
          <w:lang w:val="fr-FR"/>
        </w:rPr>
        <w:t>ci</w:t>
      </w:r>
      <w:r w:rsidRPr="00A2551C" w:rsidR="005E0D7F">
        <w:rPr>
          <w:lang w:val="fr-FR"/>
        </w:rPr>
        <w:noBreakHyphen/>
        <w:t>dessus) et</w:t>
      </w:r>
      <w:r w:rsidRPr="00A2551C" w:rsidR="006F7DFF">
        <w:rPr>
          <w:lang w:val="fr-FR"/>
        </w:rPr>
        <w:t xml:space="preserve"> </w:t>
      </w:r>
      <w:r w:rsidRPr="00A2551C" w:rsidR="00C8562F">
        <w:rPr>
          <w:lang w:val="fr-FR"/>
        </w:rPr>
        <w:t>qu</w:t>
      </w:r>
      <w:r w:rsidRPr="00A2551C" w:rsidR="00A2551C">
        <w:rPr>
          <w:lang w:val="fr-FR"/>
        </w:rPr>
        <w:t>’</w:t>
      </w:r>
      <w:r w:rsidRPr="00A2551C" w:rsidR="00C8562F">
        <w:rPr>
          <w:lang w:val="fr-FR"/>
        </w:rPr>
        <w:t xml:space="preserve">il </w:t>
      </w:r>
      <w:r w:rsidRPr="00A2551C" w:rsidR="00CA6D7A">
        <w:rPr>
          <w:lang w:val="fr-FR"/>
        </w:rPr>
        <w:t>a soulevé le grief tiré de l</w:t>
      </w:r>
      <w:r w:rsidRPr="00A2551C" w:rsidR="00A2551C">
        <w:rPr>
          <w:lang w:val="fr-FR"/>
        </w:rPr>
        <w:t>’</w:t>
      </w:r>
      <w:r w:rsidRPr="00A2551C" w:rsidR="00CA6D7A">
        <w:rPr>
          <w:lang w:val="fr-FR"/>
        </w:rPr>
        <w:t xml:space="preserve">absence de publicité des débats dans son appel formé contre le jugement du 28 décembre 2010 (paragraphe </w:t>
      </w:r>
      <w:r w:rsidRPr="00A2551C" w:rsidR="00B725FF">
        <w:rPr>
          <w:lang w:val="fr-FR"/>
        </w:rPr>
        <w:fldChar w:fldCharType="begin"/>
      </w:r>
      <w:r w:rsidRPr="00A2551C" w:rsidR="00B725FF">
        <w:rPr>
          <w:lang w:val="fr-FR"/>
        </w:rPr>
        <w:instrText xml:space="preserve"> REF appeljug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25</w:t>
      </w:r>
      <w:r w:rsidRPr="00A2551C" w:rsidR="00B725FF">
        <w:rPr>
          <w:lang w:val="fr-FR"/>
        </w:rPr>
        <w:fldChar w:fldCharType="end"/>
      </w:r>
      <w:r w:rsidRPr="00A2551C" w:rsidR="00B725FF">
        <w:rPr>
          <w:lang w:val="fr-FR"/>
        </w:rPr>
        <w:t xml:space="preserve"> </w:t>
      </w:r>
      <w:r w:rsidRPr="00A2551C" w:rsidR="00CA6D7A">
        <w:rPr>
          <w:lang w:val="fr-FR"/>
        </w:rPr>
        <w:t>ci</w:t>
      </w:r>
      <w:r w:rsidRPr="00A2551C" w:rsidR="00CA6D7A">
        <w:rPr>
          <w:lang w:val="fr-FR"/>
        </w:rPr>
        <w:noBreakHyphen/>
        <w:t>dessus)</w:t>
      </w:r>
      <w:r w:rsidRPr="00A2551C">
        <w:rPr>
          <w:lang w:val="fr-FR"/>
        </w:rPr>
        <w:t>. Elle observe enfin</w:t>
      </w:r>
      <w:r w:rsidRPr="00A2551C" w:rsidR="006F7DFF">
        <w:rPr>
          <w:lang w:val="fr-FR"/>
        </w:rPr>
        <w:t xml:space="preserve"> que la Cour suprême de la Fédération de Russie a examiné</w:t>
      </w:r>
      <w:r w:rsidRPr="00A2551C">
        <w:rPr>
          <w:lang w:val="fr-FR"/>
        </w:rPr>
        <w:t xml:space="preserve"> le grief en question</w:t>
      </w:r>
      <w:r w:rsidRPr="00A2551C" w:rsidR="006F7DFF">
        <w:rPr>
          <w:lang w:val="fr-FR"/>
        </w:rPr>
        <w:t xml:space="preserve"> sur le fond (paragraphe </w:t>
      </w:r>
      <w:r w:rsidRPr="00A2551C" w:rsidR="00B725FF">
        <w:rPr>
          <w:lang w:val="fr-FR"/>
        </w:rPr>
        <w:fldChar w:fldCharType="begin"/>
      </w:r>
      <w:r w:rsidRPr="00A2551C" w:rsidR="00B725FF">
        <w:rPr>
          <w:lang w:val="fr-FR"/>
        </w:rPr>
        <w:instrText xml:space="preserve"> REF decapp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26</w:t>
      </w:r>
      <w:r w:rsidRPr="00A2551C" w:rsidR="00B725FF">
        <w:rPr>
          <w:lang w:val="fr-FR"/>
        </w:rPr>
        <w:fldChar w:fldCharType="end"/>
      </w:r>
      <w:r w:rsidRPr="00A2551C" w:rsidR="00B725FF">
        <w:rPr>
          <w:lang w:val="fr-FR"/>
        </w:rPr>
        <w:t xml:space="preserve"> </w:t>
      </w:r>
      <w:r w:rsidRPr="00A2551C" w:rsidR="006F7DFF">
        <w:rPr>
          <w:lang w:val="fr-FR"/>
        </w:rPr>
        <w:t>ci</w:t>
      </w:r>
      <w:r w:rsidRPr="00A2551C" w:rsidR="006F7DFF">
        <w:rPr>
          <w:lang w:val="fr-FR"/>
        </w:rPr>
        <w:noBreakHyphen/>
        <w:t>dessus). Le requérant a donc donné aux juridictions nationales l</w:t>
      </w:r>
      <w:r w:rsidRPr="00A2551C" w:rsidR="00A2551C">
        <w:rPr>
          <w:lang w:val="fr-FR"/>
        </w:rPr>
        <w:t>’</w:t>
      </w:r>
      <w:r w:rsidRPr="00A2551C" w:rsidR="00EC6BDF">
        <w:rPr>
          <w:lang w:val="fr-FR"/>
        </w:rPr>
        <w:t>occasion d</w:t>
      </w:r>
      <w:r w:rsidRPr="00A2551C" w:rsidR="00A2551C">
        <w:rPr>
          <w:lang w:val="fr-FR"/>
        </w:rPr>
        <w:t>’</w:t>
      </w:r>
      <w:r w:rsidRPr="00A2551C" w:rsidR="006F7DFF">
        <w:rPr>
          <w:lang w:val="fr-FR"/>
        </w:rPr>
        <w:t>examiner</w:t>
      </w:r>
      <w:r w:rsidRPr="00A2551C" w:rsidR="00115ABB">
        <w:rPr>
          <w:lang w:val="fr-FR"/>
        </w:rPr>
        <w:t xml:space="preserve"> </w:t>
      </w:r>
      <w:r w:rsidRPr="00A2551C">
        <w:rPr>
          <w:lang w:val="fr-FR"/>
        </w:rPr>
        <w:t>le</w:t>
      </w:r>
      <w:r w:rsidRPr="00A2551C" w:rsidR="00115ABB">
        <w:rPr>
          <w:lang w:val="fr-FR"/>
        </w:rPr>
        <w:t xml:space="preserve"> grief </w:t>
      </w:r>
      <w:r w:rsidRPr="00A2551C">
        <w:rPr>
          <w:lang w:val="fr-FR"/>
        </w:rPr>
        <w:t>tiré de l</w:t>
      </w:r>
      <w:r w:rsidRPr="00A2551C" w:rsidR="00A2551C">
        <w:rPr>
          <w:lang w:val="fr-FR"/>
        </w:rPr>
        <w:t>’</w:t>
      </w:r>
      <w:r w:rsidRPr="00A2551C">
        <w:rPr>
          <w:lang w:val="fr-FR"/>
        </w:rPr>
        <w:t xml:space="preserve">absence de publicité du procès pénal dirigé à son encontre et de réparer la violation alléguée. </w:t>
      </w:r>
      <w:r w:rsidRPr="00A2551C" w:rsidR="00CA6D7A">
        <w:rPr>
          <w:lang w:val="fr-FR"/>
        </w:rPr>
        <w:t>Dès lors, la Cour rejette l</w:t>
      </w:r>
      <w:r w:rsidRPr="00A2551C" w:rsidR="00A2551C">
        <w:rPr>
          <w:lang w:val="fr-FR"/>
        </w:rPr>
        <w:t>’</w:t>
      </w:r>
      <w:r w:rsidRPr="00A2551C" w:rsidR="00CA6D7A">
        <w:rPr>
          <w:lang w:val="fr-FR"/>
        </w:rPr>
        <w:t>exception de non</w:t>
      </w:r>
      <w:r w:rsidRPr="00A2551C" w:rsidR="00CA6D7A">
        <w:rPr>
          <w:lang w:val="fr-FR"/>
        </w:rPr>
        <w:noBreakHyphen/>
        <w:t>épuisement</w:t>
      </w:r>
      <w:r w:rsidRPr="00A2551C" w:rsidR="00D6054A">
        <w:rPr>
          <w:lang w:val="fr-FR"/>
        </w:rPr>
        <w:t xml:space="preserve"> </w:t>
      </w:r>
      <w:r w:rsidRPr="00A2551C" w:rsidR="00CA6D7A">
        <w:rPr>
          <w:lang w:val="fr-FR"/>
        </w:rPr>
        <w:t>des voies de recours internes soulevé</w:t>
      </w:r>
      <w:r w:rsidRPr="00A2551C" w:rsidR="00EC6BDF">
        <w:rPr>
          <w:lang w:val="fr-FR"/>
        </w:rPr>
        <w:t>e</w:t>
      </w:r>
      <w:r w:rsidRPr="00A2551C" w:rsidR="00CA6D7A">
        <w:rPr>
          <w:lang w:val="fr-FR"/>
        </w:rPr>
        <w:t xml:space="preserve"> par le Gouvernement.</w:t>
      </w:r>
    </w:p>
    <w:p w:rsidRPr="00A2551C" w:rsidR="00EB1A73" w:rsidP="00A2551C" w:rsidRDefault="00C8562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90</w:t>
      </w:r>
      <w:r w:rsidRPr="00A2551C">
        <w:rPr>
          <w:lang w:val="fr-FR"/>
        </w:rPr>
        <w:fldChar w:fldCharType="end"/>
      </w:r>
      <w:r w:rsidRPr="00A2551C">
        <w:rPr>
          <w:lang w:val="fr-FR"/>
        </w:rPr>
        <w:t>.  </w:t>
      </w:r>
      <w:r w:rsidRPr="00A2551C" w:rsidR="00CA6D7A">
        <w:rPr>
          <w:lang w:val="fr-FR"/>
        </w:rPr>
        <w:t xml:space="preserve">Constatant que </w:t>
      </w:r>
      <w:r w:rsidRPr="00A2551C" w:rsidR="00C42671">
        <w:rPr>
          <w:lang w:val="fr-FR"/>
        </w:rPr>
        <w:t>c</w:t>
      </w:r>
      <w:r w:rsidRPr="00A2551C" w:rsidR="00CA6D7A">
        <w:rPr>
          <w:lang w:val="fr-FR"/>
        </w:rPr>
        <w:t>e grief n</w:t>
      </w:r>
      <w:r w:rsidRPr="00A2551C" w:rsidR="00A2551C">
        <w:rPr>
          <w:lang w:val="fr-FR"/>
        </w:rPr>
        <w:t>’</w:t>
      </w:r>
      <w:r w:rsidRPr="00A2551C" w:rsidR="00CA6D7A">
        <w:rPr>
          <w:lang w:val="fr-FR"/>
        </w:rPr>
        <w:t>est pas manifestement mal fondé au sens de l</w:t>
      </w:r>
      <w:r w:rsidRPr="00A2551C" w:rsidR="00A2551C">
        <w:rPr>
          <w:lang w:val="fr-FR"/>
        </w:rPr>
        <w:t>’</w:t>
      </w:r>
      <w:r w:rsidRPr="00A2551C" w:rsidR="00CA6D7A">
        <w:rPr>
          <w:lang w:val="fr-FR"/>
        </w:rPr>
        <w:t>article 35 § 1 de la Convention et qu</w:t>
      </w:r>
      <w:r w:rsidRPr="00A2551C" w:rsidR="00A2551C">
        <w:rPr>
          <w:lang w:val="fr-FR"/>
        </w:rPr>
        <w:t>’</w:t>
      </w:r>
      <w:r w:rsidRPr="00A2551C" w:rsidR="00CA6D7A">
        <w:rPr>
          <w:lang w:val="fr-FR"/>
        </w:rPr>
        <w:t>il ne se heurte par ailleurs à aucun autre motif d</w:t>
      </w:r>
      <w:r w:rsidRPr="00A2551C" w:rsidR="00A2551C">
        <w:rPr>
          <w:lang w:val="fr-FR"/>
        </w:rPr>
        <w:t>’</w:t>
      </w:r>
      <w:r w:rsidRPr="00A2551C" w:rsidR="00CA6D7A">
        <w:rPr>
          <w:lang w:val="fr-FR"/>
        </w:rPr>
        <w:t>irrecevabilité, la Cour le déclare recevable.</w:t>
      </w:r>
    </w:p>
    <w:p w:rsidRPr="00A2551C" w:rsidR="00657348" w:rsidP="00A2551C" w:rsidRDefault="00657348">
      <w:pPr>
        <w:pStyle w:val="ECHRHeading3"/>
        <w:rPr>
          <w:lang w:val="fr-FR"/>
        </w:rPr>
      </w:pPr>
      <w:r w:rsidRPr="00A2551C">
        <w:rPr>
          <w:lang w:val="fr-FR"/>
        </w:rPr>
        <w:t>2.  Sur le fond</w:t>
      </w:r>
    </w:p>
    <w:p w:rsidRPr="00A2551C" w:rsidR="00CE334D" w:rsidP="00A2551C" w:rsidRDefault="00CE334D">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91</w:t>
      </w:r>
      <w:r w:rsidRPr="00A2551C">
        <w:rPr>
          <w:lang w:val="fr-FR"/>
        </w:rPr>
        <w:fldChar w:fldCharType="end"/>
      </w:r>
      <w:r w:rsidRPr="00A2551C">
        <w:rPr>
          <w:lang w:val="fr-FR"/>
        </w:rPr>
        <w:t>.  </w:t>
      </w:r>
      <w:r w:rsidRPr="00A2551C" w:rsidR="00EB1A73">
        <w:rPr>
          <w:lang w:val="fr-FR"/>
        </w:rPr>
        <w:t xml:space="preserve">La Cour </w:t>
      </w:r>
      <w:r w:rsidRPr="00A2551C" w:rsidR="00C42671">
        <w:rPr>
          <w:lang w:val="fr-FR"/>
        </w:rPr>
        <w:t xml:space="preserve">rappelle </w:t>
      </w:r>
      <w:r w:rsidRPr="00A2551C" w:rsidR="00EB1A73">
        <w:rPr>
          <w:lang w:val="fr-FR"/>
        </w:rPr>
        <w:t xml:space="preserve">avoir </w:t>
      </w:r>
      <w:r w:rsidRPr="00A2551C">
        <w:rPr>
          <w:lang w:val="fr-FR"/>
        </w:rPr>
        <w:t>déjà conclu</w:t>
      </w:r>
      <w:r w:rsidRPr="00A2551C" w:rsidR="00C42671">
        <w:rPr>
          <w:lang w:val="fr-FR"/>
        </w:rPr>
        <w:t xml:space="preserve"> dans de nombreuses affaires</w:t>
      </w:r>
      <w:r w:rsidRPr="00A2551C">
        <w:rPr>
          <w:lang w:val="fr-FR"/>
        </w:rPr>
        <w:t xml:space="preserve"> à la viol</w:t>
      </w:r>
      <w:r w:rsidRPr="00A2551C" w:rsidR="00EC66FA">
        <w:rPr>
          <w:lang w:val="fr-FR"/>
        </w:rPr>
        <w:t>ation de l</w:t>
      </w:r>
      <w:r w:rsidRPr="00A2551C" w:rsidR="00A2551C">
        <w:rPr>
          <w:lang w:val="fr-FR"/>
        </w:rPr>
        <w:t>’</w:t>
      </w:r>
      <w:r w:rsidRPr="00A2551C" w:rsidR="00EC66FA">
        <w:rPr>
          <w:lang w:val="fr-FR"/>
        </w:rPr>
        <w:t xml:space="preserve">article 6 § 1 de la Convention </w:t>
      </w:r>
      <w:r w:rsidRPr="00A2551C" w:rsidR="00C42671">
        <w:rPr>
          <w:lang w:val="fr-FR"/>
        </w:rPr>
        <w:t xml:space="preserve">après avoir constaté que </w:t>
      </w:r>
      <w:r w:rsidRPr="00A2551C" w:rsidR="00EC66FA">
        <w:rPr>
          <w:lang w:val="fr-FR"/>
        </w:rPr>
        <w:t xml:space="preserve">les juridictions internes </w:t>
      </w:r>
      <w:r w:rsidRPr="00A2551C" w:rsidR="00D6054A">
        <w:rPr>
          <w:lang w:val="fr-FR"/>
        </w:rPr>
        <w:t xml:space="preserve">avaient </w:t>
      </w:r>
      <w:r w:rsidRPr="00A2551C" w:rsidR="00EC66FA">
        <w:rPr>
          <w:lang w:val="fr-FR"/>
        </w:rPr>
        <w:t>ordonné l</w:t>
      </w:r>
      <w:r w:rsidRPr="00A2551C" w:rsidR="00A2551C">
        <w:rPr>
          <w:lang w:val="fr-FR"/>
        </w:rPr>
        <w:t>’</w:t>
      </w:r>
      <w:r w:rsidRPr="00A2551C" w:rsidR="00EC66FA">
        <w:rPr>
          <w:lang w:val="fr-FR"/>
        </w:rPr>
        <w:t>exclusion du public des débats en raison d</w:t>
      </w:r>
      <w:r w:rsidRPr="00A2551C" w:rsidR="00A2551C">
        <w:rPr>
          <w:lang w:val="fr-FR"/>
        </w:rPr>
        <w:t>’</w:t>
      </w:r>
      <w:r w:rsidRPr="00A2551C" w:rsidR="00EC66FA">
        <w:rPr>
          <w:lang w:val="fr-FR"/>
        </w:rPr>
        <w:t>une simple présence de documents classifiés dans un dossier judiciaire sans aucune évaluation de la nécessité d</w:t>
      </w:r>
      <w:r w:rsidRPr="00A2551C" w:rsidR="00A2551C">
        <w:rPr>
          <w:lang w:val="fr-FR"/>
        </w:rPr>
        <w:t>’</w:t>
      </w:r>
      <w:r w:rsidRPr="00A2551C" w:rsidR="00EC66FA">
        <w:rPr>
          <w:lang w:val="fr-FR"/>
        </w:rPr>
        <w:t>une telle exclusion par la mise en balance du principe de publicité des débats et des impératifs de protection de l</w:t>
      </w:r>
      <w:r w:rsidRPr="00A2551C" w:rsidR="00A2551C">
        <w:rPr>
          <w:lang w:val="fr-FR"/>
        </w:rPr>
        <w:t>’</w:t>
      </w:r>
      <w:r w:rsidRPr="00A2551C" w:rsidR="00EC66FA">
        <w:rPr>
          <w:lang w:val="fr-FR"/>
        </w:rPr>
        <w:t>ordre public et de la sécurité nationale (</w:t>
      </w:r>
      <w:proofErr w:type="spellStart"/>
      <w:r w:rsidRPr="00A2551C" w:rsidR="00040C57">
        <w:rPr>
          <w:i/>
          <w:lang w:val="fr-FR"/>
        </w:rPr>
        <w:t>Belashev</w:t>
      </w:r>
      <w:proofErr w:type="spellEnd"/>
      <w:r w:rsidRPr="00A2551C" w:rsidR="00040C57">
        <w:rPr>
          <w:lang w:val="fr-FR"/>
        </w:rPr>
        <w:t xml:space="preserve">, précité, §§ 84 et 88, </w:t>
      </w:r>
      <w:r w:rsidRPr="00A2551C" w:rsidR="00040C57">
        <w:rPr>
          <w:i/>
          <w:lang w:val="fr-FR"/>
        </w:rPr>
        <w:t>Romanova</w:t>
      </w:r>
      <w:r w:rsidRPr="00A2551C" w:rsidR="00040C57">
        <w:rPr>
          <w:lang w:val="fr-FR"/>
        </w:rPr>
        <w:t xml:space="preserve">, précité, §§ 156 et 160, </w:t>
      </w:r>
      <w:proofErr w:type="spellStart"/>
      <w:r w:rsidRPr="00A2551C" w:rsidR="00040C57">
        <w:rPr>
          <w:i/>
          <w:lang w:val="fr-FR"/>
        </w:rPr>
        <w:t>Raks</w:t>
      </w:r>
      <w:proofErr w:type="spellEnd"/>
      <w:r w:rsidRPr="00A2551C" w:rsidR="00040C57">
        <w:rPr>
          <w:i/>
          <w:lang w:val="fr-FR"/>
        </w:rPr>
        <w:t xml:space="preserve"> c. Russie</w:t>
      </w:r>
      <w:r w:rsidRPr="00A2551C" w:rsidR="00040C57">
        <w:rPr>
          <w:lang w:val="fr-FR"/>
        </w:rPr>
        <w:t>, n</w:t>
      </w:r>
      <w:r w:rsidRPr="00A2551C" w:rsidR="00040C57">
        <w:rPr>
          <w:vertAlign w:val="superscript"/>
          <w:lang w:val="fr-FR"/>
        </w:rPr>
        <w:t>o</w:t>
      </w:r>
      <w:r w:rsidRPr="00A2551C" w:rsidR="00040C57">
        <w:rPr>
          <w:lang w:val="fr-FR"/>
        </w:rPr>
        <w:t xml:space="preserve"> 20702/04, §§ 47 et 51, 11 octobre 2011, </w:t>
      </w:r>
      <w:proofErr w:type="spellStart"/>
      <w:r w:rsidRPr="00A2551C" w:rsidR="00040C57">
        <w:rPr>
          <w:i/>
          <w:lang w:val="fr-FR"/>
        </w:rPr>
        <w:t>Pichugin</w:t>
      </w:r>
      <w:proofErr w:type="spellEnd"/>
      <w:r w:rsidRPr="00A2551C" w:rsidR="00040C57">
        <w:rPr>
          <w:lang w:val="fr-FR"/>
        </w:rPr>
        <w:t xml:space="preserve">, précité, §§ 188 et 192, et </w:t>
      </w:r>
      <w:proofErr w:type="spellStart"/>
      <w:r w:rsidRPr="00A2551C" w:rsidR="005E0D7F">
        <w:rPr>
          <w:i/>
          <w:lang w:val="fr-FR"/>
        </w:rPr>
        <w:t>Sheynoyev</w:t>
      </w:r>
      <w:proofErr w:type="spellEnd"/>
      <w:r w:rsidRPr="00A2551C" w:rsidR="005E0D7F">
        <w:rPr>
          <w:i/>
          <w:lang w:val="fr-FR"/>
        </w:rPr>
        <w:t xml:space="preserve"> c. Russie</w:t>
      </w:r>
      <w:r w:rsidRPr="00A2551C" w:rsidR="005E0D7F">
        <w:rPr>
          <w:lang w:val="fr-FR"/>
        </w:rPr>
        <w:t xml:space="preserve"> [comité], n</w:t>
      </w:r>
      <w:r w:rsidRPr="00A2551C" w:rsidR="005E0D7F">
        <w:rPr>
          <w:vertAlign w:val="superscript"/>
          <w:lang w:val="fr-FR"/>
        </w:rPr>
        <w:t>o</w:t>
      </w:r>
      <w:r w:rsidRPr="00A2551C" w:rsidR="00B725FF">
        <w:rPr>
          <w:lang w:val="fr-FR"/>
        </w:rPr>
        <w:t> </w:t>
      </w:r>
      <w:r w:rsidRPr="00A2551C" w:rsidR="005E0D7F">
        <w:rPr>
          <w:lang w:val="fr-FR"/>
        </w:rPr>
        <w:t>65783/09, §§ 14</w:t>
      </w:r>
      <w:r w:rsidRPr="00A2551C" w:rsidR="005E0D7F">
        <w:rPr>
          <w:lang w:val="fr-FR"/>
        </w:rPr>
        <w:noBreakHyphen/>
        <w:t>16, 25 septembre 2018</w:t>
      </w:r>
      <w:r w:rsidRPr="00A2551C" w:rsidR="00EB1A73">
        <w:rPr>
          <w:lang w:val="fr-FR"/>
        </w:rPr>
        <w:t>).</w:t>
      </w:r>
    </w:p>
    <w:p w:rsidRPr="00A2551C" w:rsidR="00C42671" w:rsidP="00A2551C" w:rsidRDefault="00CE334D">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92</w:t>
      </w:r>
      <w:r w:rsidRPr="00A2551C">
        <w:rPr>
          <w:lang w:val="fr-FR"/>
        </w:rPr>
        <w:fldChar w:fldCharType="end"/>
      </w:r>
      <w:r w:rsidRPr="00A2551C">
        <w:rPr>
          <w:lang w:val="fr-FR"/>
        </w:rPr>
        <w:t>.  </w:t>
      </w:r>
      <w:r w:rsidRPr="00A2551C" w:rsidR="00C42671">
        <w:rPr>
          <w:lang w:val="fr-FR"/>
        </w:rPr>
        <w:t>En l</w:t>
      </w:r>
      <w:r w:rsidRPr="00A2551C" w:rsidR="00A2551C">
        <w:rPr>
          <w:lang w:val="fr-FR"/>
        </w:rPr>
        <w:t>’</w:t>
      </w:r>
      <w:r w:rsidRPr="00A2551C" w:rsidR="00C42671">
        <w:rPr>
          <w:lang w:val="fr-FR"/>
        </w:rPr>
        <w:t>occurrence, eu égard aux éléments dont elle dispose, la Cour estime que le Gouvernement n</w:t>
      </w:r>
      <w:r w:rsidRPr="00A2551C" w:rsidR="00A2551C">
        <w:rPr>
          <w:lang w:val="fr-FR"/>
        </w:rPr>
        <w:t>’</w:t>
      </w:r>
      <w:r w:rsidRPr="00A2551C" w:rsidR="00C42671">
        <w:rPr>
          <w:lang w:val="fr-FR"/>
        </w:rPr>
        <w:t>a mis en avant aucun élément de fait ou de droit à même de la convaincre de parvenir à une conclusion différente en l</w:t>
      </w:r>
      <w:r w:rsidRPr="00A2551C" w:rsidR="00A2551C">
        <w:rPr>
          <w:lang w:val="fr-FR"/>
        </w:rPr>
        <w:t>’</w:t>
      </w:r>
      <w:r w:rsidRPr="00A2551C" w:rsidR="00C42671">
        <w:rPr>
          <w:lang w:val="fr-FR"/>
        </w:rPr>
        <w:t>espèce.</w:t>
      </w:r>
    </w:p>
    <w:p w:rsidRPr="00A2551C" w:rsidR="00C54E4B" w:rsidP="00A2551C" w:rsidRDefault="00C4267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93</w:t>
      </w:r>
      <w:r w:rsidRPr="00A2551C">
        <w:rPr>
          <w:lang w:val="fr-FR"/>
        </w:rPr>
        <w:fldChar w:fldCharType="end"/>
      </w:r>
      <w:r w:rsidRPr="00A2551C">
        <w:rPr>
          <w:lang w:val="fr-FR"/>
        </w:rPr>
        <w:t xml:space="preserve">.  En effet, </w:t>
      </w:r>
      <w:r w:rsidRPr="00A2551C" w:rsidR="00DF6F9B">
        <w:rPr>
          <w:lang w:val="fr-FR"/>
        </w:rPr>
        <w:t>le Gouvernement n</w:t>
      </w:r>
      <w:r w:rsidRPr="00A2551C" w:rsidR="00A2551C">
        <w:rPr>
          <w:lang w:val="fr-FR"/>
        </w:rPr>
        <w:t>’</w:t>
      </w:r>
      <w:r w:rsidRPr="00A2551C" w:rsidR="00DF6F9B">
        <w:rPr>
          <w:lang w:val="fr-FR"/>
        </w:rPr>
        <w:t>a pas contesté l</w:t>
      </w:r>
      <w:r w:rsidRPr="00A2551C" w:rsidR="00A2551C">
        <w:rPr>
          <w:lang w:val="fr-FR"/>
        </w:rPr>
        <w:t>’</w:t>
      </w:r>
      <w:r w:rsidRPr="00A2551C" w:rsidR="00DF6F9B">
        <w:rPr>
          <w:lang w:val="fr-FR"/>
        </w:rPr>
        <w:t xml:space="preserve">allégation du requérant selon laquelle </w:t>
      </w:r>
      <w:r w:rsidRPr="00A2551C" w:rsidR="008D370F">
        <w:rPr>
          <w:lang w:val="fr-FR"/>
        </w:rPr>
        <w:t>il n</w:t>
      </w:r>
      <w:r w:rsidRPr="00A2551C" w:rsidR="00A2551C">
        <w:rPr>
          <w:lang w:val="fr-FR"/>
        </w:rPr>
        <w:t>’</w:t>
      </w:r>
      <w:r w:rsidRPr="00A2551C" w:rsidR="008D370F">
        <w:rPr>
          <w:lang w:val="fr-FR"/>
        </w:rPr>
        <w:t>y avait que quatre</w:t>
      </w:r>
      <w:r w:rsidRPr="00A2551C" w:rsidR="00A44A47">
        <w:rPr>
          <w:lang w:val="fr-FR"/>
        </w:rPr>
        <w:t xml:space="preserve"> documents </w:t>
      </w:r>
      <w:r w:rsidRPr="00A2551C" w:rsidR="00DF6F9B">
        <w:rPr>
          <w:lang w:val="fr-FR"/>
        </w:rPr>
        <w:t xml:space="preserve">portant </w:t>
      </w:r>
      <w:r w:rsidRPr="00A2551C" w:rsidR="00427753">
        <w:rPr>
          <w:lang w:val="fr-FR"/>
        </w:rPr>
        <w:t xml:space="preserve">la </w:t>
      </w:r>
      <w:r w:rsidRPr="00A2551C" w:rsidR="00DF6F9B">
        <w:rPr>
          <w:lang w:val="fr-FR"/>
        </w:rPr>
        <w:t xml:space="preserve">mention « très secret » </w:t>
      </w:r>
      <w:r w:rsidRPr="00A2551C" w:rsidR="009C1B1F">
        <w:rPr>
          <w:lang w:val="fr-FR"/>
        </w:rPr>
        <w:t xml:space="preserve">sur les </w:t>
      </w:r>
      <w:r w:rsidRPr="00A2551C" w:rsidR="00DF6F9B">
        <w:rPr>
          <w:lang w:val="fr-FR"/>
        </w:rPr>
        <w:t xml:space="preserve">centaines </w:t>
      </w:r>
      <w:r w:rsidRPr="00A2551C" w:rsidR="009C1B1F">
        <w:rPr>
          <w:lang w:val="fr-FR"/>
        </w:rPr>
        <w:t>que comptait</w:t>
      </w:r>
      <w:r w:rsidRPr="00A2551C" w:rsidR="00A44A47">
        <w:rPr>
          <w:lang w:val="fr-FR"/>
        </w:rPr>
        <w:t xml:space="preserve"> </w:t>
      </w:r>
      <w:r w:rsidRPr="00A2551C" w:rsidR="009C1B1F">
        <w:rPr>
          <w:lang w:val="fr-FR"/>
        </w:rPr>
        <w:t>le</w:t>
      </w:r>
      <w:r w:rsidRPr="00A2551C" w:rsidR="00A44A47">
        <w:rPr>
          <w:lang w:val="fr-FR"/>
        </w:rPr>
        <w:t xml:space="preserve"> dossier pénal </w:t>
      </w:r>
      <w:r w:rsidRPr="00A2551C" w:rsidR="00DF6F9B">
        <w:rPr>
          <w:lang w:val="fr-FR"/>
        </w:rPr>
        <w:t xml:space="preserve">(paragraphe </w:t>
      </w:r>
      <w:r w:rsidRPr="00A2551C" w:rsidR="00B725FF">
        <w:rPr>
          <w:lang w:val="fr-FR"/>
        </w:rPr>
        <w:fldChar w:fldCharType="begin"/>
      </w:r>
      <w:r w:rsidRPr="00A2551C" w:rsidR="00B725FF">
        <w:rPr>
          <w:lang w:val="fr-FR"/>
        </w:rPr>
        <w:instrText xml:space="preserve"> REF A6argreq2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85</w:t>
      </w:r>
      <w:r w:rsidRPr="00A2551C" w:rsidR="00B725FF">
        <w:rPr>
          <w:lang w:val="fr-FR"/>
        </w:rPr>
        <w:fldChar w:fldCharType="end"/>
      </w:r>
      <w:r w:rsidRPr="00A2551C" w:rsidR="00B725FF">
        <w:rPr>
          <w:lang w:val="fr-FR"/>
        </w:rPr>
        <w:t xml:space="preserve"> </w:t>
      </w:r>
      <w:r w:rsidRPr="00A2551C" w:rsidR="00DF6F9B">
        <w:rPr>
          <w:lang w:val="fr-FR"/>
        </w:rPr>
        <w:t>ci</w:t>
      </w:r>
      <w:r w:rsidRPr="00A2551C" w:rsidR="00DF6F9B">
        <w:rPr>
          <w:lang w:val="fr-FR"/>
        </w:rPr>
        <w:noBreakHyphen/>
        <w:t xml:space="preserve">dessus). </w:t>
      </w:r>
      <w:r w:rsidRPr="00A2551C" w:rsidR="00EC6BDF">
        <w:rPr>
          <w:lang w:val="fr-FR"/>
        </w:rPr>
        <w:t>La Cour considère que, s</w:t>
      </w:r>
      <w:r w:rsidRPr="00A2551C" w:rsidR="00182C93">
        <w:rPr>
          <w:lang w:val="fr-FR"/>
        </w:rPr>
        <w:t xml:space="preserve">i les autorités pouvaient en principe avoir un intérêt légitime </w:t>
      </w:r>
      <w:r w:rsidRPr="00A2551C" w:rsidR="00B13AEA">
        <w:rPr>
          <w:lang w:val="fr-FR"/>
        </w:rPr>
        <w:t xml:space="preserve">à </w:t>
      </w:r>
      <w:r w:rsidRPr="00A2551C" w:rsidR="00182C93">
        <w:rPr>
          <w:lang w:val="fr-FR"/>
        </w:rPr>
        <w:t>préserver la confidentialité de</w:t>
      </w:r>
      <w:r w:rsidRPr="00A2551C" w:rsidR="00A44A47">
        <w:rPr>
          <w:lang w:val="fr-FR"/>
        </w:rPr>
        <w:t>s</w:t>
      </w:r>
      <w:r w:rsidRPr="00A2551C" w:rsidR="00182C93">
        <w:rPr>
          <w:lang w:val="fr-FR"/>
        </w:rPr>
        <w:t xml:space="preserve"> documents classifiés, qui concernaient apparemment les méthodes utilisées par les autorités d</w:t>
      </w:r>
      <w:r w:rsidRPr="00A2551C" w:rsidR="00A2551C">
        <w:rPr>
          <w:lang w:val="fr-FR"/>
        </w:rPr>
        <w:t>’</w:t>
      </w:r>
      <w:r w:rsidRPr="00A2551C" w:rsidR="00182C93">
        <w:rPr>
          <w:lang w:val="fr-FR"/>
        </w:rPr>
        <w:t xml:space="preserve">enquête dans la lutte contre la criminalité, le tribunal </w:t>
      </w:r>
      <w:r w:rsidRPr="00A2551C" w:rsidR="00A44A47">
        <w:rPr>
          <w:lang w:val="fr-FR"/>
        </w:rPr>
        <w:t xml:space="preserve">de première instance </w:t>
      </w:r>
      <w:r w:rsidRPr="00A2551C" w:rsidR="00182C93">
        <w:rPr>
          <w:lang w:val="fr-FR"/>
        </w:rPr>
        <w:t>devait considérer de manière spécifique si une exclusion du public des débats était nécessaire à la protection d</w:t>
      </w:r>
      <w:r w:rsidRPr="00A2551C" w:rsidR="00A2551C">
        <w:rPr>
          <w:lang w:val="fr-FR"/>
        </w:rPr>
        <w:t>’</w:t>
      </w:r>
      <w:r w:rsidRPr="00A2551C" w:rsidR="00182C93">
        <w:rPr>
          <w:lang w:val="fr-FR"/>
        </w:rPr>
        <w:t xml:space="preserve">un intérêt public et la limiter à ce qui </w:t>
      </w:r>
      <w:r w:rsidRPr="00A2551C" w:rsidR="008D370F">
        <w:rPr>
          <w:lang w:val="fr-FR"/>
        </w:rPr>
        <w:t xml:space="preserve">était </w:t>
      </w:r>
      <w:r w:rsidRPr="00A2551C" w:rsidR="00182C93">
        <w:rPr>
          <w:lang w:val="fr-FR"/>
        </w:rPr>
        <w:t xml:space="preserve">strictement nécessaire </w:t>
      </w:r>
      <w:r w:rsidRPr="00A2551C" w:rsidR="008D370F">
        <w:rPr>
          <w:lang w:val="fr-FR"/>
        </w:rPr>
        <w:t>pour</w:t>
      </w:r>
      <w:r w:rsidRPr="00A2551C" w:rsidR="00182C93">
        <w:rPr>
          <w:lang w:val="fr-FR"/>
        </w:rPr>
        <w:t xml:space="preserve"> atteindre l</w:t>
      </w:r>
      <w:r w:rsidRPr="00A2551C" w:rsidR="00A2551C">
        <w:rPr>
          <w:lang w:val="fr-FR"/>
        </w:rPr>
        <w:t>’</w:t>
      </w:r>
      <w:r w:rsidRPr="00A2551C" w:rsidR="00182C93">
        <w:rPr>
          <w:lang w:val="fr-FR"/>
        </w:rPr>
        <w:t>objectif poursuivi. Or, e</w:t>
      </w:r>
      <w:r w:rsidRPr="00A2551C" w:rsidR="00DF6F9B">
        <w:rPr>
          <w:lang w:val="fr-FR"/>
        </w:rPr>
        <w:t>n adoptant sa décision du 19 mai 2010, le tribunal de première instance a décidé de tenir l</w:t>
      </w:r>
      <w:r w:rsidRPr="00A2551C" w:rsidR="00A2551C">
        <w:rPr>
          <w:lang w:val="fr-FR"/>
        </w:rPr>
        <w:t>’</w:t>
      </w:r>
      <w:r w:rsidRPr="00A2551C" w:rsidR="00DF6F9B">
        <w:rPr>
          <w:lang w:val="fr-FR"/>
        </w:rPr>
        <w:t>intégralité du procès pénal à huis clos du fait de la simple production au dossier de documents classifiés</w:t>
      </w:r>
      <w:r w:rsidRPr="00A2551C" w:rsidR="003920D5">
        <w:rPr>
          <w:lang w:val="fr-FR"/>
        </w:rPr>
        <w:t xml:space="preserve"> (paragraphe </w:t>
      </w:r>
      <w:r w:rsidRPr="00A2551C" w:rsidR="003920D5">
        <w:rPr>
          <w:lang w:val="fr-FR"/>
        </w:rPr>
        <w:fldChar w:fldCharType="begin"/>
      </w:r>
      <w:r w:rsidRPr="00A2551C" w:rsidR="003920D5">
        <w:rPr>
          <w:lang w:val="fr-FR"/>
        </w:rPr>
        <w:instrText xml:space="preserve"> REF dechclos19mai \h </w:instrText>
      </w:r>
      <w:r w:rsidRPr="00A2551C" w:rsidR="001F5753">
        <w:rPr>
          <w:lang w:val="fr-FR"/>
        </w:rPr>
        <w:instrText xml:space="preserve"> \* MERGEFORMAT </w:instrText>
      </w:r>
      <w:r w:rsidRPr="00A2551C" w:rsidR="003920D5">
        <w:rPr>
          <w:lang w:val="fr-FR"/>
        </w:rPr>
      </w:r>
      <w:r w:rsidRPr="00A2551C" w:rsidR="003920D5">
        <w:rPr>
          <w:lang w:val="fr-FR"/>
        </w:rPr>
        <w:fldChar w:fldCharType="separate"/>
      </w:r>
      <w:r w:rsidRPr="00A2551C" w:rsidR="00A2551C">
        <w:rPr>
          <w:noProof/>
          <w:lang w:val="fr-FR"/>
        </w:rPr>
        <w:t>22</w:t>
      </w:r>
      <w:r w:rsidRPr="00A2551C" w:rsidR="003920D5">
        <w:rPr>
          <w:lang w:val="fr-FR"/>
        </w:rPr>
        <w:fldChar w:fldCharType="end"/>
      </w:r>
      <w:r w:rsidRPr="00A2551C" w:rsidR="003920D5">
        <w:rPr>
          <w:lang w:val="fr-FR"/>
        </w:rPr>
        <w:t xml:space="preserve"> ci</w:t>
      </w:r>
      <w:r w:rsidRPr="00A2551C" w:rsidR="003920D5">
        <w:rPr>
          <w:lang w:val="fr-FR"/>
        </w:rPr>
        <w:noBreakHyphen/>
        <w:t>dessus)</w:t>
      </w:r>
      <w:r w:rsidRPr="00A2551C" w:rsidR="00DF6F9B">
        <w:rPr>
          <w:lang w:val="fr-FR"/>
        </w:rPr>
        <w:t>. Le tribunal n</w:t>
      </w:r>
      <w:r w:rsidRPr="00A2551C" w:rsidR="00A2551C">
        <w:rPr>
          <w:lang w:val="fr-FR"/>
        </w:rPr>
        <w:t>’</w:t>
      </w:r>
      <w:r w:rsidRPr="00A2551C" w:rsidR="00DF6F9B">
        <w:rPr>
          <w:lang w:val="fr-FR"/>
        </w:rPr>
        <w:t>a pas motivé sa décision afin de démontrer que les documents en question étaient liés à l</w:t>
      </w:r>
      <w:r w:rsidRPr="00A2551C" w:rsidR="00A2551C">
        <w:rPr>
          <w:lang w:val="fr-FR"/>
        </w:rPr>
        <w:t>’</w:t>
      </w:r>
      <w:r w:rsidRPr="00A2551C" w:rsidR="00DF6F9B">
        <w:rPr>
          <w:lang w:val="fr-FR"/>
        </w:rPr>
        <w:t>objet de la procédure</w:t>
      </w:r>
      <w:r w:rsidRPr="00A2551C" w:rsidR="00182C93">
        <w:rPr>
          <w:lang w:val="fr-FR"/>
        </w:rPr>
        <w:t xml:space="preserve"> et</w:t>
      </w:r>
      <w:r w:rsidRPr="00A2551C" w:rsidR="00DF6F9B">
        <w:rPr>
          <w:lang w:val="fr-FR"/>
        </w:rPr>
        <w:t xml:space="preserve"> que leur présence était par conséquent indispensable. La Cour prend note à cet égard </w:t>
      </w:r>
      <w:r w:rsidRPr="00A2551C" w:rsidR="00EC6BDF">
        <w:rPr>
          <w:lang w:val="fr-FR"/>
        </w:rPr>
        <w:t xml:space="preserve">de </w:t>
      </w:r>
      <w:r w:rsidRPr="00A2551C" w:rsidR="00DF6F9B">
        <w:rPr>
          <w:lang w:val="fr-FR"/>
        </w:rPr>
        <w:t>l</w:t>
      </w:r>
      <w:r w:rsidRPr="00A2551C" w:rsidR="00A2551C">
        <w:rPr>
          <w:lang w:val="fr-FR"/>
        </w:rPr>
        <w:t>’</w:t>
      </w:r>
      <w:r w:rsidRPr="00A2551C" w:rsidR="00DF6F9B">
        <w:rPr>
          <w:lang w:val="fr-FR"/>
        </w:rPr>
        <w:t>allégation du requérant, non contestée par le Gouvernement, que le tribunal n</w:t>
      </w:r>
      <w:r w:rsidRPr="00A2551C" w:rsidR="00A2551C">
        <w:rPr>
          <w:lang w:val="fr-FR"/>
        </w:rPr>
        <w:t>’</w:t>
      </w:r>
      <w:r w:rsidRPr="00A2551C" w:rsidR="00DF6F9B">
        <w:rPr>
          <w:lang w:val="fr-FR"/>
        </w:rPr>
        <w:t>a finalement</w:t>
      </w:r>
      <w:r w:rsidRPr="00A2551C" w:rsidR="00B13AEA">
        <w:rPr>
          <w:lang w:val="fr-FR"/>
        </w:rPr>
        <w:t xml:space="preserve"> pas</w:t>
      </w:r>
      <w:r w:rsidRPr="00A2551C" w:rsidR="00DF6F9B">
        <w:rPr>
          <w:lang w:val="fr-FR"/>
        </w:rPr>
        <w:t xml:space="preserve"> examiné ces documents en audience </w:t>
      </w:r>
      <w:r w:rsidRPr="00A2551C" w:rsidR="00A44A47">
        <w:rPr>
          <w:lang w:val="fr-FR"/>
        </w:rPr>
        <w:t xml:space="preserve">judiciaire </w:t>
      </w:r>
      <w:r w:rsidRPr="00A2551C" w:rsidR="00DF6F9B">
        <w:rPr>
          <w:lang w:val="fr-FR"/>
        </w:rPr>
        <w:t xml:space="preserve">et ne </w:t>
      </w:r>
      <w:r w:rsidRPr="00A2551C" w:rsidR="00B13AEA">
        <w:rPr>
          <w:lang w:val="fr-FR"/>
        </w:rPr>
        <w:t>s</w:t>
      </w:r>
      <w:r w:rsidRPr="00A2551C" w:rsidR="00A2551C">
        <w:rPr>
          <w:lang w:val="fr-FR"/>
        </w:rPr>
        <w:t>’</w:t>
      </w:r>
      <w:r w:rsidRPr="00A2551C" w:rsidR="00B13AEA">
        <w:rPr>
          <w:lang w:val="fr-FR"/>
        </w:rPr>
        <w:t xml:space="preserve">est pas fondé sur ceux-ci </w:t>
      </w:r>
      <w:r w:rsidRPr="00A2551C" w:rsidR="00DF6F9B">
        <w:rPr>
          <w:lang w:val="fr-FR"/>
        </w:rPr>
        <w:t>dans le jugement de condamnation de l</w:t>
      </w:r>
      <w:r w:rsidRPr="00A2551C" w:rsidR="00A2551C">
        <w:rPr>
          <w:lang w:val="fr-FR"/>
        </w:rPr>
        <w:t>’</w:t>
      </w:r>
      <w:r w:rsidRPr="00A2551C" w:rsidR="00DF6F9B">
        <w:rPr>
          <w:lang w:val="fr-FR"/>
        </w:rPr>
        <w:t>intéressé (</w:t>
      </w:r>
      <w:r w:rsidRPr="00A2551C" w:rsidR="00B725FF">
        <w:rPr>
          <w:lang w:val="fr-FR"/>
        </w:rPr>
        <w:t xml:space="preserve">paragraphe </w:t>
      </w:r>
      <w:r w:rsidRPr="00A2551C" w:rsidR="00B725FF">
        <w:rPr>
          <w:lang w:val="fr-FR"/>
        </w:rPr>
        <w:fldChar w:fldCharType="begin"/>
      </w:r>
      <w:r w:rsidRPr="00A2551C" w:rsidR="00B725FF">
        <w:rPr>
          <w:lang w:val="fr-FR"/>
        </w:rPr>
        <w:instrText xml:space="preserve"> REF A6argreq2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85</w:t>
      </w:r>
      <w:r w:rsidRPr="00A2551C" w:rsidR="00B725FF">
        <w:rPr>
          <w:lang w:val="fr-FR"/>
        </w:rPr>
        <w:fldChar w:fldCharType="end"/>
      </w:r>
      <w:r w:rsidRPr="00A2551C" w:rsidR="00B725FF">
        <w:rPr>
          <w:lang w:val="fr-FR"/>
        </w:rPr>
        <w:t xml:space="preserve"> </w:t>
      </w:r>
      <w:r w:rsidRPr="00A2551C" w:rsidR="00DF6F9B">
        <w:rPr>
          <w:lang w:val="fr-FR"/>
        </w:rPr>
        <w:t>ci</w:t>
      </w:r>
      <w:r w:rsidRPr="00A2551C" w:rsidR="00DF6F9B">
        <w:rPr>
          <w:lang w:val="fr-FR"/>
        </w:rPr>
        <w:noBreakHyphen/>
        <w:t xml:space="preserve">dessus). </w:t>
      </w:r>
      <w:r w:rsidRPr="00A2551C" w:rsidR="00182C93">
        <w:rPr>
          <w:lang w:val="fr-FR"/>
        </w:rPr>
        <w:t>E</w:t>
      </w:r>
      <w:r w:rsidRPr="00A2551C" w:rsidR="00DF6F9B">
        <w:rPr>
          <w:lang w:val="fr-FR"/>
        </w:rPr>
        <w:t>nfin, la Cour note que le tribunal de première instance n</w:t>
      </w:r>
      <w:r w:rsidRPr="00A2551C" w:rsidR="00A2551C">
        <w:rPr>
          <w:lang w:val="fr-FR"/>
        </w:rPr>
        <w:t>’</w:t>
      </w:r>
      <w:r w:rsidRPr="00A2551C" w:rsidR="00DF6F9B">
        <w:rPr>
          <w:lang w:val="fr-FR"/>
        </w:rPr>
        <w:t>a pas non plus envisagé de prendre des mesures pour limiter les effets de l</w:t>
      </w:r>
      <w:r w:rsidRPr="00A2551C" w:rsidR="00A2551C">
        <w:rPr>
          <w:lang w:val="fr-FR"/>
        </w:rPr>
        <w:t>’</w:t>
      </w:r>
      <w:r w:rsidRPr="00A2551C" w:rsidR="00DF6F9B">
        <w:rPr>
          <w:lang w:val="fr-FR"/>
        </w:rPr>
        <w:t>absence de publicité, par exemple en limitant l</w:t>
      </w:r>
      <w:r w:rsidRPr="00A2551C" w:rsidR="00A2551C">
        <w:rPr>
          <w:lang w:val="fr-FR"/>
        </w:rPr>
        <w:t>’</w:t>
      </w:r>
      <w:r w:rsidRPr="00A2551C" w:rsidR="00DF6F9B">
        <w:rPr>
          <w:lang w:val="fr-FR"/>
        </w:rPr>
        <w:t xml:space="preserve">accès </w:t>
      </w:r>
      <w:r w:rsidRPr="00A2551C" w:rsidR="00A64B48">
        <w:rPr>
          <w:lang w:val="fr-FR"/>
        </w:rPr>
        <w:t>aux</w:t>
      </w:r>
      <w:r w:rsidRPr="00A2551C" w:rsidR="00DF6F9B">
        <w:rPr>
          <w:lang w:val="fr-FR"/>
        </w:rPr>
        <w:t xml:space="preserve"> documents </w:t>
      </w:r>
      <w:r w:rsidRPr="00A2551C" w:rsidR="00A64B48">
        <w:rPr>
          <w:lang w:val="fr-FR"/>
        </w:rPr>
        <w:t xml:space="preserve">litigieux </w:t>
      </w:r>
      <w:r w:rsidRPr="00A2551C" w:rsidR="00DF6F9B">
        <w:rPr>
          <w:lang w:val="fr-FR"/>
        </w:rPr>
        <w:t>uniquement et en tenant à huis clos seulement certaines audiences</w:t>
      </w:r>
      <w:r w:rsidRPr="00A2551C" w:rsidR="00182C93">
        <w:rPr>
          <w:lang w:val="fr-FR"/>
        </w:rPr>
        <w:t xml:space="preserve">, alors que cette </w:t>
      </w:r>
      <w:r w:rsidRPr="00A2551C" w:rsidR="00C54E4B">
        <w:rPr>
          <w:lang w:val="fr-FR"/>
        </w:rPr>
        <w:t xml:space="preserve">dernière </w:t>
      </w:r>
      <w:r w:rsidRPr="00A2551C" w:rsidR="00182C93">
        <w:rPr>
          <w:lang w:val="fr-FR"/>
        </w:rPr>
        <w:t>possibilité était expressément prévue par l</w:t>
      </w:r>
      <w:r w:rsidRPr="00A2551C" w:rsidR="00A2551C">
        <w:rPr>
          <w:lang w:val="fr-FR"/>
        </w:rPr>
        <w:t>’</w:t>
      </w:r>
      <w:r w:rsidRPr="00A2551C" w:rsidR="00182C93">
        <w:rPr>
          <w:lang w:val="fr-FR"/>
        </w:rPr>
        <w:t xml:space="preserve">article 241 § 3 du CPP </w:t>
      </w:r>
      <w:r w:rsidRPr="00A2551C" w:rsidR="00DF6F9B">
        <w:rPr>
          <w:lang w:val="fr-FR"/>
        </w:rPr>
        <w:t>(</w:t>
      </w:r>
      <w:r w:rsidRPr="00A2551C" w:rsidR="00182C93">
        <w:rPr>
          <w:lang w:val="fr-FR"/>
        </w:rPr>
        <w:t xml:space="preserve">paragraphe </w:t>
      </w:r>
      <w:r w:rsidRPr="00A2551C" w:rsidR="00B725FF">
        <w:rPr>
          <w:lang w:val="fr-FR"/>
        </w:rPr>
        <w:fldChar w:fldCharType="begin"/>
      </w:r>
      <w:r w:rsidRPr="00A2551C" w:rsidR="00B725FF">
        <w:rPr>
          <w:lang w:val="fr-FR"/>
        </w:rPr>
        <w:instrText xml:space="preserve"> REF cpp241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35</w:t>
      </w:r>
      <w:r w:rsidRPr="00A2551C" w:rsidR="00B725FF">
        <w:rPr>
          <w:lang w:val="fr-FR"/>
        </w:rPr>
        <w:fldChar w:fldCharType="end"/>
      </w:r>
      <w:r w:rsidRPr="00A2551C" w:rsidR="00B725FF">
        <w:rPr>
          <w:lang w:val="fr-FR"/>
        </w:rPr>
        <w:t xml:space="preserve"> </w:t>
      </w:r>
      <w:r w:rsidRPr="00A2551C" w:rsidR="00182C93">
        <w:rPr>
          <w:lang w:val="fr-FR"/>
        </w:rPr>
        <w:t>ci</w:t>
      </w:r>
      <w:r w:rsidRPr="00A2551C" w:rsidR="00182C93">
        <w:rPr>
          <w:lang w:val="fr-FR"/>
        </w:rPr>
        <w:noBreakHyphen/>
        <w:t>dessus</w:t>
      </w:r>
      <w:r w:rsidRPr="00A2551C" w:rsidR="00C54E4B">
        <w:rPr>
          <w:lang w:val="fr-FR"/>
        </w:rPr>
        <w:t>).</w:t>
      </w:r>
      <w:r w:rsidRPr="00A2551C" w:rsidR="00DF6F9B">
        <w:rPr>
          <w:lang w:val="fr-FR"/>
        </w:rPr>
        <w:t xml:space="preserve"> </w:t>
      </w:r>
      <w:r w:rsidRPr="00A2551C" w:rsidR="00A64B48">
        <w:rPr>
          <w:lang w:val="fr-FR"/>
        </w:rPr>
        <w:t>Par conséquent, la Cour estime que l</w:t>
      </w:r>
      <w:r w:rsidRPr="00A2551C" w:rsidR="00A2551C">
        <w:rPr>
          <w:lang w:val="fr-FR"/>
        </w:rPr>
        <w:t>’</w:t>
      </w:r>
      <w:r w:rsidRPr="00A2551C" w:rsidR="00A64B48">
        <w:rPr>
          <w:lang w:val="fr-FR"/>
        </w:rPr>
        <w:t>exclusion du public du procès dirigé à l</w:t>
      </w:r>
      <w:r w:rsidRPr="00A2551C" w:rsidR="00A2551C">
        <w:rPr>
          <w:lang w:val="fr-FR"/>
        </w:rPr>
        <w:t>’</w:t>
      </w:r>
      <w:r w:rsidRPr="00A2551C" w:rsidR="00A64B48">
        <w:rPr>
          <w:lang w:val="fr-FR"/>
        </w:rPr>
        <w:t xml:space="preserve">encontre du requérant devant le tribunal de première instance ne pouvait pas passer pour </w:t>
      </w:r>
      <w:proofErr w:type="spellStart"/>
      <w:r w:rsidRPr="00A2551C" w:rsidR="00A64B48">
        <w:rPr>
          <w:lang w:val="fr-FR"/>
        </w:rPr>
        <w:t>justifiée</w:t>
      </w:r>
      <w:proofErr w:type="spellEnd"/>
      <w:r w:rsidRPr="00A2551C" w:rsidR="00A64B48">
        <w:rPr>
          <w:lang w:val="fr-FR"/>
        </w:rPr>
        <w:t xml:space="preserve"> au regard des circonstances de l</w:t>
      </w:r>
      <w:r w:rsidRPr="00A2551C" w:rsidR="00A2551C">
        <w:rPr>
          <w:lang w:val="fr-FR"/>
        </w:rPr>
        <w:t>’</w:t>
      </w:r>
      <w:r w:rsidRPr="00A2551C" w:rsidR="00A64B48">
        <w:rPr>
          <w:lang w:val="fr-FR"/>
        </w:rPr>
        <w:t>espèce.</w:t>
      </w:r>
    </w:p>
    <w:p w:rsidRPr="00A2551C" w:rsidR="00657348" w:rsidP="00A2551C" w:rsidRDefault="00C54E4B">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94</w:t>
      </w:r>
      <w:r w:rsidRPr="00A2551C">
        <w:rPr>
          <w:lang w:val="fr-FR"/>
        </w:rPr>
        <w:fldChar w:fldCharType="end"/>
      </w:r>
      <w:r w:rsidRPr="00A2551C">
        <w:rPr>
          <w:lang w:val="fr-FR"/>
        </w:rPr>
        <w:t>.  Enfin, la Cour rappelle qu</w:t>
      </w:r>
      <w:r w:rsidRPr="00A2551C" w:rsidR="00A2551C">
        <w:rPr>
          <w:lang w:val="fr-FR"/>
        </w:rPr>
        <w:t>’</w:t>
      </w:r>
      <w:r w:rsidRPr="00A2551C">
        <w:rPr>
          <w:lang w:val="fr-FR"/>
        </w:rPr>
        <w:t>une juridiction supérieure peut, dans certains cas, effacer le vice dont était entachée la procédure devant le tribunal de première instance (</w:t>
      </w:r>
      <w:proofErr w:type="spellStart"/>
      <w:r w:rsidRPr="00A2551C" w:rsidR="00634638">
        <w:rPr>
          <w:i/>
          <w:iCs/>
          <w:lang w:val="fr-FR"/>
        </w:rPr>
        <w:t>Riepan</w:t>
      </w:r>
      <w:proofErr w:type="spellEnd"/>
      <w:r w:rsidRPr="00A2551C" w:rsidR="00634638">
        <w:rPr>
          <w:i/>
          <w:iCs/>
          <w:lang w:val="fr-FR"/>
        </w:rPr>
        <w:t xml:space="preserve"> c. Autriche</w:t>
      </w:r>
      <w:r w:rsidRPr="00A2551C" w:rsidR="00634638">
        <w:rPr>
          <w:lang w:val="fr-FR"/>
        </w:rPr>
        <w:t>, n</w:t>
      </w:r>
      <w:r w:rsidRPr="00A2551C" w:rsidR="00634638">
        <w:rPr>
          <w:vertAlign w:val="superscript"/>
          <w:lang w:val="fr-FR"/>
        </w:rPr>
        <w:t>o </w:t>
      </w:r>
      <w:r w:rsidRPr="00A2551C" w:rsidR="00634638">
        <w:rPr>
          <w:lang w:val="fr-FR"/>
        </w:rPr>
        <w:t>35115/97, § 40, CEDH 2000</w:t>
      </w:r>
      <w:r w:rsidRPr="00A2551C" w:rsidR="00634638">
        <w:rPr>
          <w:lang w:val="fr-FR"/>
        </w:rPr>
        <w:noBreakHyphen/>
        <w:t>XII</w:t>
      </w:r>
      <w:r w:rsidRPr="00A2551C">
        <w:rPr>
          <w:lang w:val="fr-FR"/>
        </w:rPr>
        <w:t xml:space="preserve">). </w:t>
      </w:r>
      <w:r w:rsidRPr="00A2551C" w:rsidR="00BC40E7">
        <w:rPr>
          <w:lang w:val="fr-FR"/>
        </w:rPr>
        <w:t>Elle a notamment</w:t>
      </w:r>
      <w:r w:rsidRPr="00A2551C">
        <w:rPr>
          <w:lang w:val="fr-FR"/>
        </w:rPr>
        <w:t xml:space="preserve"> admis qu</w:t>
      </w:r>
      <w:r w:rsidRPr="00A2551C" w:rsidR="00A2551C">
        <w:rPr>
          <w:lang w:val="fr-FR"/>
        </w:rPr>
        <w:t>’</w:t>
      </w:r>
      <w:r w:rsidRPr="00A2551C">
        <w:rPr>
          <w:lang w:val="fr-FR"/>
        </w:rPr>
        <w:t>il pouvait être remédié à un défaut d</w:t>
      </w:r>
      <w:r w:rsidRPr="00A2551C" w:rsidR="00634638">
        <w:rPr>
          <w:lang w:val="fr-FR"/>
        </w:rPr>
        <w:t xml:space="preserve">e publicité </w:t>
      </w:r>
      <w:r w:rsidRPr="00A2551C">
        <w:rPr>
          <w:lang w:val="fr-FR"/>
        </w:rPr>
        <w:t>du tribunal de première instance par l</w:t>
      </w:r>
      <w:r w:rsidRPr="00A2551C" w:rsidR="00A2551C">
        <w:rPr>
          <w:lang w:val="fr-FR"/>
        </w:rPr>
        <w:t>’</w:t>
      </w:r>
      <w:r w:rsidRPr="00A2551C">
        <w:rPr>
          <w:lang w:val="fr-FR"/>
        </w:rPr>
        <w:t>instance d</w:t>
      </w:r>
      <w:r w:rsidRPr="00A2551C" w:rsidR="00A2551C">
        <w:rPr>
          <w:lang w:val="fr-FR"/>
        </w:rPr>
        <w:t>’</w:t>
      </w:r>
      <w:r w:rsidRPr="00A2551C">
        <w:rPr>
          <w:lang w:val="fr-FR"/>
        </w:rPr>
        <w:t xml:space="preserve">appel si cette dernière </w:t>
      </w:r>
      <w:r w:rsidRPr="00A2551C" w:rsidR="00634638">
        <w:rPr>
          <w:lang w:val="fr-FR"/>
        </w:rPr>
        <w:t>procédait à un</w:t>
      </w:r>
      <w:r w:rsidRPr="00A2551C" w:rsidR="00A44A47">
        <w:rPr>
          <w:lang w:val="fr-FR"/>
        </w:rPr>
        <w:t xml:space="preserve"> réexamen complet de l</w:t>
      </w:r>
      <w:r w:rsidRPr="00A2551C" w:rsidR="00A2551C">
        <w:rPr>
          <w:lang w:val="fr-FR"/>
        </w:rPr>
        <w:t>’</w:t>
      </w:r>
      <w:r w:rsidRPr="00A2551C" w:rsidR="00A44A47">
        <w:rPr>
          <w:lang w:val="fr-FR"/>
        </w:rPr>
        <w:t>affaire de sorte que l</w:t>
      </w:r>
      <w:r w:rsidRPr="00A2551C" w:rsidR="00A2551C">
        <w:rPr>
          <w:lang w:val="fr-FR"/>
        </w:rPr>
        <w:t>’</w:t>
      </w:r>
      <w:r w:rsidRPr="00A2551C" w:rsidR="00A44A47">
        <w:rPr>
          <w:lang w:val="fr-FR"/>
        </w:rPr>
        <w:t xml:space="preserve">ensemble </w:t>
      </w:r>
      <w:r w:rsidRPr="00A2551C" w:rsidR="00634638">
        <w:rPr>
          <w:lang w:val="fr-FR"/>
        </w:rPr>
        <w:t xml:space="preserve">de preuves </w:t>
      </w:r>
      <w:r w:rsidRPr="00A2551C" w:rsidR="00A44A47">
        <w:rPr>
          <w:lang w:val="fr-FR"/>
        </w:rPr>
        <w:t>soit produit</w:t>
      </w:r>
      <w:r w:rsidRPr="00A2551C" w:rsidR="00634638">
        <w:rPr>
          <w:lang w:val="fr-FR"/>
        </w:rPr>
        <w:t xml:space="preserve"> en présence de l</w:t>
      </w:r>
      <w:r w:rsidRPr="00A2551C" w:rsidR="00A2551C">
        <w:rPr>
          <w:lang w:val="fr-FR"/>
        </w:rPr>
        <w:t>’</w:t>
      </w:r>
      <w:r w:rsidRPr="00A2551C" w:rsidR="00634638">
        <w:rPr>
          <w:lang w:val="fr-FR"/>
        </w:rPr>
        <w:t>accusé, dans le cadre d</w:t>
      </w:r>
      <w:r w:rsidRPr="00A2551C" w:rsidR="00A2551C">
        <w:rPr>
          <w:lang w:val="fr-FR"/>
        </w:rPr>
        <w:t>’</w:t>
      </w:r>
      <w:r w:rsidRPr="00A2551C" w:rsidR="00634638">
        <w:rPr>
          <w:lang w:val="fr-FR"/>
        </w:rPr>
        <w:t>une audience publique et contradictoire (</w:t>
      </w:r>
      <w:proofErr w:type="spellStart"/>
      <w:r w:rsidRPr="00A2551C" w:rsidR="00634638">
        <w:rPr>
          <w:i/>
          <w:iCs/>
          <w:lang w:val="fr-FR"/>
        </w:rPr>
        <w:t>Riepan</w:t>
      </w:r>
      <w:proofErr w:type="spellEnd"/>
      <w:r w:rsidRPr="00A2551C" w:rsidR="00634638">
        <w:rPr>
          <w:lang w:val="fr-FR"/>
        </w:rPr>
        <w:t xml:space="preserve">, précité, § 41, </w:t>
      </w:r>
      <w:proofErr w:type="spellStart"/>
      <w:r w:rsidRPr="00A2551C" w:rsidR="00634638">
        <w:rPr>
          <w:i/>
          <w:lang w:val="fr-FR"/>
        </w:rPr>
        <w:t>Krestovskiy</w:t>
      </w:r>
      <w:proofErr w:type="spellEnd"/>
      <w:r w:rsidRPr="00A2551C" w:rsidR="00634638">
        <w:rPr>
          <w:i/>
          <w:lang w:val="fr-FR"/>
        </w:rPr>
        <w:t xml:space="preserve"> c. Russie</w:t>
      </w:r>
      <w:r w:rsidRPr="00A2551C" w:rsidR="00634638">
        <w:rPr>
          <w:lang w:val="fr-FR"/>
        </w:rPr>
        <w:t>, n</w:t>
      </w:r>
      <w:r w:rsidRPr="00A2551C" w:rsidR="00634638">
        <w:rPr>
          <w:vertAlign w:val="superscript"/>
          <w:lang w:val="fr-FR"/>
        </w:rPr>
        <w:t>o</w:t>
      </w:r>
      <w:r w:rsidRPr="00A2551C" w:rsidR="00EC6BDF">
        <w:rPr>
          <w:lang w:val="fr-FR"/>
        </w:rPr>
        <w:t> </w:t>
      </w:r>
      <w:r w:rsidRPr="00A2551C" w:rsidR="00634638">
        <w:rPr>
          <w:lang w:val="fr-FR"/>
        </w:rPr>
        <w:t>14040/03, §</w:t>
      </w:r>
      <w:r w:rsidRPr="00A2551C" w:rsidR="00A44A47">
        <w:rPr>
          <w:lang w:val="fr-FR"/>
        </w:rPr>
        <w:t>§</w:t>
      </w:r>
      <w:r w:rsidRPr="00A2551C" w:rsidR="005E20BE">
        <w:rPr>
          <w:lang w:val="fr-FR"/>
        </w:rPr>
        <w:t> 34</w:t>
      </w:r>
      <w:r w:rsidRPr="00A2551C" w:rsidR="00A44A47">
        <w:rPr>
          <w:lang w:val="fr-FR"/>
        </w:rPr>
        <w:noBreakHyphen/>
        <w:t>35</w:t>
      </w:r>
      <w:r w:rsidRPr="00A2551C" w:rsidR="00634638">
        <w:rPr>
          <w:lang w:val="fr-FR"/>
        </w:rPr>
        <w:t>, 28 octobre 2010</w:t>
      </w:r>
      <w:r w:rsidRPr="00A2551C" w:rsidR="00A44A47">
        <w:rPr>
          <w:lang w:val="fr-FR"/>
        </w:rPr>
        <w:t xml:space="preserve">, </w:t>
      </w:r>
      <w:r w:rsidRPr="00A2551C" w:rsidR="00BC40E7">
        <w:rPr>
          <w:lang w:val="fr-FR"/>
        </w:rPr>
        <w:t xml:space="preserve">et </w:t>
      </w:r>
      <w:proofErr w:type="spellStart"/>
      <w:r w:rsidRPr="00A2551C" w:rsidR="00A44A47">
        <w:rPr>
          <w:i/>
          <w:lang w:val="fr-FR"/>
        </w:rPr>
        <w:t>Sheynoyev</w:t>
      </w:r>
      <w:proofErr w:type="spellEnd"/>
      <w:r w:rsidRPr="00A2551C" w:rsidR="00A44A47">
        <w:rPr>
          <w:lang w:val="fr-FR"/>
        </w:rPr>
        <w:t>, précité, § 15</w:t>
      </w:r>
      <w:r w:rsidRPr="00A2551C">
        <w:rPr>
          <w:lang w:val="fr-FR"/>
        </w:rPr>
        <w:t xml:space="preserve">). Or </w:t>
      </w:r>
      <w:r w:rsidRPr="00A2551C" w:rsidR="00A44A47">
        <w:rPr>
          <w:lang w:val="fr-FR"/>
        </w:rPr>
        <w:t xml:space="preserve">la Cour suprême de la Fédération de Russie </w:t>
      </w:r>
      <w:r w:rsidRPr="00A2551C" w:rsidR="00A64B48">
        <w:rPr>
          <w:lang w:val="fr-FR"/>
        </w:rPr>
        <w:t>n</w:t>
      </w:r>
      <w:r w:rsidRPr="00A2551C" w:rsidR="00A2551C">
        <w:rPr>
          <w:lang w:val="fr-FR"/>
        </w:rPr>
        <w:t>’</w:t>
      </w:r>
      <w:r w:rsidRPr="00A2551C" w:rsidR="00A64B48">
        <w:rPr>
          <w:lang w:val="fr-FR"/>
        </w:rPr>
        <w:t>a pas procédé à un tel réexamen et n</w:t>
      </w:r>
      <w:r w:rsidRPr="00A2551C" w:rsidR="00A2551C">
        <w:rPr>
          <w:lang w:val="fr-FR"/>
        </w:rPr>
        <w:t>’</w:t>
      </w:r>
      <w:r w:rsidRPr="00A2551C" w:rsidR="00A64B48">
        <w:rPr>
          <w:lang w:val="fr-FR"/>
        </w:rPr>
        <w:t xml:space="preserve">a donc pas remédié </w:t>
      </w:r>
      <w:r w:rsidRPr="00A2551C">
        <w:rPr>
          <w:lang w:val="fr-FR"/>
        </w:rPr>
        <w:t>au défaut</w:t>
      </w:r>
      <w:r w:rsidRPr="00A2551C" w:rsidR="00A64B48">
        <w:rPr>
          <w:lang w:val="fr-FR"/>
        </w:rPr>
        <w:t xml:space="preserve"> de publicité </w:t>
      </w:r>
      <w:r w:rsidRPr="00A2551C" w:rsidR="005E0D7F">
        <w:rPr>
          <w:lang w:val="fr-FR"/>
        </w:rPr>
        <w:t xml:space="preserve">du procès pénal </w:t>
      </w:r>
      <w:r w:rsidRPr="00A2551C" w:rsidR="00A64B48">
        <w:rPr>
          <w:lang w:val="fr-FR"/>
        </w:rPr>
        <w:t>devant le tribunal de première instance</w:t>
      </w:r>
      <w:r w:rsidRPr="00A2551C">
        <w:rPr>
          <w:lang w:val="fr-FR"/>
        </w:rPr>
        <w:t>.</w:t>
      </w:r>
    </w:p>
    <w:p w:rsidRPr="00A2551C" w:rsidR="0076324D" w:rsidP="00A2551C" w:rsidRDefault="00A64B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95</w:t>
      </w:r>
      <w:r w:rsidRPr="00A2551C">
        <w:rPr>
          <w:lang w:val="fr-FR"/>
        </w:rPr>
        <w:fldChar w:fldCharType="end"/>
      </w:r>
      <w:r w:rsidRPr="00A2551C">
        <w:rPr>
          <w:lang w:val="fr-FR"/>
        </w:rPr>
        <w:t>.  Partant, il y a eu violation de l</w:t>
      </w:r>
      <w:r w:rsidRPr="00A2551C" w:rsidR="00A2551C">
        <w:rPr>
          <w:lang w:val="fr-FR"/>
        </w:rPr>
        <w:t>’</w:t>
      </w:r>
      <w:r w:rsidRPr="00A2551C">
        <w:rPr>
          <w:lang w:val="fr-FR"/>
        </w:rPr>
        <w:t>article 6 § 1 de la Convention.</w:t>
      </w:r>
    </w:p>
    <w:p w:rsidRPr="00A2551C" w:rsidR="00E77CB3" w:rsidP="00A2551C" w:rsidRDefault="00657348">
      <w:pPr>
        <w:pStyle w:val="ECHRHeading1"/>
        <w:rPr>
          <w:lang w:val="fr-FR"/>
        </w:rPr>
      </w:pPr>
      <w:r w:rsidRPr="00A2551C">
        <w:rPr>
          <w:lang w:val="fr-FR"/>
        </w:rPr>
        <w:t>IV</w:t>
      </w:r>
      <w:r w:rsidRPr="00A2551C" w:rsidR="00E77CB3">
        <w:rPr>
          <w:lang w:val="fr-FR"/>
        </w:rPr>
        <w:t>.  SUR LA VIOLATION ALLÉGUÉE DE L</w:t>
      </w:r>
      <w:r w:rsidRPr="00A2551C" w:rsidR="00A2551C">
        <w:rPr>
          <w:lang w:val="fr-FR"/>
        </w:rPr>
        <w:t>’</w:t>
      </w:r>
      <w:r w:rsidRPr="00A2551C" w:rsidR="00E77CB3">
        <w:rPr>
          <w:lang w:val="fr-FR"/>
        </w:rPr>
        <w:t xml:space="preserve">ARTICLE </w:t>
      </w:r>
      <w:r w:rsidRPr="00A2551C" w:rsidR="00146316">
        <w:rPr>
          <w:lang w:val="fr-FR"/>
        </w:rPr>
        <w:t>8</w:t>
      </w:r>
      <w:r w:rsidRPr="00A2551C" w:rsidR="00E77CB3">
        <w:rPr>
          <w:lang w:val="fr-FR"/>
        </w:rPr>
        <w:t xml:space="preserve"> DE LA CONVENTION</w:t>
      </w:r>
    </w:p>
    <w:p w:rsidRPr="00A2551C" w:rsidR="0014248D"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96</w:t>
      </w:r>
      <w:r w:rsidRPr="00A2551C">
        <w:rPr>
          <w:lang w:val="fr-FR"/>
        </w:rPr>
        <w:fldChar w:fldCharType="end"/>
      </w:r>
      <w:r w:rsidRPr="00A2551C" w:rsidR="00E77CB3">
        <w:rPr>
          <w:lang w:val="fr-FR"/>
        </w:rPr>
        <w:t>.  </w:t>
      </w:r>
      <w:r w:rsidRPr="00A2551C">
        <w:rPr>
          <w:lang w:val="fr-FR"/>
        </w:rPr>
        <w:t>Le requérant se plaint</w:t>
      </w:r>
      <w:r w:rsidRPr="00A2551C" w:rsidR="00E77CB3">
        <w:rPr>
          <w:lang w:val="fr-FR"/>
        </w:rPr>
        <w:t xml:space="preserve"> également </w:t>
      </w:r>
      <w:r w:rsidRPr="00A2551C" w:rsidR="00146316">
        <w:rPr>
          <w:lang w:val="fr-FR"/>
        </w:rPr>
        <w:t>d</w:t>
      </w:r>
      <w:r w:rsidRPr="00A2551C" w:rsidR="00A2551C">
        <w:rPr>
          <w:lang w:val="fr-FR"/>
        </w:rPr>
        <w:t>’</w:t>
      </w:r>
      <w:r w:rsidRPr="00A2551C" w:rsidR="00146316">
        <w:rPr>
          <w:lang w:val="fr-FR"/>
        </w:rPr>
        <w:t xml:space="preserve">une violation de son droit au respect de sa vie privée et familiale en raison du nombre limité de visites </w:t>
      </w:r>
      <w:r w:rsidRPr="00A2551C" w:rsidR="00BC40E7">
        <w:rPr>
          <w:lang w:val="fr-FR"/>
        </w:rPr>
        <w:t>qu</w:t>
      </w:r>
      <w:r w:rsidRPr="00A2551C" w:rsidR="00A2551C">
        <w:rPr>
          <w:lang w:val="fr-FR"/>
        </w:rPr>
        <w:t>’</w:t>
      </w:r>
      <w:r w:rsidRPr="00A2551C" w:rsidR="00BC40E7">
        <w:rPr>
          <w:lang w:val="fr-FR"/>
        </w:rPr>
        <w:t>il aurait reçues</w:t>
      </w:r>
      <w:r w:rsidRPr="00A2551C" w:rsidR="00146316">
        <w:rPr>
          <w:lang w:val="fr-FR"/>
        </w:rPr>
        <w:t xml:space="preserve"> dans la colonie pénitentiaire, de l</w:t>
      </w:r>
      <w:r w:rsidRPr="00A2551C" w:rsidR="00A2551C">
        <w:rPr>
          <w:lang w:val="fr-FR"/>
        </w:rPr>
        <w:t>’</w:t>
      </w:r>
      <w:r w:rsidRPr="00A2551C" w:rsidR="00146316">
        <w:rPr>
          <w:lang w:val="fr-FR"/>
        </w:rPr>
        <w:t>interdiction qui lui aurait été faite de téléphoner à ses proches ainsi que des modalités des visites en question</w:t>
      </w:r>
      <w:r w:rsidRPr="00A2551C" w:rsidR="008D370F">
        <w:rPr>
          <w:lang w:val="fr-FR"/>
        </w:rPr>
        <w:t>. Il dénonce à cet égard</w:t>
      </w:r>
      <w:r w:rsidRPr="00A2551C" w:rsidR="00BC40E7">
        <w:rPr>
          <w:lang w:val="fr-FR"/>
        </w:rPr>
        <w:t xml:space="preserve"> </w:t>
      </w:r>
      <w:r w:rsidRPr="00A2551C" w:rsidR="008D370F">
        <w:rPr>
          <w:lang w:val="fr-FR"/>
        </w:rPr>
        <w:t>l</w:t>
      </w:r>
      <w:r w:rsidRPr="00A2551C" w:rsidR="00A2551C">
        <w:rPr>
          <w:lang w:val="fr-FR"/>
        </w:rPr>
        <w:t>’</w:t>
      </w:r>
      <w:r w:rsidRPr="00A2551C" w:rsidR="008D370F">
        <w:rPr>
          <w:lang w:val="fr-FR"/>
        </w:rPr>
        <w:t xml:space="preserve">impossibilité </w:t>
      </w:r>
      <w:r w:rsidRPr="00A2551C" w:rsidR="00146316">
        <w:rPr>
          <w:lang w:val="fr-FR"/>
        </w:rPr>
        <w:t>d</w:t>
      </w:r>
      <w:r w:rsidRPr="00A2551C" w:rsidR="00A2551C">
        <w:rPr>
          <w:lang w:val="fr-FR"/>
        </w:rPr>
        <w:t>’</w:t>
      </w:r>
      <w:r w:rsidRPr="00A2551C" w:rsidR="00146316">
        <w:rPr>
          <w:lang w:val="fr-FR"/>
        </w:rPr>
        <w:t>avoir des contacts physiques avec ses proches</w:t>
      </w:r>
      <w:r w:rsidRPr="00A2551C" w:rsidR="00B75087">
        <w:rPr>
          <w:lang w:val="fr-FR"/>
        </w:rPr>
        <w:t xml:space="preserve"> et </w:t>
      </w:r>
      <w:r w:rsidRPr="00A2551C" w:rsidR="008D370F">
        <w:rPr>
          <w:lang w:val="fr-FR"/>
        </w:rPr>
        <w:t>l</w:t>
      </w:r>
      <w:r w:rsidRPr="00A2551C" w:rsidR="00A2551C">
        <w:rPr>
          <w:lang w:val="fr-FR"/>
        </w:rPr>
        <w:t>’</w:t>
      </w:r>
      <w:r w:rsidRPr="00A2551C" w:rsidR="008D370F">
        <w:rPr>
          <w:lang w:val="fr-FR"/>
        </w:rPr>
        <w:t>absence</w:t>
      </w:r>
      <w:r w:rsidRPr="00A2551C" w:rsidR="00B75087">
        <w:rPr>
          <w:lang w:val="fr-FR"/>
        </w:rPr>
        <w:t xml:space="preserve"> d</w:t>
      </w:r>
      <w:r w:rsidRPr="00A2551C" w:rsidR="00A2551C">
        <w:rPr>
          <w:lang w:val="fr-FR"/>
        </w:rPr>
        <w:t>’</w:t>
      </w:r>
      <w:r w:rsidRPr="00A2551C" w:rsidR="00B75087">
        <w:rPr>
          <w:lang w:val="fr-FR"/>
        </w:rPr>
        <w:t>intimité</w:t>
      </w:r>
      <w:r w:rsidRPr="00A2551C" w:rsidR="00146316">
        <w:rPr>
          <w:lang w:val="fr-FR"/>
        </w:rPr>
        <w:t xml:space="preserve">. </w:t>
      </w:r>
      <w:r w:rsidRPr="00A2551C" w:rsidR="00EF52F0">
        <w:rPr>
          <w:lang w:val="fr-FR"/>
        </w:rPr>
        <w:t>I</w:t>
      </w:r>
      <w:r w:rsidRPr="00A2551C" w:rsidR="00146316">
        <w:rPr>
          <w:lang w:val="fr-FR"/>
        </w:rPr>
        <w:t xml:space="preserve">l </w:t>
      </w:r>
      <w:r w:rsidRPr="00A2551C" w:rsidR="008D370F">
        <w:rPr>
          <w:lang w:val="fr-FR"/>
        </w:rPr>
        <w:t xml:space="preserve">se plaint </w:t>
      </w:r>
      <w:r w:rsidRPr="00A2551C" w:rsidR="00EF52F0">
        <w:rPr>
          <w:lang w:val="fr-FR"/>
        </w:rPr>
        <w:t xml:space="preserve">en outre </w:t>
      </w:r>
      <w:r w:rsidRPr="00A2551C" w:rsidR="008D370F">
        <w:rPr>
          <w:lang w:val="fr-FR"/>
        </w:rPr>
        <w:t>d</w:t>
      </w:r>
      <w:r w:rsidRPr="00A2551C" w:rsidR="00A2551C">
        <w:rPr>
          <w:lang w:val="fr-FR"/>
        </w:rPr>
        <w:t>’</w:t>
      </w:r>
      <w:r w:rsidRPr="00A2551C" w:rsidR="00146316">
        <w:rPr>
          <w:lang w:val="fr-FR"/>
        </w:rPr>
        <w:t>une violation de son droit au respect de sa vie privée en raison de la présence de dispositifs de vidéosurveillance dans la cellule qu</w:t>
      </w:r>
      <w:r w:rsidRPr="00A2551C" w:rsidR="00A2551C">
        <w:rPr>
          <w:lang w:val="fr-FR"/>
        </w:rPr>
        <w:t>’</w:t>
      </w:r>
      <w:r w:rsidRPr="00A2551C" w:rsidR="00146316">
        <w:rPr>
          <w:lang w:val="fr-FR"/>
        </w:rPr>
        <w:t>il occupait dans la colonie pénitentiaire.</w:t>
      </w:r>
      <w:r w:rsidRPr="00A2551C" w:rsidR="00657348">
        <w:rPr>
          <w:lang w:val="fr-FR"/>
        </w:rPr>
        <w:t xml:space="preserve"> Il invoque</w:t>
      </w:r>
      <w:r w:rsidRPr="00A2551C" w:rsidR="00EF52F0">
        <w:rPr>
          <w:lang w:val="fr-FR"/>
        </w:rPr>
        <w:t xml:space="preserve"> l</w:t>
      </w:r>
      <w:r w:rsidRPr="00A2551C" w:rsidR="00A2551C">
        <w:rPr>
          <w:lang w:val="fr-FR"/>
        </w:rPr>
        <w:t>’</w:t>
      </w:r>
      <w:r w:rsidRPr="00A2551C" w:rsidR="00657348">
        <w:rPr>
          <w:lang w:val="fr-FR"/>
        </w:rPr>
        <w:t>article 8 de la Convention, ainsi libellé :</w:t>
      </w:r>
    </w:p>
    <w:p w:rsidRPr="00A2551C" w:rsidR="00657348" w:rsidP="00A2551C" w:rsidRDefault="00657348">
      <w:pPr>
        <w:pStyle w:val="ECHRParaQuote"/>
        <w:rPr>
          <w:lang w:val="fr-FR"/>
        </w:rPr>
      </w:pPr>
      <w:r w:rsidRPr="00A2551C">
        <w:rPr>
          <w:lang w:val="fr-FR"/>
        </w:rPr>
        <w:t>« 1.  Toute personne a droit au respect de sa vie privée et familiale, de son domicile et de sa correspondance.</w:t>
      </w:r>
    </w:p>
    <w:p w:rsidRPr="00A2551C" w:rsidR="00657348" w:rsidP="00A2551C" w:rsidRDefault="00657348">
      <w:pPr>
        <w:pStyle w:val="ECHRParaQuote"/>
        <w:rPr>
          <w:lang w:val="fr-FR"/>
        </w:rPr>
      </w:pPr>
      <w:r w:rsidRPr="00A2551C">
        <w:rPr>
          <w:lang w:val="fr-FR"/>
        </w:rPr>
        <w:t>2.  Il ne peut y avoir ingérence d</w:t>
      </w:r>
      <w:r w:rsidRPr="00A2551C" w:rsidR="00A2551C">
        <w:rPr>
          <w:lang w:val="fr-FR"/>
        </w:rPr>
        <w:t>’</w:t>
      </w:r>
      <w:r w:rsidRPr="00A2551C">
        <w:rPr>
          <w:lang w:val="fr-FR"/>
        </w:rPr>
        <w:t>une autorité publique dans l</w:t>
      </w:r>
      <w:r w:rsidRPr="00A2551C" w:rsidR="00A2551C">
        <w:rPr>
          <w:lang w:val="fr-FR"/>
        </w:rPr>
        <w:t>’</w:t>
      </w:r>
      <w:r w:rsidRPr="00A2551C">
        <w:rPr>
          <w:lang w:val="fr-FR"/>
        </w:rPr>
        <w:t>exercice de ce droit que pour autant que cette ingérence est prévue par la loi et qu</w:t>
      </w:r>
      <w:r w:rsidRPr="00A2551C" w:rsidR="00A2551C">
        <w:rPr>
          <w:lang w:val="fr-FR"/>
        </w:rPr>
        <w:t>’</w:t>
      </w:r>
      <w:r w:rsidRPr="00A2551C">
        <w:rPr>
          <w:lang w:val="fr-FR"/>
        </w:rPr>
        <w:t>elle constitue une mesure qui, dans une société démocratique, est nécessaire à la sécurité nationale, à la sûreté publique, au bien</w:t>
      </w:r>
      <w:r w:rsidRPr="00A2551C">
        <w:rPr>
          <w:lang w:val="fr-FR"/>
        </w:rPr>
        <w:noBreakHyphen/>
        <w:t>être économique du pays, à la défense de l</w:t>
      </w:r>
      <w:r w:rsidRPr="00A2551C" w:rsidR="00A2551C">
        <w:rPr>
          <w:lang w:val="fr-FR"/>
        </w:rPr>
        <w:t>’</w:t>
      </w:r>
      <w:r w:rsidRPr="00A2551C">
        <w:rPr>
          <w:lang w:val="fr-FR"/>
        </w:rPr>
        <w:t>ordre et à la prévention des infractions pénales, à la protection de la santé ou de la morale, ou à la protection des droits et libertés d</w:t>
      </w:r>
      <w:r w:rsidRPr="00A2551C" w:rsidR="00A2551C">
        <w:rPr>
          <w:lang w:val="fr-FR"/>
        </w:rPr>
        <w:t>’</w:t>
      </w:r>
      <w:r w:rsidRPr="00A2551C">
        <w:rPr>
          <w:lang w:val="fr-FR"/>
        </w:rPr>
        <w:t>autrui. »</w:t>
      </w:r>
    </w:p>
    <w:p w:rsidRPr="00A2551C" w:rsidR="0014248D" w:rsidP="00A2551C" w:rsidRDefault="00657348">
      <w:pPr>
        <w:pStyle w:val="ECHRHeading2"/>
        <w:rPr>
          <w:lang w:val="fr-FR"/>
        </w:rPr>
      </w:pPr>
      <w:r w:rsidRPr="00A2551C">
        <w:rPr>
          <w:lang w:val="fr-FR"/>
        </w:rPr>
        <w:t>A.  </w:t>
      </w:r>
      <w:r w:rsidRPr="00A2551C" w:rsidR="00E82109">
        <w:rPr>
          <w:lang w:val="fr-FR"/>
        </w:rPr>
        <w:t>Sur l</w:t>
      </w:r>
      <w:r w:rsidRPr="00A2551C" w:rsidR="00A2551C">
        <w:rPr>
          <w:lang w:val="fr-FR"/>
        </w:rPr>
        <w:t>’</w:t>
      </w:r>
      <w:r w:rsidRPr="00A2551C" w:rsidR="00E82109">
        <w:rPr>
          <w:lang w:val="fr-FR"/>
        </w:rPr>
        <w:t>aspect du grief relatif à l</w:t>
      </w:r>
      <w:r w:rsidRPr="00A2551C" w:rsidR="00A2551C">
        <w:rPr>
          <w:lang w:val="fr-FR"/>
        </w:rPr>
        <w:t>’</w:t>
      </w:r>
      <w:r w:rsidRPr="00A2551C" w:rsidR="00E82109">
        <w:rPr>
          <w:lang w:val="fr-FR"/>
        </w:rPr>
        <w:t>exercice par le requérant du droit de recevoir des visites au s</w:t>
      </w:r>
      <w:r w:rsidRPr="00A2551C" w:rsidR="00112868">
        <w:rPr>
          <w:lang w:val="fr-FR"/>
        </w:rPr>
        <w:t>ein de la colonie pénitentiaire</w:t>
      </w:r>
    </w:p>
    <w:p w:rsidRPr="00A2551C" w:rsidR="00657348" w:rsidP="00A2551C" w:rsidRDefault="00657348">
      <w:pPr>
        <w:pStyle w:val="ECHRHeading3"/>
        <w:rPr>
          <w:lang w:val="fr-FR"/>
        </w:rPr>
      </w:pPr>
      <w:r w:rsidRPr="00A2551C">
        <w:rPr>
          <w:lang w:val="fr-FR"/>
        </w:rPr>
        <w:t>1. </w:t>
      </w:r>
      <w:r w:rsidRPr="00A2551C" w:rsidR="00E67801">
        <w:rPr>
          <w:lang w:val="fr-FR"/>
        </w:rPr>
        <w:t> </w:t>
      </w:r>
      <w:r w:rsidRPr="00A2551C">
        <w:rPr>
          <w:lang w:val="fr-FR"/>
        </w:rPr>
        <w:t>Thèses des parties</w:t>
      </w:r>
    </w:p>
    <w:p w:rsidRPr="00A2551C" w:rsidR="001D41B9" w:rsidP="00A2551C" w:rsidRDefault="001D41B9">
      <w:pPr>
        <w:pStyle w:val="ECHRHeading4"/>
        <w:rPr>
          <w:lang w:val="fr-FR"/>
        </w:rPr>
      </w:pPr>
      <w:r w:rsidRPr="00A2551C">
        <w:rPr>
          <w:lang w:val="fr-FR"/>
        </w:rPr>
        <w:t>a)  Le Gouvernement</w:t>
      </w:r>
    </w:p>
    <w:p w:rsidRPr="00A2551C" w:rsidR="00705877" w:rsidP="00A2551C" w:rsidRDefault="0070587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97</w:t>
      </w:r>
      <w:r w:rsidRPr="00A2551C">
        <w:rPr>
          <w:lang w:val="fr-FR"/>
        </w:rPr>
        <w:fldChar w:fldCharType="end"/>
      </w:r>
      <w:r w:rsidRPr="00A2551C">
        <w:rPr>
          <w:lang w:val="fr-FR"/>
        </w:rPr>
        <w:t>.  </w:t>
      </w:r>
      <w:r w:rsidRPr="00A2551C" w:rsidR="00BD25D6">
        <w:rPr>
          <w:lang w:val="fr-FR"/>
        </w:rPr>
        <w:t>L</w:t>
      </w:r>
      <w:r w:rsidRPr="00A2551C">
        <w:rPr>
          <w:lang w:val="fr-FR"/>
        </w:rPr>
        <w:t>e Gouvernement soutient que</w:t>
      </w:r>
      <w:r w:rsidRPr="00A2551C" w:rsidR="0004191F">
        <w:rPr>
          <w:lang w:val="fr-FR"/>
        </w:rPr>
        <w:t>,</w:t>
      </w:r>
      <w:r w:rsidRPr="00A2551C">
        <w:rPr>
          <w:lang w:val="fr-FR"/>
        </w:rPr>
        <w:t xml:space="preserve"> pendant la période </w:t>
      </w:r>
      <w:r w:rsidRPr="00A2551C" w:rsidR="00BD25D6">
        <w:rPr>
          <w:lang w:val="fr-FR"/>
        </w:rPr>
        <w:t>de détention du requérant au sein de la colonie pénitentiaire</w:t>
      </w:r>
      <w:r w:rsidRPr="00A2551C" w:rsidR="0004191F">
        <w:rPr>
          <w:lang w:val="fr-FR"/>
        </w:rPr>
        <w:t>,</w:t>
      </w:r>
      <w:r w:rsidRPr="00A2551C" w:rsidR="00BD25D6">
        <w:rPr>
          <w:lang w:val="fr-FR"/>
        </w:rPr>
        <w:t xml:space="preserve"> </w:t>
      </w:r>
      <w:r w:rsidRPr="00A2551C" w:rsidR="0004191F">
        <w:rPr>
          <w:lang w:val="fr-FR"/>
        </w:rPr>
        <w:t>celui-ci a</w:t>
      </w:r>
      <w:r w:rsidRPr="00A2551C">
        <w:rPr>
          <w:lang w:val="fr-FR"/>
        </w:rPr>
        <w:t xml:space="preserve"> bénéficié de </w:t>
      </w:r>
      <w:r w:rsidRPr="00A2551C" w:rsidR="008D370F">
        <w:rPr>
          <w:lang w:val="fr-FR"/>
        </w:rPr>
        <w:t>111 </w:t>
      </w:r>
      <w:r w:rsidRPr="00A2551C">
        <w:rPr>
          <w:lang w:val="fr-FR"/>
        </w:rPr>
        <w:t xml:space="preserve">visites de ses avocats et de ses proches. </w:t>
      </w:r>
      <w:r w:rsidRPr="00A2551C" w:rsidR="0064201F">
        <w:rPr>
          <w:lang w:val="fr-FR"/>
        </w:rPr>
        <w:t xml:space="preserve">Eu égard à ces données, </w:t>
      </w:r>
      <w:r w:rsidRPr="00A2551C" w:rsidR="008D370F">
        <w:rPr>
          <w:lang w:val="fr-FR"/>
        </w:rPr>
        <w:t>il</w:t>
      </w:r>
      <w:r w:rsidRPr="00A2551C" w:rsidR="0064201F">
        <w:rPr>
          <w:lang w:val="fr-FR"/>
        </w:rPr>
        <w:t xml:space="preserve"> allègue que le grief du requérant est dénué de fondement.</w:t>
      </w:r>
    </w:p>
    <w:p w:rsidRPr="00A2551C" w:rsidR="00705877" w:rsidP="00A2551C" w:rsidRDefault="0070587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98</w:t>
      </w:r>
      <w:r w:rsidRPr="00A2551C">
        <w:rPr>
          <w:lang w:val="fr-FR"/>
        </w:rPr>
        <w:fldChar w:fldCharType="end"/>
      </w:r>
      <w:r w:rsidRPr="00A2551C">
        <w:rPr>
          <w:lang w:val="fr-FR"/>
        </w:rPr>
        <w:t>.  </w:t>
      </w:r>
      <w:r w:rsidRPr="00A2551C" w:rsidR="0004191F">
        <w:rPr>
          <w:lang w:val="fr-FR"/>
        </w:rPr>
        <w:t>À</w:t>
      </w:r>
      <w:r w:rsidRPr="00A2551C">
        <w:rPr>
          <w:lang w:val="fr-FR"/>
        </w:rPr>
        <w:t xml:space="preserve"> l</w:t>
      </w:r>
      <w:r w:rsidRPr="00A2551C" w:rsidR="00A2551C">
        <w:rPr>
          <w:lang w:val="fr-FR"/>
        </w:rPr>
        <w:t>’</w:t>
      </w:r>
      <w:r w:rsidRPr="00A2551C">
        <w:rPr>
          <w:lang w:val="fr-FR"/>
        </w:rPr>
        <w:t>appui de sa thèse, le Gouvernement a soumis diverses attestations établies le 14 mars 2017 par l</w:t>
      </w:r>
      <w:r w:rsidRPr="00A2551C" w:rsidR="00A2551C">
        <w:rPr>
          <w:lang w:val="fr-FR"/>
        </w:rPr>
        <w:t>’</w:t>
      </w:r>
      <w:r w:rsidRPr="00A2551C">
        <w:rPr>
          <w:lang w:val="fr-FR"/>
        </w:rPr>
        <w:t>administration de la colonie pénitentiaire</w:t>
      </w:r>
      <w:r w:rsidRPr="00A2551C" w:rsidR="00BD25D6">
        <w:rPr>
          <w:lang w:val="fr-FR"/>
        </w:rPr>
        <w:t xml:space="preserve"> en question</w:t>
      </w:r>
      <w:r w:rsidRPr="00A2551C">
        <w:rPr>
          <w:lang w:val="fr-FR"/>
        </w:rPr>
        <w:t>. Il ressort de ces attestations que</w:t>
      </w:r>
      <w:r w:rsidRPr="00A2551C" w:rsidR="0004191F">
        <w:rPr>
          <w:lang w:val="fr-FR"/>
        </w:rPr>
        <w:t>,</w:t>
      </w:r>
      <w:r w:rsidRPr="00A2551C">
        <w:rPr>
          <w:lang w:val="fr-FR"/>
        </w:rPr>
        <w:t xml:space="preserve"> pendant la période du </w:t>
      </w:r>
      <w:r w:rsidRPr="00A2551C" w:rsidR="00BD25D6">
        <w:rPr>
          <w:lang w:val="fr-FR"/>
        </w:rPr>
        <w:t>6</w:t>
      </w:r>
      <w:r w:rsidRPr="00A2551C">
        <w:rPr>
          <w:lang w:val="fr-FR"/>
        </w:rPr>
        <w:t xml:space="preserve"> novembre 2011 au 2</w:t>
      </w:r>
      <w:r w:rsidRPr="00A2551C" w:rsidR="00BD25D6">
        <w:rPr>
          <w:lang w:val="fr-FR"/>
        </w:rPr>
        <w:t>5</w:t>
      </w:r>
      <w:r w:rsidRPr="00A2551C">
        <w:rPr>
          <w:lang w:val="fr-FR"/>
        </w:rPr>
        <w:t xml:space="preserve"> novembre 2013</w:t>
      </w:r>
      <w:r w:rsidRPr="00A2551C" w:rsidR="008D370F">
        <w:rPr>
          <w:lang w:val="fr-FR"/>
        </w:rPr>
        <w:t>,</w:t>
      </w:r>
      <w:r w:rsidRPr="00A2551C">
        <w:rPr>
          <w:lang w:val="fr-FR"/>
        </w:rPr>
        <w:t xml:space="preserve"> le requérant :</w:t>
      </w:r>
    </w:p>
    <w:p w:rsidRPr="00A2551C" w:rsidR="00264B8E" w:rsidP="00A2551C" w:rsidRDefault="0004191F">
      <w:pPr>
        <w:pStyle w:val="ECHRPara"/>
        <w:rPr>
          <w:lang w:val="fr-FR"/>
        </w:rPr>
      </w:pPr>
      <w:r w:rsidRPr="00A2551C">
        <w:rPr>
          <w:lang w:val="fr-FR"/>
        </w:rPr>
        <w:t>–  </w:t>
      </w:r>
      <w:r w:rsidRPr="00A2551C" w:rsidR="00264B8E">
        <w:rPr>
          <w:lang w:val="fr-FR"/>
        </w:rPr>
        <w:t xml:space="preserve">a obtenu </w:t>
      </w:r>
      <w:r w:rsidRPr="00A2551C" w:rsidR="00705877">
        <w:rPr>
          <w:lang w:val="fr-FR"/>
        </w:rPr>
        <w:t xml:space="preserve">quatre visites </w:t>
      </w:r>
      <w:r w:rsidRPr="00A2551C" w:rsidR="00264B8E">
        <w:rPr>
          <w:lang w:val="fr-FR"/>
        </w:rPr>
        <w:t>courtes de ses proches</w:t>
      </w:r>
      <w:r w:rsidRPr="00A2551C">
        <w:rPr>
          <w:lang w:val="fr-FR"/>
        </w:rPr>
        <w:t>,</w:t>
      </w:r>
      <w:r w:rsidRPr="00A2551C" w:rsidR="00264B8E">
        <w:rPr>
          <w:lang w:val="fr-FR"/>
        </w:rPr>
        <w:t xml:space="preserve"> de quatre heures chacune, </w:t>
      </w:r>
      <w:r w:rsidRPr="00A2551C">
        <w:rPr>
          <w:lang w:val="fr-FR"/>
        </w:rPr>
        <w:t xml:space="preserve">ses parents </w:t>
      </w:r>
      <w:r w:rsidRPr="00A2551C" w:rsidR="008D370F">
        <w:rPr>
          <w:lang w:val="fr-FR"/>
        </w:rPr>
        <w:t xml:space="preserve">lui ayant rendu visite </w:t>
      </w:r>
      <w:r w:rsidRPr="00A2551C" w:rsidR="00264B8E">
        <w:rPr>
          <w:lang w:val="fr-FR"/>
        </w:rPr>
        <w:t>le 3 février 2012</w:t>
      </w:r>
      <w:r w:rsidRPr="00A2551C">
        <w:rPr>
          <w:lang w:val="fr-FR"/>
        </w:rPr>
        <w:t xml:space="preserve"> et</w:t>
      </w:r>
      <w:r w:rsidRPr="00A2551C" w:rsidR="00264B8E">
        <w:rPr>
          <w:lang w:val="fr-FR"/>
        </w:rPr>
        <w:t xml:space="preserve"> </w:t>
      </w:r>
      <w:r w:rsidRPr="00A2551C">
        <w:rPr>
          <w:lang w:val="fr-FR"/>
        </w:rPr>
        <w:t xml:space="preserve">les </w:t>
      </w:r>
      <w:r w:rsidRPr="00A2551C" w:rsidR="00264B8E">
        <w:rPr>
          <w:lang w:val="fr-FR"/>
        </w:rPr>
        <w:t>9 mars et 9</w:t>
      </w:r>
      <w:r w:rsidRPr="00A2551C">
        <w:rPr>
          <w:lang w:val="fr-FR"/>
        </w:rPr>
        <w:t> </w:t>
      </w:r>
      <w:r w:rsidRPr="00A2551C" w:rsidR="00264B8E">
        <w:rPr>
          <w:lang w:val="fr-FR"/>
        </w:rPr>
        <w:t>septembre 2013</w:t>
      </w:r>
      <w:r w:rsidRPr="00A2551C">
        <w:rPr>
          <w:lang w:val="fr-FR"/>
        </w:rPr>
        <w:t xml:space="preserve"> et sa mère et sa belle-mère</w:t>
      </w:r>
      <w:r w:rsidRPr="00A2551C" w:rsidR="00264B8E">
        <w:rPr>
          <w:lang w:val="fr-FR"/>
        </w:rPr>
        <w:t xml:space="preserve"> le 6 septembre 2012 ;</w:t>
      </w:r>
    </w:p>
    <w:p w:rsidRPr="00A2551C" w:rsidR="00264B8E" w:rsidP="00A2551C" w:rsidRDefault="0004191F">
      <w:pPr>
        <w:pStyle w:val="ECHRPara"/>
        <w:rPr>
          <w:lang w:val="fr-FR"/>
        </w:rPr>
      </w:pPr>
      <w:r w:rsidRPr="00A2551C">
        <w:rPr>
          <w:lang w:val="fr-FR"/>
        </w:rPr>
        <w:t>–  </w:t>
      </w:r>
      <w:r w:rsidRPr="00A2551C" w:rsidR="00264B8E">
        <w:rPr>
          <w:lang w:val="fr-FR"/>
        </w:rPr>
        <w:t xml:space="preserve">a obtenu, à des dates différentes, </w:t>
      </w:r>
      <w:r w:rsidRPr="00A2551C" w:rsidR="008D370F">
        <w:rPr>
          <w:lang w:val="fr-FR"/>
        </w:rPr>
        <w:t>107</w:t>
      </w:r>
      <w:r w:rsidRPr="00A2551C" w:rsidR="00264B8E">
        <w:rPr>
          <w:lang w:val="fr-FR"/>
        </w:rPr>
        <w:t xml:space="preserve"> visites </w:t>
      </w:r>
      <w:r w:rsidRPr="00A2551C" w:rsidR="005E0D7F">
        <w:rPr>
          <w:lang w:val="fr-FR"/>
        </w:rPr>
        <w:t xml:space="preserve">de la part de ses avocats et défenseurs </w:t>
      </w:r>
      <w:r w:rsidRPr="00A2551C" w:rsidR="00264B8E">
        <w:rPr>
          <w:lang w:val="fr-FR"/>
        </w:rPr>
        <w:t xml:space="preserve">dont la durée </w:t>
      </w:r>
      <w:r w:rsidRPr="00A2551C">
        <w:rPr>
          <w:lang w:val="fr-FR"/>
        </w:rPr>
        <w:t xml:space="preserve">aurait varié </w:t>
      </w:r>
      <w:r w:rsidRPr="00A2551C" w:rsidR="00264B8E">
        <w:rPr>
          <w:lang w:val="fr-FR"/>
        </w:rPr>
        <w:t>entre une et quatre heures ;</w:t>
      </w:r>
    </w:p>
    <w:p w:rsidRPr="00A2551C" w:rsidR="00BD25D6" w:rsidP="00A2551C" w:rsidRDefault="0004191F">
      <w:pPr>
        <w:pStyle w:val="ECHRPara"/>
        <w:rPr>
          <w:lang w:val="fr-FR"/>
        </w:rPr>
      </w:pPr>
      <w:r w:rsidRPr="00A2551C">
        <w:rPr>
          <w:lang w:val="fr-FR"/>
        </w:rPr>
        <w:t>–  </w:t>
      </w:r>
      <w:r w:rsidRPr="00A2551C" w:rsidR="00264B8E">
        <w:rPr>
          <w:lang w:val="fr-FR"/>
        </w:rPr>
        <w:t xml:space="preserve">a envoyé </w:t>
      </w:r>
      <w:r w:rsidRPr="00A2551C" w:rsidR="008D370F">
        <w:rPr>
          <w:lang w:val="fr-FR"/>
        </w:rPr>
        <w:t>93</w:t>
      </w:r>
      <w:r w:rsidRPr="00A2551C" w:rsidR="00BD25D6">
        <w:rPr>
          <w:lang w:val="fr-FR"/>
        </w:rPr>
        <w:t xml:space="preserve"> lettres et a reçu </w:t>
      </w:r>
      <w:r w:rsidRPr="00A2551C" w:rsidR="008D370F">
        <w:rPr>
          <w:lang w:val="fr-FR"/>
        </w:rPr>
        <w:t>86</w:t>
      </w:r>
      <w:r w:rsidRPr="00A2551C" w:rsidR="00BD25D6">
        <w:rPr>
          <w:lang w:val="fr-FR"/>
        </w:rPr>
        <w:t xml:space="preserve"> lettres de la part de divers proches et amis</w:t>
      </w:r>
      <w:r w:rsidRPr="00A2551C">
        <w:rPr>
          <w:lang w:val="fr-FR"/>
        </w:rPr>
        <w:t xml:space="preserve"> et</w:t>
      </w:r>
      <w:r w:rsidRPr="00A2551C" w:rsidR="00BD25D6">
        <w:rPr>
          <w:lang w:val="fr-FR"/>
        </w:rPr>
        <w:t xml:space="preserve"> notamment de son épouse, de ses filles, de ses parents</w:t>
      </w:r>
      <w:r w:rsidRPr="00A2551C">
        <w:rPr>
          <w:lang w:val="fr-FR"/>
        </w:rPr>
        <w:t xml:space="preserve"> et de ses</w:t>
      </w:r>
      <w:r w:rsidRPr="00A2551C" w:rsidR="00BD25D6">
        <w:rPr>
          <w:lang w:val="fr-FR"/>
        </w:rPr>
        <w:t xml:space="preserve"> oncles et tantes</w:t>
      </w:r>
      <w:r w:rsidRPr="00A2551C">
        <w:rPr>
          <w:lang w:val="fr-FR"/>
        </w:rPr>
        <w:t> ;</w:t>
      </w:r>
    </w:p>
    <w:p w:rsidRPr="00A2551C" w:rsidR="0076324D" w:rsidP="00A2551C" w:rsidRDefault="00E67801">
      <w:pPr>
        <w:pStyle w:val="ECHRPara"/>
        <w:rPr>
          <w:lang w:val="fr-FR"/>
        </w:rPr>
      </w:pPr>
      <w:r w:rsidRPr="00A2551C">
        <w:rPr>
          <w:lang w:val="fr-FR"/>
        </w:rPr>
        <w:t>–  </w:t>
      </w:r>
      <w:r w:rsidRPr="00A2551C" w:rsidR="00BD25D6">
        <w:rPr>
          <w:lang w:val="fr-FR"/>
        </w:rPr>
        <w:t>n</w:t>
      </w:r>
      <w:r w:rsidRPr="00A2551C" w:rsidR="00A2551C">
        <w:rPr>
          <w:lang w:val="fr-FR"/>
        </w:rPr>
        <w:t>’</w:t>
      </w:r>
      <w:r w:rsidRPr="00A2551C" w:rsidR="00BD25D6">
        <w:rPr>
          <w:lang w:val="fr-FR"/>
        </w:rPr>
        <w:t xml:space="preserve">a bénéficié ni </w:t>
      </w:r>
      <w:r w:rsidRPr="00A2551C" w:rsidR="00705877">
        <w:rPr>
          <w:lang w:val="fr-FR"/>
        </w:rPr>
        <w:t>de</w:t>
      </w:r>
      <w:r w:rsidRPr="00A2551C" w:rsidR="00BD25D6">
        <w:rPr>
          <w:lang w:val="fr-FR"/>
        </w:rPr>
        <w:t xml:space="preserve"> visites longues ni </w:t>
      </w:r>
      <w:r w:rsidRPr="00A2551C" w:rsidR="000F7108">
        <w:rPr>
          <w:lang w:val="fr-FR"/>
        </w:rPr>
        <w:t xml:space="preserve">de conversations </w:t>
      </w:r>
      <w:r w:rsidRPr="00A2551C" w:rsidR="00705877">
        <w:rPr>
          <w:lang w:val="fr-FR"/>
        </w:rPr>
        <w:t>téléphoniques</w:t>
      </w:r>
      <w:r w:rsidRPr="00A2551C" w:rsidR="00BD25D6">
        <w:rPr>
          <w:lang w:val="fr-FR"/>
        </w:rPr>
        <w:t>.</w:t>
      </w:r>
    </w:p>
    <w:bookmarkStart w:name="visgouvdoc" w:id="38"/>
    <w:p w:rsidRPr="00A2551C" w:rsidR="0064201F" w:rsidP="00A2551C" w:rsidRDefault="0064201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99</w:t>
      </w:r>
      <w:r w:rsidRPr="00A2551C">
        <w:rPr>
          <w:lang w:val="fr-FR"/>
        </w:rPr>
        <w:fldChar w:fldCharType="end"/>
      </w:r>
      <w:bookmarkEnd w:id="38"/>
      <w:r w:rsidRPr="00A2551C">
        <w:rPr>
          <w:lang w:val="fr-FR"/>
        </w:rPr>
        <w:t xml:space="preserve">.  Il ressort </w:t>
      </w:r>
      <w:r w:rsidRPr="00A2551C" w:rsidR="00E67801">
        <w:rPr>
          <w:lang w:val="fr-FR"/>
        </w:rPr>
        <w:t xml:space="preserve">également </w:t>
      </w:r>
      <w:r w:rsidRPr="00A2551C">
        <w:rPr>
          <w:lang w:val="fr-FR"/>
        </w:rPr>
        <w:t>de ces attestations que</w:t>
      </w:r>
      <w:r w:rsidRPr="00A2551C" w:rsidR="00E67801">
        <w:rPr>
          <w:lang w:val="fr-FR"/>
        </w:rPr>
        <w:t>,</w:t>
      </w:r>
      <w:r w:rsidRPr="00A2551C">
        <w:rPr>
          <w:lang w:val="fr-FR"/>
        </w:rPr>
        <w:t xml:space="preserve"> le 25 novembre 2013, le requérant a été transféré pour purger sa peine </w:t>
      </w:r>
      <w:r w:rsidRPr="00A2551C" w:rsidR="00E67801">
        <w:rPr>
          <w:lang w:val="fr-FR"/>
        </w:rPr>
        <w:t xml:space="preserve">de réclusion à perpétuité </w:t>
      </w:r>
      <w:r w:rsidRPr="00A2551C">
        <w:rPr>
          <w:lang w:val="fr-FR"/>
        </w:rPr>
        <w:t>dans une autre colonie pénitentiaire à régime spécial</w:t>
      </w:r>
      <w:r w:rsidRPr="00A2551C" w:rsidR="00E67801">
        <w:rPr>
          <w:lang w:val="fr-FR"/>
        </w:rPr>
        <w:t>,</w:t>
      </w:r>
      <w:r w:rsidRPr="00A2551C">
        <w:rPr>
          <w:lang w:val="fr-FR"/>
        </w:rPr>
        <w:t xml:space="preserve"> située dans la région de Perm.</w:t>
      </w:r>
    </w:p>
    <w:p w:rsidRPr="00A2551C" w:rsidR="0076324D" w:rsidP="00A2551C" w:rsidRDefault="001D41B9">
      <w:pPr>
        <w:pStyle w:val="ECHRHeading4"/>
        <w:rPr>
          <w:lang w:val="fr-FR"/>
        </w:rPr>
      </w:pPr>
      <w:r w:rsidRPr="00A2551C">
        <w:rPr>
          <w:lang w:val="fr-FR"/>
        </w:rPr>
        <w:t>b)  Le requérant</w:t>
      </w:r>
    </w:p>
    <w:bookmarkStart w:name="visreq2" w:id="39"/>
    <w:p w:rsidRPr="00A2551C" w:rsidR="003D7B08" w:rsidP="00A2551C" w:rsidRDefault="001D41B9">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100</w:t>
      </w:r>
      <w:r w:rsidRPr="00A2551C">
        <w:rPr>
          <w:lang w:val="fr-FR"/>
        </w:rPr>
        <w:fldChar w:fldCharType="end"/>
      </w:r>
      <w:bookmarkEnd w:id="39"/>
      <w:r w:rsidRPr="00A2551C">
        <w:rPr>
          <w:lang w:val="fr-FR"/>
        </w:rPr>
        <w:t xml:space="preserve">.  Le requérant </w:t>
      </w:r>
      <w:r w:rsidRPr="00A2551C" w:rsidR="00F04148">
        <w:rPr>
          <w:lang w:val="fr-FR"/>
        </w:rPr>
        <w:t>indique d</w:t>
      </w:r>
      <w:r w:rsidRPr="00A2551C" w:rsidR="00A2551C">
        <w:rPr>
          <w:lang w:val="fr-FR"/>
        </w:rPr>
        <w:t>’</w:t>
      </w:r>
      <w:r w:rsidRPr="00A2551C" w:rsidR="00F04148">
        <w:rPr>
          <w:lang w:val="fr-FR"/>
        </w:rPr>
        <w:t>abord q</w:t>
      </w:r>
      <w:r w:rsidRPr="00A2551C" w:rsidR="00B72651">
        <w:rPr>
          <w:lang w:val="fr-FR"/>
        </w:rPr>
        <w:t xml:space="preserve">ue </w:t>
      </w:r>
      <w:r w:rsidRPr="00A2551C" w:rsidR="00F04148">
        <w:rPr>
          <w:lang w:val="fr-FR"/>
        </w:rPr>
        <w:t xml:space="preserve">son cercle familial </w:t>
      </w:r>
      <w:r w:rsidRPr="00A2551C" w:rsidR="00BD25D6">
        <w:rPr>
          <w:lang w:val="fr-FR"/>
        </w:rPr>
        <w:t xml:space="preserve">intime </w:t>
      </w:r>
      <w:r w:rsidRPr="00A2551C" w:rsidR="00D80867">
        <w:rPr>
          <w:lang w:val="fr-FR"/>
        </w:rPr>
        <w:t xml:space="preserve">était composé de </w:t>
      </w:r>
      <w:r w:rsidRPr="00A2551C" w:rsidR="00F04148">
        <w:rPr>
          <w:lang w:val="fr-FR"/>
        </w:rPr>
        <w:t xml:space="preserve">son épouse, </w:t>
      </w:r>
      <w:r w:rsidRPr="00A2551C" w:rsidR="00D80867">
        <w:rPr>
          <w:lang w:val="fr-FR"/>
        </w:rPr>
        <w:t xml:space="preserve">de </w:t>
      </w:r>
      <w:r w:rsidRPr="00A2551C" w:rsidR="00F04148">
        <w:rPr>
          <w:lang w:val="fr-FR"/>
        </w:rPr>
        <w:t>ses deux filles, mineures à l</w:t>
      </w:r>
      <w:r w:rsidRPr="00A2551C" w:rsidR="00A2551C">
        <w:rPr>
          <w:lang w:val="fr-FR"/>
        </w:rPr>
        <w:t>’</w:t>
      </w:r>
      <w:r w:rsidRPr="00A2551C" w:rsidR="00F04148">
        <w:rPr>
          <w:lang w:val="fr-FR"/>
        </w:rPr>
        <w:t xml:space="preserve">époque des faits, ainsi que </w:t>
      </w:r>
      <w:r w:rsidRPr="00A2551C" w:rsidR="00D80867">
        <w:rPr>
          <w:lang w:val="fr-FR"/>
        </w:rPr>
        <w:t xml:space="preserve">de </w:t>
      </w:r>
      <w:r w:rsidRPr="00A2551C" w:rsidR="00F04148">
        <w:rPr>
          <w:lang w:val="fr-FR"/>
        </w:rPr>
        <w:t>ses parents. Il s</w:t>
      </w:r>
      <w:r w:rsidRPr="00A2551C" w:rsidR="00112868">
        <w:rPr>
          <w:lang w:val="fr-FR"/>
        </w:rPr>
        <w:t xml:space="preserve">outient que, en tant </w:t>
      </w:r>
      <w:r w:rsidRPr="00A2551C" w:rsidR="00D80867">
        <w:rPr>
          <w:lang w:val="fr-FR"/>
        </w:rPr>
        <w:t xml:space="preserve">que </w:t>
      </w:r>
      <w:r w:rsidRPr="00A2551C" w:rsidR="00B72651">
        <w:rPr>
          <w:lang w:val="fr-FR"/>
        </w:rPr>
        <w:t>personne</w:t>
      </w:r>
      <w:r w:rsidRPr="00A2551C" w:rsidR="00112868">
        <w:rPr>
          <w:lang w:val="fr-FR"/>
        </w:rPr>
        <w:t xml:space="preserve"> condamné</w:t>
      </w:r>
      <w:r w:rsidRPr="00A2551C" w:rsidR="00B72651">
        <w:rPr>
          <w:lang w:val="fr-FR"/>
        </w:rPr>
        <w:t>e</w:t>
      </w:r>
      <w:r w:rsidRPr="00A2551C" w:rsidR="00112868">
        <w:rPr>
          <w:lang w:val="fr-FR"/>
        </w:rPr>
        <w:t xml:space="preserve"> à </w:t>
      </w:r>
      <w:r w:rsidRPr="00A2551C" w:rsidR="00D80867">
        <w:rPr>
          <w:lang w:val="fr-FR"/>
        </w:rPr>
        <w:t xml:space="preserve">la </w:t>
      </w:r>
      <w:r w:rsidRPr="00A2551C" w:rsidR="00112868">
        <w:rPr>
          <w:lang w:val="fr-FR"/>
        </w:rPr>
        <w:t>réclusion à perpétuité</w:t>
      </w:r>
      <w:r w:rsidRPr="00A2551C" w:rsidR="00B72651">
        <w:rPr>
          <w:lang w:val="fr-FR"/>
        </w:rPr>
        <w:t xml:space="preserve"> et placée dans une colonie pénitentiaire à régime spécial</w:t>
      </w:r>
      <w:r w:rsidRPr="00A2551C" w:rsidR="00112868">
        <w:rPr>
          <w:lang w:val="fr-FR"/>
        </w:rPr>
        <w:t xml:space="preserve">, </w:t>
      </w:r>
      <w:r w:rsidRPr="00A2551C" w:rsidR="00F04148">
        <w:rPr>
          <w:lang w:val="fr-FR"/>
        </w:rPr>
        <w:t xml:space="preserve">il </w:t>
      </w:r>
      <w:r w:rsidRPr="00A2551C" w:rsidR="00112868">
        <w:rPr>
          <w:lang w:val="fr-FR"/>
        </w:rPr>
        <w:t xml:space="preserve">ne pouvait bénéficier que de </w:t>
      </w:r>
      <w:r w:rsidRPr="00A2551C" w:rsidR="00F04148">
        <w:rPr>
          <w:lang w:val="fr-FR"/>
        </w:rPr>
        <w:t xml:space="preserve">deux </w:t>
      </w:r>
      <w:r w:rsidRPr="00A2551C" w:rsidR="00112868">
        <w:rPr>
          <w:lang w:val="fr-FR"/>
        </w:rPr>
        <w:t>visites courtes de ses proches par an</w:t>
      </w:r>
      <w:r w:rsidRPr="00A2551C" w:rsidR="00B72651">
        <w:rPr>
          <w:lang w:val="fr-FR"/>
        </w:rPr>
        <w:t xml:space="preserve"> </w:t>
      </w:r>
      <w:r w:rsidRPr="00A2551C" w:rsidR="00D80867">
        <w:rPr>
          <w:lang w:val="fr-FR"/>
        </w:rPr>
        <w:t>et n</w:t>
      </w:r>
      <w:r w:rsidRPr="00A2551C" w:rsidR="00A2551C">
        <w:rPr>
          <w:lang w:val="fr-FR"/>
        </w:rPr>
        <w:t>’</w:t>
      </w:r>
      <w:r w:rsidRPr="00A2551C" w:rsidR="00D80867">
        <w:rPr>
          <w:lang w:val="fr-FR"/>
        </w:rPr>
        <w:t>avait pas la possibilité</w:t>
      </w:r>
      <w:r w:rsidRPr="00A2551C" w:rsidR="00B72651">
        <w:rPr>
          <w:lang w:val="fr-FR"/>
        </w:rPr>
        <w:t xml:space="preserve"> </w:t>
      </w:r>
      <w:r w:rsidRPr="00A2551C" w:rsidR="00D80867">
        <w:rPr>
          <w:lang w:val="fr-FR"/>
        </w:rPr>
        <w:t xml:space="preserve">de recevoir </w:t>
      </w:r>
      <w:r w:rsidRPr="00A2551C" w:rsidR="00B72651">
        <w:rPr>
          <w:lang w:val="fr-FR"/>
        </w:rPr>
        <w:t>d</w:t>
      </w:r>
      <w:r w:rsidRPr="00A2551C" w:rsidR="00F04148">
        <w:rPr>
          <w:lang w:val="fr-FR"/>
        </w:rPr>
        <w:t xml:space="preserve">es </w:t>
      </w:r>
      <w:r w:rsidRPr="00A2551C" w:rsidR="00BD25D6">
        <w:rPr>
          <w:lang w:val="fr-FR"/>
        </w:rPr>
        <w:t>visites longue</w:t>
      </w:r>
      <w:r w:rsidRPr="00A2551C" w:rsidR="005E0D7F">
        <w:rPr>
          <w:lang w:val="fr-FR"/>
        </w:rPr>
        <w:t>s</w:t>
      </w:r>
      <w:r w:rsidRPr="00A2551C" w:rsidR="00F04148">
        <w:rPr>
          <w:lang w:val="fr-FR"/>
        </w:rPr>
        <w:t xml:space="preserve">. </w:t>
      </w:r>
      <w:r w:rsidRPr="00A2551C" w:rsidR="00112868">
        <w:rPr>
          <w:lang w:val="fr-FR"/>
        </w:rPr>
        <w:t xml:space="preserve">Il </w:t>
      </w:r>
      <w:r w:rsidRPr="00A2551C" w:rsidR="000F7108">
        <w:rPr>
          <w:lang w:val="fr-FR"/>
        </w:rPr>
        <w:t>ajoute</w:t>
      </w:r>
      <w:r w:rsidRPr="00A2551C" w:rsidR="00D80867">
        <w:rPr>
          <w:lang w:val="fr-FR"/>
        </w:rPr>
        <w:t xml:space="preserve"> que, compte tenu de</w:t>
      </w:r>
      <w:r w:rsidRPr="00A2551C" w:rsidR="00112868">
        <w:rPr>
          <w:lang w:val="fr-FR"/>
        </w:rPr>
        <w:t xml:space="preserve"> l</w:t>
      </w:r>
      <w:r w:rsidRPr="00A2551C" w:rsidR="00A2551C">
        <w:rPr>
          <w:lang w:val="fr-FR"/>
        </w:rPr>
        <w:t>’</w:t>
      </w:r>
      <w:r w:rsidRPr="00A2551C" w:rsidR="00112868">
        <w:rPr>
          <w:lang w:val="fr-FR"/>
        </w:rPr>
        <w:t>extr</w:t>
      </w:r>
      <w:r w:rsidRPr="00A2551C" w:rsidR="00F04148">
        <w:rPr>
          <w:lang w:val="fr-FR"/>
        </w:rPr>
        <w:t xml:space="preserve">ême rareté des </w:t>
      </w:r>
      <w:r w:rsidRPr="00A2551C" w:rsidR="00112868">
        <w:rPr>
          <w:lang w:val="fr-FR"/>
        </w:rPr>
        <w:t xml:space="preserve">visites </w:t>
      </w:r>
      <w:r w:rsidRPr="00A2551C" w:rsidR="00F04148">
        <w:rPr>
          <w:lang w:val="fr-FR"/>
        </w:rPr>
        <w:t>courtes</w:t>
      </w:r>
      <w:r w:rsidRPr="00A2551C" w:rsidR="00B72651">
        <w:rPr>
          <w:lang w:val="fr-FR"/>
        </w:rPr>
        <w:t xml:space="preserve"> autorisées</w:t>
      </w:r>
      <w:r w:rsidRPr="00A2551C" w:rsidR="00F04148">
        <w:rPr>
          <w:lang w:val="fr-FR"/>
        </w:rPr>
        <w:t xml:space="preserve">, </w:t>
      </w:r>
      <w:r w:rsidRPr="00A2551C" w:rsidR="00112868">
        <w:rPr>
          <w:lang w:val="fr-FR"/>
        </w:rPr>
        <w:t xml:space="preserve">son épouse et ses filles ont dû renoncer à </w:t>
      </w:r>
      <w:r w:rsidRPr="00A2551C" w:rsidR="00F04148">
        <w:rPr>
          <w:lang w:val="fr-FR"/>
        </w:rPr>
        <w:t>leur droit de visite</w:t>
      </w:r>
      <w:r w:rsidRPr="00A2551C" w:rsidR="00112868">
        <w:rPr>
          <w:lang w:val="fr-FR"/>
        </w:rPr>
        <w:t xml:space="preserve"> au </w:t>
      </w:r>
      <w:r w:rsidRPr="00A2551C" w:rsidR="00F04148">
        <w:rPr>
          <w:lang w:val="fr-FR"/>
        </w:rPr>
        <w:t xml:space="preserve">profit </w:t>
      </w:r>
      <w:r w:rsidRPr="00A2551C" w:rsidR="00D80867">
        <w:rPr>
          <w:lang w:val="fr-FR"/>
        </w:rPr>
        <w:t xml:space="preserve">de ses </w:t>
      </w:r>
      <w:r w:rsidRPr="00A2551C" w:rsidR="00F04148">
        <w:rPr>
          <w:lang w:val="fr-FR"/>
        </w:rPr>
        <w:t>parents.</w:t>
      </w:r>
    </w:p>
    <w:bookmarkStart w:name="visreq3" w:id="40"/>
    <w:p w:rsidRPr="00A2551C" w:rsidR="001D41B9" w:rsidP="00A2551C" w:rsidRDefault="003D7B0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101</w:t>
      </w:r>
      <w:r w:rsidRPr="00A2551C">
        <w:rPr>
          <w:lang w:val="fr-FR"/>
        </w:rPr>
        <w:fldChar w:fldCharType="end"/>
      </w:r>
      <w:bookmarkEnd w:id="40"/>
      <w:r w:rsidRPr="00A2551C">
        <w:rPr>
          <w:lang w:val="fr-FR"/>
        </w:rPr>
        <w:t>.  L</w:t>
      </w:r>
      <w:r w:rsidRPr="00A2551C" w:rsidR="00B0449B">
        <w:rPr>
          <w:lang w:val="fr-FR"/>
        </w:rPr>
        <w:t xml:space="preserve">e requérant indique que ses proches, </w:t>
      </w:r>
      <w:r w:rsidRPr="00A2551C" w:rsidR="000F7108">
        <w:rPr>
          <w:lang w:val="fr-FR"/>
        </w:rPr>
        <w:t xml:space="preserve">et </w:t>
      </w:r>
      <w:r w:rsidRPr="00A2551C" w:rsidR="00B0449B">
        <w:rPr>
          <w:lang w:val="fr-FR"/>
        </w:rPr>
        <w:t>notamment ses parents, n</w:t>
      </w:r>
      <w:r w:rsidRPr="00A2551C" w:rsidR="00A2551C">
        <w:rPr>
          <w:lang w:val="fr-FR"/>
        </w:rPr>
        <w:t>’</w:t>
      </w:r>
      <w:r w:rsidRPr="00A2551C" w:rsidR="00B0449B">
        <w:rPr>
          <w:lang w:val="fr-FR"/>
        </w:rPr>
        <w:t xml:space="preserve">ont bénéficié que de quatre </w:t>
      </w:r>
      <w:r w:rsidRPr="00A2551C" w:rsidR="000F7108">
        <w:rPr>
          <w:lang w:val="fr-FR"/>
        </w:rPr>
        <w:t>des</w:t>
      </w:r>
      <w:r w:rsidRPr="00A2551C" w:rsidR="00B72651">
        <w:rPr>
          <w:lang w:val="fr-FR"/>
        </w:rPr>
        <w:t xml:space="preserve"> </w:t>
      </w:r>
      <w:r w:rsidRPr="00A2551C" w:rsidR="00C223FD">
        <w:rPr>
          <w:lang w:val="fr-FR"/>
        </w:rPr>
        <w:t>111</w:t>
      </w:r>
      <w:r w:rsidRPr="00A2551C" w:rsidR="00B72651">
        <w:rPr>
          <w:lang w:val="fr-FR"/>
        </w:rPr>
        <w:t xml:space="preserve"> visites figurant sur la liste soumise par le Gouvernement</w:t>
      </w:r>
      <w:r w:rsidRPr="00A2551C" w:rsidR="00B0449B">
        <w:rPr>
          <w:lang w:val="fr-FR"/>
        </w:rPr>
        <w:t xml:space="preserve"> et que le reste de</w:t>
      </w:r>
      <w:r w:rsidRPr="00A2551C" w:rsidR="006F1301">
        <w:rPr>
          <w:lang w:val="fr-FR"/>
        </w:rPr>
        <w:t>s</w:t>
      </w:r>
      <w:r w:rsidRPr="00A2551C" w:rsidR="00B0449B">
        <w:rPr>
          <w:lang w:val="fr-FR"/>
        </w:rPr>
        <w:t xml:space="preserve"> visites </w:t>
      </w:r>
      <w:r w:rsidRPr="00A2551C" w:rsidR="000F7108">
        <w:rPr>
          <w:lang w:val="fr-FR"/>
        </w:rPr>
        <w:t>qu</w:t>
      </w:r>
      <w:r w:rsidRPr="00A2551C" w:rsidR="00A2551C">
        <w:rPr>
          <w:lang w:val="fr-FR"/>
        </w:rPr>
        <w:t>’</w:t>
      </w:r>
      <w:r w:rsidRPr="00A2551C" w:rsidR="000F7108">
        <w:rPr>
          <w:lang w:val="fr-FR"/>
        </w:rPr>
        <w:t>il avait reçues étaient celles de</w:t>
      </w:r>
      <w:r w:rsidRPr="00A2551C" w:rsidR="00B72651">
        <w:rPr>
          <w:lang w:val="fr-FR"/>
        </w:rPr>
        <w:t xml:space="preserve"> ses avocats qui</w:t>
      </w:r>
      <w:r w:rsidRPr="00A2551C" w:rsidR="000F7108">
        <w:rPr>
          <w:lang w:val="fr-FR"/>
        </w:rPr>
        <w:t>, conformément à la législation en vigueur,</w:t>
      </w:r>
      <w:r w:rsidRPr="00A2551C" w:rsidR="00B72651">
        <w:rPr>
          <w:lang w:val="fr-FR"/>
        </w:rPr>
        <w:t xml:space="preserve"> pouvaient </w:t>
      </w:r>
      <w:r w:rsidRPr="00A2551C" w:rsidR="00B0449B">
        <w:rPr>
          <w:lang w:val="fr-FR"/>
        </w:rPr>
        <w:t xml:space="preserve">en </w:t>
      </w:r>
      <w:r w:rsidRPr="00A2551C" w:rsidR="00B72651">
        <w:rPr>
          <w:lang w:val="fr-FR"/>
        </w:rPr>
        <w:t xml:space="preserve">bénéficier </w:t>
      </w:r>
      <w:r w:rsidRPr="00A2551C" w:rsidR="00B0449B">
        <w:rPr>
          <w:lang w:val="fr-FR"/>
        </w:rPr>
        <w:t xml:space="preserve">sans </w:t>
      </w:r>
      <w:r w:rsidRPr="00A2551C" w:rsidR="00B72651">
        <w:rPr>
          <w:lang w:val="fr-FR"/>
        </w:rPr>
        <w:t>limit</w:t>
      </w:r>
      <w:r w:rsidRPr="00A2551C" w:rsidR="00B0449B">
        <w:rPr>
          <w:lang w:val="fr-FR"/>
        </w:rPr>
        <w:t xml:space="preserve">ation </w:t>
      </w:r>
      <w:r w:rsidRPr="00A2551C" w:rsidR="000F7108">
        <w:rPr>
          <w:lang w:val="fr-FR"/>
        </w:rPr>
        <w:t xml:space="preserve">de </w:t>
      </w:r>
      <w:r w:rsidRPr="00A2551C" w:rsidR="00B0449B">
        <w:rPr>
          <w:lang w:val="fr-FR"/>
        </w:rPr>
        <w:t>nombre</w:t>
      </w:r>
      <w:r w:rsidRPr="00A2551C" w:rsidR="00B72651">
        <w:rPr>
          <w:lang w:val="fr-FR"/>
        </w:rPr>
        <w:t xml:space="preserve">. </w:t>
      </w:r>
      <w:r w:rsidRPr="00A2551C" w:rsidR="00F04148">
        <w:rPr>
          <w:lang w:val="fr-FR"/>
        </w:rPr>
        <w:t xml:space="preserve">En ce qui concerne les modalités des visites courtes </w:t>
      </w:r>
      <w:r w:rsidRPr="00A2551C" w:rsidR="00B72651">
        <w:rPr>
          <w:lang w:val="fr-FR"/>
        </w:rPr>
        <w:t>obtenues par</w:t>
      </w:r>
      <w:r w:rsidRPr="00A2551C" w:rsidR="00F04148">
        <w:rPr>
          <w:lang w:val="fr-FR"/>
        </w:rPr>
        <w:t xml:space="preserve"> </w:t>
      </w:r>
      <w:r w:rsidRPr="00A2551C" w:rsidR="00B0449B">
        <w:rPr>
          <w:lang w:val="fr-FR"/>
        </w:rPr>
        <w:t>s</w:t>
      </w:r>
      <w:r w:rsidRPr="00A2551C" w:rsidR="00F04148">
        <w:rPr>
          <w:lang w:val="fr-FR"/>
        </w:rPr>
        <w:t>es pa</w:t>
      </w:r>
      <w:r w:rsidRPr="00A2551C" w:rsidR="008126EE">
        <w:rPr>
          <w:lang w:val="fr-FR"/>
        </w:rPr>
        <w:t>r</w:t>
      </w:r>
      <w:r w:rsidRPr="00A2551C" w:rsidR="00F04148">
        <w:rPr>
          <w:lang w:val="fr-FR"/>
        </w:rPr>
        <w:t xml:space="preserve">ents, </w:t>
      </w:r>
      <w:r w:rsidRPr="00A2551C" w:rsidR="00B0449B">
        <w:rPr>
          <w:lang w:val="fr-FR"/>
        </w:rPr>
        <w:t>l</w:t>
      </w:r>
      <w:r w:rsidRPr="00A2551C" w:rsidR="00A2551C">
        <w:rPr>
          <w:lang w:val="fr-FR"/>
        </w:rPr>
        <w:t>’</w:t>
      </w:r>
      <w:r w:rsidRPr="00A2551C" w:rsidR="00B0449B">
        <w:rPr>
          <w:lang w:val="fr-FR"/>
        </w:rPr>
        <w:t>intéressé</w:t>
      </w:r>
      <w:r w:rsidRPr="00A2551C" w:rsidR="00F04148">
        <w:rPr>
          <w:lang w:val="fr-FR"/>
        </w:rPr>
        <w:t xml:space="preserve"> déplore </w:t>
      </w:r>
      <w:r w:rsidRPr="00A2551C" w:rsidR="000F7108">
        <w:rPr>
          <w:lang w:val="fr-FR"/>
        </w:rPr>
        <w:t xml:space="preserve">la </w:t>
      </w:r>
      <w:r w:rsidRPr="00A2551C" w:rsidR="00F04148">
        <w:rPr>
          <w:lang w:val="fr-FR"/>
        </w:rPr>
        <w:t xml:space="preserve">brièveté </w:t>
      </w:r>
      <w:r w:rsidRPr="00A2551C" w:rsidR="000F7108">
        <w:rPr>
          <w:lang w:val="fr-FR"/>
        </w:rPr>
        <w:t xml:space="preserve">des visites </w:t>
      </w:r>
      <w:r w:rsidRPr="00A2551C" w:rsidR="00F04148">
        <w:rPr>
          <w:lang w:val="fr-FR"/>
        </w:rPr>
        <w:t>et les dispositions excluant toute intimité et tout contact physique, telles que la présence d</w:t>
      </w:r>
      <w:r w:rsidRPr="00A2551C" w:rsidR="00A2551C">
        <w:rPr>
          <w:lang w:val="fr-FR"/>
        </w:rPr>
        <w:t>’</w:t>
      </w:r>
      <w:r w:rsidRPr="00A2551C" w:rsidR="00F04148">
        <w:rPr>
          <w:lang w:val="fr-FR"/>
        </w:rPr>
        <w:t>un gardien de prison et la séparation des visiteurs par une paroi</w:t>
      </w:r>
      <w:r w:rsidRPr="00A2551C" w:rsidR="005D31DE">
        <w:rPr>
          <w:lang w:val="fr-FR"/>
        </w:rPr>
        <w:t xml:space="preserve"> empêchant tout contact physique</w:t>
      </w:r>
      <w:r w:rsidRPr="00A2551C" w:rsidR="00F04148">
        <w:rPr>
          <w:lang w:val="fr-FR"/>
        </w:rPr>
        <w:t>.</w:t>
      </w:r>
      <w:r w:rsidRPr="00A2551C" w:rsidR="008126EE">
        <w:rPr>
          <w:lang w:val="fr-FR"/>
        </w:rPr>
        <w:t xml:space="preserve"> </w:t>
      </w:r>
      <w:r w:rsidRPr="00A2551C" w:rsidR="00F04148">
        <w:rPr>
          <w:lang w:val="fr-FR"/>
        </w:rPr>
        <w:t xml:space="preserve">Le requérant </w:t>
      </w:r>
      <w:r w:rsidRPr="00A2551C" w:rsidR="00B0449B">
        <w:rPr>
          <w:lang w:val="fr-FR"/>
        </w:rPr>
        <w:t xml:space="preserve">indique </w:t>
      </w:r>
      <w:r w:rsidRPr="00A2551C" w:rsidR="00F04148">
        <w:rPr>
          <w:lang w:val="fr-FR"/>
        </w:rPr>
        <w:t>qu</w:t>
      </w:r>
      <w:r w:rsidRPr="00A2551C" w:rsidR="00A2551C">
        <w:rPr>
          <w:lang w:val="fr-FR"/>
        </w:rPr>
        <w:t>’</w:t>
      </w:r>
      <w:r w:rsidRPr="00A2551C" w:rsidR="00F04148">
        <w:rPr>
          <w:lang w:val="fr-FR"/>
        </w:rPr>
        <w:t>il n</w:t>
      </w:r>
      <w:r w:rsidRPr="00A2551C" w:rsidR="00A2551C">
        <w:rPr>
          <w:lang w:val="fr-FR"/>
        </w:rPr>
        <w:t>’</w:t>
      </w:r>
      <w:r w:rsidRPr="00A2551C" w:rsidR="00F04148">
        <w:rPr>
          <w:lang w:val="fr-FR"/>
        </w:rPr>
        <w:t>avait pas la possibilité d</w:t>
      </w:r>
      <w:r w:rsidRPr="00A2551C" w:rsidR="00A2551C">
        <w:rPr>
          <w:lang w:val="fr-FR"/>
        </w:rPr>
        <w:t>’</w:t>
      </w:r>
      <w:r w:rsidRPr="00A2551C" w:rsidR="00F04148">
        <w:rPr>
          <w:lang w:val="fr-FR"/>
        </w:rPr>
        <w:t xml:space="preserve">avoir des conversations téléphoniques </w:t>
      </w:r>
      <w:r w:rsidRPr="00A2551C" w:rsidR="008126EE">
        <w:rPr>
          <w:lang w:val="fr-FR"/>
        </w:rPr>
        <w:t xml:space="preserve">ni avec ses proches ni </w:t>
      </w:r>
      <w:r w:rsidRPr="00A2551C" w:rsidR="00F04148">
        <w:rPr>
          <w:lang w:val="fr-FR"/>
        </w:rPr>
        <w:t>avec ses avocats</w:t>
      </w:r>
      <w:r w:rsidRPr="00A2551C" w:rsidR="00B0449B">
        <w:rPr>
          <w:lang w:val="fr-FR"/>
        </w:rPr>
        <w:t xml:space="preserve">. Il allègue enfin que sa correspondance écrite a souvent été envoyée avec du retard et </w:t>
      </w:r>
      <w:r w:rsidRPr="00A2551C" w:rsidR="00866368">
        <w:rPr>
          <w:lang w:val="fr-FR"/>
        </w:rPr>
        <w:t>qu</w:t>
      </w:r>
      <w:r w:rsidRPr="00A2551C" w:rsidR="00A2551C">
        <w:rPr>
          <w:lang w:val="fr-FR"/>
        </w:rPr>
        <w:t>’</w:t>
      </w:r>
      <w:r w:rsidRPr="00A2551C" w:rsidR="00866368">
        <w:rPr>
          <w:lang w:val="fr-FR"/>
        </w:rPr>
        <w:t xml:space="preserve">elle a </w:t>
      </w:r>
      <w:r w:rsidRPr="00A2551C" w:rsidR="00B0449B">
        <w:rPr>
          <w:lang w:val="fr-FR"/>
        </w:rPr>
        <w:t xml:space="preserve">parfois </w:t>
      </w:r>
      <w:r w:rsidRPr="00A2551C" w:rsidR="00866368">
        <w:rPr>
          <w:lang w:val="fr-FR"/>
        </w:rPr>
        <w:t xml:space="preserve">été </w:t>
      </w:r>
      <w:r w:rsidRPr="00A2551C" w:rsidR="00B0449B">
        <w:rPr>
          <w:lang w:val="fr-FR"/>
        </w:rPr>
        <w:t>perdue.</w:t>
      </w:r>
    </w:p>
    <w:bookmarkStart w:name="visreq4" w:id="41"/>
    <w:p w:rsidRPr="00A2551C" w:rsidR="0076324D" w:rsidP="00A2551C" w:rsidRDefault="008126EE">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102</w:t>
      </w:r>
      <w:r w:rsidRPr="00A2551C">
        <w:rPr>
          <w:lang w:val="fr-FR"/>
        </w:rPr>
        <w:fldChar w:fldCharType="end"/>
      </w:r>
      <w:bookmarkEnd w:id="41"/>
      <w:r w:rsidRPr="00A2551C">
        <w:rPr>
          <w:lang w:val="fr-FR"/>
        </w:rPr>
        <w:t>.  S</w:t>
      </w:r>
      <w:r w:rsidRPr="00A2551C" w:rsidR="00A2551C">
        <w:rPr>
          <w:lang w:val="fr-FR"/>
        </w:rPr>
        <w:t>’</w:t>
      </w:r>
      <w:r w:rsidRPr="00A2551C">
        <w:rPr>
          <w:lang w:val="fr-FR"/>
        </w:rPr>
        <w:t>appuyant largement sur l</w:t>
      </w:r>
      <w:r w:rsidRPr="00A2551C" w:rsidR="00A2551C">
        <w:rPr>
          <w:lang w:val="fr-FR"/>
        </w:rPr>
        <w:t>’</w:t>
      </w:r>
      <w:r w:rsidRPr="00A2551C">
        <w:rPr>
          <w:lang w:val="fr-FR"/>
        </w:rPr>
        <w:t xml:space="preserve">arrêt de Grande Chambre de la Cour </w:t>
      </w:r>
      <w:r w:rsidRPr="00A2551C" w:rsidR="00866368">
        <w:rPr>
          <w:lang w:val="fr-FR"/>
        </w:rPr>
        <w:t>rendu dans l</w:t>
      </w:r>
      <w:r w:rsidRPr="00A2551C" w:rsidR="00A2551C">
        <w:rPr>
          <w:lang w:val="fr-FR"/>
        </w:rPr>
        <w:t>’</w:t>
      </w:r>
      <w:r w:rsidRPr="00A2551C" w:rsidR="00866368">
        <w:rPr>
          <w:lang w:val="fr-FR"/>
        </w:rPr>
        <w:t xml:space="preserve">affaire </w:t>
      </w:r>
      <w:proofErr w:type="spellStart"/>
      <w:r w:rsidRPr="00A2551C">
        <w:rPr>
          <w:i/>
          <w:lang w:val="fr-FR"/>
        </w:rPr>
        <w:t>Khoroshenko</w:t>
      </w:r>
      <w:proofErr w:type="spellEnd"/>
      <w:r w:rsidRPr="00A2551C">
        <w:rPr>
          <w:lang w:val="fr-FR"/>
        </w:rPr>
        <w:t xml:space="preserve"> précité</w:t>
      </w:r>
      <w:r w:rsidRPr="00A2551C" w:rsidR="00866368">
        <w:rPr>
          <w:lang w:val="fr-FR"/>
        </w:rPr>
        <w:t>e</w:t>
      </w:r>
      <w:r w:rsidRPr="00A2551C">
        <w:rPr>
          <w:lang w:val="fr-FR"/>
        </w:rPr>
        <w:t xml:space="preserve">, le requérant </w:t>
      </w:r>
      <w:r w:rsidRPr="00A2551C" w:rsidR="00B0449B">
        <w:rPr>
          <w:lang w:val="fr-FR"/>
        </w:rPr>
        <w:t xml:space="preserve">soutient </w:t>
      </w:r>
      <w:r w:rsidRPr="00A2551C">
        <w:rPr>
          <w:lang w:val="fr-FR"/>
        </w:rPr>
        <w:t>que les restrictions aux possibilités de recevoir des visites de ses proches et à ses relations avec le monde extérieur décrites ci</w:t>
      </w:r>
      <w:r w:rsidRPr="00A2551C">
        <w:rPr>
          <w:lang w:val="fr-FR"/>
        </w:rPr>
        <w:noBreakHyphen/>
        <w:t>dessus ont constitué une ingérence disproportionnée dans son droit au respect de sa « vie privée » et de sa « vie familiale » au sens de l</w:t>
      </w:r>
      <w:r w:rsidRPr="00A2551C" w:rsidR="00A2551C">
        <w:rPr>
          <w:lang w:val="fr-FR"/>
        </w:rPr>
        <w:t>’</w:t>
      </w:r>
      <w:r w:rsidRPr="00A2551C">
        <w:rPr>
          <w:lang w:val="fr-FR"/>
        </w:rPr>
        <w:t>article 8 de la Convention.</w:t>
      </w:r>
    </w:p>
    <w:p w:rsidRPr="00A2551C" w:rsidR="00657348" w:rsidP="00A2551C" w:rsidRDefault="00657348">
      <w:pPr>
        <w:pStyle w:val="ECHRHeading3"/>
        <w:keepNext w:val="0"/>
        <w:keepLines w:val="0"/>
        <w:rPr>
          <w:lang w:val="fr-FR"/>
        </w:rPr>
      </w:pPr>
      <w:r w:rsidRPr="00A2551C">
        <w:rPr>
          <w:lang w:val="fr-FR"/>
        </w:rPr>
        <w:t>2.  Appréciation de la Cour</w:t>
      </w:r>
    </w:p>
    <w:p w:rsidRPr="00A2551C" w:rsidR="0014248D" w:rsidP="00A2551C" w:rsidRDefault="00657348">
      <w:pPr>
        <w:pStyle w:val="ECHRHeading4"/>
        <w:keepNext w:val="0"/>
        <w:keepLines w:val="0"/>
        <w:rPr>
          <w:lang w:val="fr-FR"/>
        </w:rPr>
      </w:pPr>
      <w:r w:rsidRPr="00A2551C">
        <w:rPr>
          <w:lang w:val="fr-FR"/>
        </w:rPr>
        <w:t>a)  Sur la recevabilité</w:t>
      </w:r>
    </w:p>
    <w:p w:rsidRPr="00A2551C" w:rsidR="00E77CB3" w:rsidP="00A2551C" w:rsidRDefault="00B7265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103</w:t>
      </w:r>
      <w:r w:rsidRPr="00A2551C">
        <w:rPr>
          <w:lang w:val="fr-FR"/>
        </w:rPr>
        <w:fldChar w:fldCharType="end"/>
      </w:r>
      <w:r w:rsidRPr="00A2551C">
        <w:rPr>
          <w:lang w:val="fr-FR"/>
        </w:rPr>
        <w:t>.  Constatant que ce grief n</w:t>
      </w:r>
      <w:r w:rsidRPr="00A2551C" w:rsidR="00A2551C">
        <w:rPr>
          <w:lang w:val="fr-FR"/>
        </w:rPr>
        <w:t>’</w:t>
      </w:r>
      <w:r w:rsidRPr="00A2551C">
        <w:rPr>
          <w:lang w:val="fr-FR"/>
        </w:rPr>
        <w:t>est pas manifestement mal fondé au sens de l</w:t>
      </w:r>
      <w:r w:rsidRPr="00A2551C" w:rsidR="00A2551C">
        <w:rPr>
          <w:lang w:val="fr-FR"/>
        </w:rPr>
        <w:t>’</w:t>
      </w:r>
      <w:r w:rsidRPr="00A2551C">
        <w:rPr>
          <w:lang w:val="fr-FR"/>
        </w:rPr>
        <w:t>article 35 § 3 a) de la Convention et qu</w:t>
      </w:r>
      <w:r w:rsidRPr="00A2551C" w:rsidR="00A2551C">
        <w:rPr>
          <w:lang w:val="fr-FR"/>
        </w:rPr>
        <w:t>’</w:t>
      </w:r>
      <w:r w:rsidRPr="00A2551C">
        <w:rPr>
          <w:lang w:val="fr-FR"/>
        </w:rPr>
        <w:t>il ne se heurte par ailleurs à aucun autre motif d</w:t>
      </w:r>
      <w:r w:rsidRPr="00A2551C" w:rsidR="00A2551C">
        <w:rPr>
          <w:lang w:val="fr-FR"/>
        </w:rPr>
        <w:t>’</w:t>
      </w:r>
      <w:r w:rsidRPr="00A2551C">
        <w:rPr>
          <w:lang w:val="fr-FR"/>
        </w:rPr>
        <w:t>irrecevabilité, la Cour le déclare recevable.</w:t>
      </w:r>
    </w:p>
    <w:p w:rsidRPr="00A2551C" w:rsidR="00657348" w:rsidP="00A2551C" w:rsidRDefault="00657348">
      <w:pPr>
        <w:pStyle w:val="ECHRHeading4"/>
        <w:keepNext w:val="0"/>
        <w:keepLines w:val="0"/>
        <w:rPr>
          <w:lang w:val="fr-FR"/>
        </w:rPr>
      </w:pPr>
      <w:r w:rsidRPr="00A2551C">
        <w:rPr>
          <w:lang w:val="fr-FR"/>
        </w:rPr>
        <w:t>b)  Sur le fond</w:t>
      </w:r>
    </w:p>
    <w:p w:rsidRPr="00A2551C" w:rsidR="0076324D" w:rsidP="00A2551C" w:rsidRDefault="00B7265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104</w:t>
      </w:r>
      <w:r w:rsidRPr="00A2551C">
        <w:rPr>
          <w:lang w:val="fr-FR"/>
        </w:rPr>
        <w:fldChar w:fldCharType="end"/>
      </w:r>
      <w:r w:rsidRPr="00A2551C">
        <w:rPr>
          <w:lang w:val="fr-FR"/>
        </w:rPr>
        <w:t>.  </w:t>
      </w:r>
      <w:r w:rsidRPr="00A2551C" w:rsidR="00B0449B">
        <w:rPr>
          <w:lang w:val="fr-FR"/>
        </w:rPr>
        <w:t>La Cour note d</w:t>
      </w:r>
      <w:r w:rsidRPr="00A2551C" w:rsidR="00A2551C">
        <w:rPr>
          <w:lang w:val="fr-FR"/>
        </w:rPr>
        <w:t>’</w:t>
      </w:r>
      <w:r w:rsidRPr="00A2551C" w:rsidR="00B0449B">
        <w:rPr>
          <w:lang w:val="fr-FR"/>
        </w:rPr>
        <w:t>emblée que</w:t>
      </w:r>
      <w:r w:rsidRPr="00A2551C" w:rsidR="00866368">
        <w:rPr>
          <w:lang w:val="fr-FR"/>
        </w:rPr>
        <w:t>,</w:t>
      </w:r>
      <w:r w:rsidRPr="00A2551C" w:rsidR="0064201F">
        <w:rPr>
          <w:lang w:val="fr-FR"/>
        </w:rPr>
        <w:t xml:space="preserve"> dans </w:t>
      </w:r>
      <w:r w:rsidRPr="00A2551C" w:rsidR="005D31DE">
        <w:rPr>
          <w:lang w:val="fr-FR"/>
        </w:rPr>
        <w:t xml:space="preserve">son formulaire de requête soumis le 12 avril 2012 </w:t>
      </w:r>
      <w:r w:rsidRPr="00A2551C" w:rsidR="008F27B0">
        <w:rPr>
          <w:lang w:val="fr-FR"/>
        </w:rPr>
        <w:t xml:space="preserve">ainsi que dans ses </w:t>
      </w:r>
      <w:r w:rsidRPr="00A2551C" w:rsidR="0064201F">
        <w:rPr>
          <w:lang w:val="fr-FR"/>
        </w:rPr>
        <w:t xml:space="preserve">observations sur la recevabilité et le fond </w:t>
      </w:r>
      <w:r w:rsidRPr="00A2551C" w:rsidR="009B17DB">
        <w:rPr>
          <w:lang w:val="fr-FR"/>
        </w:rPr>
        <w:t>de l</w:t>
      </w:r>
      <w:r w:rsidRPr="00A2551C" w:rsidR="00A2551C">
        <w:rPr>
          <w:lang w:val="fr-FR"/>
        </w:rPr>
        <w:t>’</w:t>
      </w:r>
      <w:r w:rsidRPr="00A2551C" w:rsidR="009B17DB">
        <w:rPr>
          <w:lang w:val="fr-FR"/>
        </w:rPr>
        <w:t xml:space="preserve">affaire </w:t>
      </w:r>
      <w:r w:rsidRPr="00A2551C" w:rsidR="008F27B0">
        <w:rPr>
          <w:lang w:val="fr-FR"/>
        </w:rPr>
        <w:t>soumises le 23 octobre 2017, le requérant n</w:t>
      </w:r>
      <w:r w:rsidRPr="00A2551C" w:rsidR="00A2551C">
        <w:rPr>
          <w:lang w:val="fr-FR"/>
        </w:rPr>
        <w:t>’</w:t>
      </w:r>
      <w:r w:rsidRPr="00A2551C" w:rsidR="008F27B0">
        <w:rPr>
          <w:lang w:val="fr-FR"/>
        </w:rPr>
        <w:t xml:space="preserve">a dénoncé que </w:t>
      </w:r>
      <w:r w:rsidRPr="00A2551C" w:rsidR="0064201F">
        <w:rPr>
          <w:lang w:val="fr-FR"/>
        </w:rPr>
        <w:t xml:space="preserve">les restrictions </w:t>
      </w:r>
      <w:r w:rsidRPr="00A2551C" w:rsidR="009B17DB">
        <w:rPr>
          <w:lang w:val="fr-FR"/>
        </w:rPr>
        <w:t xml:space="preserve">imposées à son droit de visite et </w:t>
      </w:r>
      <w:r w:rsidRPr="00A2551C" w:rsidR="00866368">
        <w:rPr>
          <w:lang w:val="fr-FR"/>
        </w:rPr>
        <w:t xml:space="preserve">à ses </w:t>
      </w:r>
      <w:r w:rsidRPr="00A2551C" w:rsidR="009B17DB">
        <w:rPr>
          <w:lang w:val="fr-FR"/>
        </w:rPr>
        <w:t>contacts avec le monde extérieur lors de</w:t>
      </w:r>
      <w:r w:rsidRPr="00A2551C" w:rsidR="008F27B0">
        <w:rPr>
          <w:lang w:val="fr-FR"/>
        </w:rPr>
        <w:t xml:space="preserve"> sa détention au sein </w:t>
      </w:r>
      <w:r w:rsidRPr="00A2551C" w:rsidR="009B17DB">
        <w:rPr>
          <w:lang w:val="fr-FR"/>
        </w:rPr>
        <w:t>d</w:t>
      </w:r>
      <w:r w:rsidRPr="00A2551C" w:rsidR="0064201F">
        <w:rPr>
          <w:lang w:val="fr-FR"/>
        </w:rPr>
        <w:t>e la colonie pénitentiaire n</w:t>
      </w:r>
      <w:r w:rsidRPr="00A2551C" w:rsidR="0064201F">
        <w:rPr>
          <w:vertAlign w:val="superscript"/>
          <w:lang w:val="fr-FR"/>
        </w:rPr>
        <w:t>o</w:t>
      </w:r>
      <w:r w:rsidRPr="00A2551C" w:rsidR="0064201F">
        <w:rPr>
          <w:lang w:val="fr-FR"/>
        </w:rPr>
        <w:t> IK</w:t>
      </w:r>
      <w:r w:rsidRPr="00A2551C" w:rsidR="008F27B0">
        <w:rPr>
          <w:lang w:val="fr-FR"/>
        </w:rPr>
        <w:noBreakHyphen/>
        <w:t xml:space="preserve">1 de la </w:t>
      </w:r>
      <w:r w:rsidRPr="00A2551C" w:rsidR="00EC6BDF">
        <w:rPr>
          <w:lang w:val="fr-FR"/>
        </w:rPr>
        <w:t>région de Mordovie</w:t>
      </w:r>
      <w:r w:rsidRPr="00A2551C" w:rsidR="00B725FF">
        <w:rPr>
          <w:lang w:val="fr-FR"/>
        </w:rPr>
        <w:t xml:space="preserve"> (paragraphes </w:t>
      </w:r>
      <w:r w:rsidRPr="00A2551C" w:rsidR="00B725FF">
        <w:rPr>
          <w:lang w:val="fr-FR"/>
        </w:rPr>
        <w:fldChar w:fldCharType="begin"/>
      </w:r>
      <w:r w:rsidRPr="00A2551C" w:rsidR="00B725FF">
        <w:rPr>
          <w:lang w:val="fr-FR"/>
        </w:rPr>
        <w:instrText xml:space="preserve"> REF visreq1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34</w:t>
      </w:r>
      <w:r w:rsidRPr="00A2551C" w:rsidR="00B725FF">
        <w:rPr>
          <w:lang w:val="fr-FR"/>
        </w:rPr>
        <w:fldChar w:fldCharType="end"/>
      </w:r>
      <w:r w:rsidRPr="00A2551C" w:rsidR="00B725FF">
        <w:rPr>
          <w:lang w:val="fr-FR"/>
        </w:rPr>
        <w:t xml:space="preserve"> et </w:t>
      </w:r>
      <w:r w:rsidRPr="00A2551C" w:rsidR="00B725FF">
        <w:rPr>
          <w:lang w:val="fr-FR"/>
        </w:rPr>
        <w:fldChar w:fldCharType="begin"/>
      </w:r>
      <w:r w:rsidRPr="00A2551C" w:rsidR="00B725FF">
        <w:rPr>
          <w:lang w:val="fr-FR"/>
        </w:rPr>
        <w:instrText xml:space="preserve"> REF visreq2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100</w:t>
      </w:r>
      <w:r w:rsidRPr="00A2551C" w:rsidR="00B725FF">
        <w:rPr>
          <w:lang w:val="fr-FR"/>
        </w:rPr>
        <w:fldChar w:fldCharType="end"/>
      </w:r>
      <w:r w:rsidRPr="00A2551C" w:rsidR="00B725FF">
        <w:rPr>
          <w:lang w:val="fr-FR"/>
        </w:rPr>
        <w:noBreakHyphen/>
      </w:r>
      <w:r w:rsidRPr="00A2551C" w:rsidR="00B725FF">
        <w:rPr>
          <w:lang w:val="fr-FR"/>
        </w:rPr>
        <w:fldChar w:fldCharType="begin"/>
      </w:r>
      <w:r w:rsidRPr="00A2551C" w:rsidR="00B725FF">
        <w:rPr>
          <w:lang w:val="fr-FR"/>
        </w:rPr>
        <w:instrText xml:space="preserve"> REF visreq4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102</w:t>
      </w:r>
      <w:r w:rsidRPr="00A2551C" w:rsidR="00B725FF">
        <w:rPr>
          <w:lang w:val="fr-FR"/>
        </w:rPr>
        <w:fldChar w:fldCharType="end"/>
      </w:r>
      <w:r w:rsidRPr="00A2551C" w:rsidR="00B725FF">
        <w:rPr>
          <w:lang w:val="fr-FR"/>
        </w:rPr>
        <w:t xml:space="preserve"> ci</w:t>
      </w:r>
      <w:r w:rsidRPr="00A2551C" w:rsidR="00B725FF">
        <w:rPr>
          <w:lang w:val="fr-FR"/>
        </w:rPr>
        <w:noBreakHyphen/>
        <w:t>dessus)</w:t>
      </w:r>
      <w:r w:rsidRPr="00A2551C" w:rsidR="008F27B0">
        <w:rPr>
          <w:lang w:val="fr-FR"/>
        </w:rPr>
        <w:t>. Il n</w:t>
      </w:r>
      <w:r w:rsidRPr="00A2551C" w:rsidR="00A2551C">
        <w:rPr>
          <w:lang w:val="fr-FR"/>
        </w:rPr>
        <w:t>’</w:t>
      </w:r>
      <w:r w:rsidRPr="00A2551C" w:rsidR="008F27B0">
        <w:rPr>
          <w:lang w:val="fr-FR"/>
        </w:rPr>
        <w:t>a pas développé son grief quant à la période postérieure au 25 novembre 2013, date à laquelle il a été transféré dans une autre colonie pénitentiaire (paragraphe</w:t>
      </w:r>
      <w:r w:rsidRPr="00A2551C" w:rsidR="00B725FF">
        <w:rPr>
          <w:lang w:val="fr-FR"/>
        </w:rPr>
        <w:t xml:space="preserve"> </w:t>
      </w:r>
      <w:r w:rsidRPr="00A2551C" w:rsidR="00B725FF">
        <w:rPr>
          <w:lang w:val="fr-FR"/>
        </w:rPr>
        <w:fldChar w:fldCharType="begin"/>
      </w:r>
      <w:r w:rsidRPr="00A2551C" w:rsidR="00B725FF">
        <w:rPr>
          <w:lang w:val="fr-FR"/>
        </w:rPr>
        <w:instrText xml:space="preserve"> REF visgouvdoc \h </w:instrText>
      </w:r>
      <w:r w:rsidRPr="00A2551C" w:rsidR="001F5753">
        <w:rPr>
          <w:lang w:val="fr-FR"/>
        </w:rPr>
        <w:instrText xml:space="preserve"> \* MERGEFORMAT </w:instrText>
      </w:r>
      <w:r w:rsidRPr="00A2551C" w:rsidR="00B725FF">
        <w:rPr>
          <w:lang w:val="fr-FR"/>
        </w:rPr>
      </w:r>
      <w:r w:rsidRPr="00A2551C" w:rsidR="00B725FF">
        <w:rPr>
          <w:lang w:val="fr-FR"/>
        </w:rPr>
        <w:fldChar w:fldCharType="separate"/>
      </w:r>
      <w:r w:rsidRPr="00A2551C" w:rsidR="00A2551C">
        <w:rPr>
          <w:noProof/>
          <w:lang w:val="fr-FR"/>
        </w:rPr>
        <w:t>99</w:t>
      </w:r>
      <w:r w:rsidRPr="00A2551C" w:rsidR="00B725FF">
        <w:rPr>
          <w:lang w:val="fr-FR"/>
        </w:rPr>
        <w:fldChar w:fldCharType="end"/>
      </w:r>
      <w:r w:rsidRPr="00A2551C" w:rsidR="008F27B0">
        <w:rPr>
          <w:lang w:val="fr-FR"/>
        </w:rPr>
        <w:t xml:space="preserve"> ci</w:t>
      </w:r>
      <w:r w:rsidRPr="00A2551C" w:rsidR="008F27B0">
        <w:rPr>
          <w:lang w:val="fr-FR"/>
        </w:rPr>
        <w:noBreakHyphen/>
        <w:t xml:space="preserve">dessus). </w:t>
      </w:r>
      <w:r w:rsidRPr="00A2551C" w:rsidR="00EF3F78">
        <w:rPr>
          <w:lang w:val="fr-FR"/>
        </w:rPr>
        <w:t>Compte tenu des</w:t>
      </w:r>
      <w:r w:rsidRPr="00A2551C" w:rsidR="008F27B0">
        <w:rPr>
          <w:lang w:val="fr-FR"/>
        </w:rPr>
        <w:t xml:space="preserve"> allégations factuelles</w:t>
      </w:r>
      <w:r w:rsidRPr="00A2551C" w:rsidR="00EF3F78">
        <w:rPr>
          <w:lang w:val="fr-FR"/>
        </w:rPr>
        <w:t xml:space="preserve"> ainsi </w:t>
      </w:r>
      <w:r w:rsidRPr="00A2551C" w:rsidR="008F27B0">
        <w:rPr>
          <w:lang w:val="fr-FR"/>
        </w:rPr>
        <w:t xml:space="preserve">formulées </w:t>
      </w:r>
      <w:r w:rsidRPr="00A2551C" w:rsidR="00EF3F78">
        <w:rPr>
          <w:lang w:val="fr-FR"/>
        </w:rPr>
        <w:t xml:space="preserve">par le requérant </w:t>
      </w:r>
      <w:r w:rsidRPr="00A2551C" w:rsidR="00A179DD">
        <w:rPr>
          <w:lang w:val="fr-FR"/>
        </w:rPr>
        <w:t xml:space="preserve">et </w:t>
      </w:r>
      <w:r w:rsidRPr="00A2551C" w:rsidR="00EF3F78">
        <w:rPr>
          <w:lang w:val="fr-FR"/>
        </w:rPr>
        <w:t>eu égard</w:t>
      </w:r>
      <w:r w:rsidRPr="00A2551C" w:rsidR="007263BA">
        <w:rPr>
          <w:lang w:val="fr-FR"/>
        </w:rPr>
        <w:t xml:space="preserve"> aux principes en matière de délimitation de </w:t>
      </w:r>
      <w:r w:rsidRPr="00A2551C" w:rsidR="009B17DB">
        <w:rPr>
          <w:lang w:val="fr-FR"/>
        </w:rPr>
        <w:t>l</w:t>
      </w:r>
      <w:r w:rsidRPr="00A2551C" w:rsidR="00A2551C">
        <w:rPr>
          <w:lang w:val="fr-FR"/>
        </w:rPr>
        <w:t>’</w:t>
      </w:r>
      <w:r w:rsidRPr="00A2551C" w:rsidR="00EF3F78">
        <w:rPr>
          <w:lang w:val="fr-FR"/>
        </w:rPr>
        <w:t>objet d</w:t>
      </w:r>
      <w:r w:rsidRPr="00A2551C" w:rsidR="00A2551C">
        <w:rPr>
          <w:lang w:val="fr-FR"/>
        </w:rPr>
        <w:t>’</w:t>
      </w:r>
      <w:r w:rsidRPr="00A2551C" w:rsidR="00EF3F78">
        <w:rPr>
          <w:lang w:val="fr-FR"/>
        </w:rPr>
        <w:t xml:space="preserve">une affaire </w:t>
      </w:r>
      <w:r w:rsidRPr="00A2551C" w:rsidR="00866368">
        <w:rPr>
          <w:lang w:val="fr-FR"/>
        </w:rPr>
        <w:t xml:space="preserve">qui lui est </w:t>
      </w:r>
      <w:r w:rsidRPr="00A2551C" w:rsidR="009B17DB">
        <w:rPr>
          <w:lang w:val="fr-FR"/>
        </w:rPr>
        <w:t>« soumise »</w:t>
      </w:r>
      <w:r w:rsidRPr="00A2551C" w:rsidR="00866368">
        <w:rPr>
          <w:lang w:val="fr-FR"/>
        </w:rPr>
        <w:t xml:space="preserve"> </w:t>
      </w:r>
      <w:r w:rsidRPr="00A2551C" w:rsidR="00EF3F78">
        <w:rPr>
          <w:lang w:val="fr-FR"/>
        </w:rPr>
        <w:t>(</w:t>
      </w:r>
      <w:proofErr w:type="spellStart"/>
      <w:r w:rsidRPr="00A2551C" w:rsidR="009B17DB">
        <w:rPr>
          <w:i/>
          <w:iCs/>
          <w:lang w:val="fr-FR"/>
        </w:rPr>
        <w:t>Radomilja</w:t>
      </w:r>
      <w:proofErr w:type="spellEnd"/>
      <w:r w:rsidRPr="00A2551C" w:rsidR="009B17DB">
        <w:rPr>
          <w:i/>
          <w:iCs/>
          <w:lang w:val="fr-FR"/>
        </w:rPr>
        <w:t xml:space="preserve"> et autres c. Croatie</w:t>
      </w:r>
      <w:r w:rsidRPr="00A2551C" w:rsidR="009B17DB">
        <w:rPr>
          <w:lang w:val="fr-FR"/>
        </w:rPr>
        <w:t xml:space="preserve"> [GC], n</w:t>
      </w:r>
      <w:r w:rsidRPr="00A2551C" w:rsidR="009B17DB">
        <w:rPr>
          <w:vertAlign w:val="superscript"/>
          <w:lang w:val="fr-FR"/>
        </w:rPr>
        <w:t>os</w:t>
      </w:r>
      <w:r w:rsidRPr="00A2551C" w:rsidR="007263BA">
        <w:rPr>
          <w:lang w:val="fr-FR"/>
        </w:rPr>
        <w:t> </w:t>
      </w:r>
      <w:r w:rsidRPr="00A2551C" w:rsidR="009B17DB">
        <w:rPr>
          <w:lang w:val="fr-FR"/>
        </w:rPr>
        <w:t>37685/10 et 22768/12, §§ 101</w:t>
      </w:r>
      <w:r w:rsidRPr="00A2551C" w:rsidR="009B17DB">
        <w:rPr>
          <w:lang w:val="fr-FR"/>
        </w:rPr>
        <w:noBreakHyphen/>
        <w:t>127, 20</w:t>
      </w:r>
      <w:r w:rsidRPr="00A2551C" w:rsidR="007263BA">
        <w:rPr>
          <w:lang w:val="fr-FR"/>
        </w:rPr>
        <w:t> </w:t>
      </w:r>
      <w:r w:rsidRPr="00A2551C" w:rsidR="009B17DB">
        <w:rPr>
          <w:lang w:val="fr-FR"/>
        </w:rPr>
        <w:t>mars 2018)</w:t>
      </w:r>
      <w:r w:rsidRPr="00A2551C" w:rsidR="008F27B0">
        <w:rPr>
          <w:lang w:val="fr-FR"/>
        </w:rPr>
        <w:t xml:space="preserve">, </w:t>
      </w:r>
      <w:r w:rsidRPr="00A2551C" w:rsidR="00866368">
        <w:rPr>
          <w:lang w:val="fr-FR"/>
        </w:rPr>
        <w:t xml:space="preserve">la Cour </w:t>
      </w:r>
      <w:r w:rsidRPr="00A2551C" w:rsidR="008F27B0">
        <w:rPr>
          <w:lang w:val="fr-FR"/>
        </w:rPr>
        <w:t xml:space="preserve">estime </w:t>
      </w:r>
      <w:r w:rsidRPr="00A2551C" w:rsidR="009B17DB">
        <w:rPr>
          <w:lang w:val="fr-FR"/>
        </w:rPr>
        <w:t>que la portée de cette partie du</w:t>
      </w:r>
      <w:r w:rsidRPr="00A2551C" w:rsidR="008F27B0">
        <w:rPr>
          <w:lang w:val="fr-FR"/>
        </w:rPr>
        <w:t xml:space="preserve"> grief </w:t>
      </w:r>
      <w:r w:rsidRPr="00A2551C" w:rsidR="009B17DB">
        <w:rPr>
          <w:lang w:val="fr-FR"/>
        </w:rPr>
        <w:t>tiré de l</w:t>
      </w:r>
      <w:r w:rsidRPr="00A2551C" w:rsidR="00A2551C">
        <w:rPr>
          <w:lang w:val="fr-FR"/>
        </w:rPr>
        <w:t>’</w:t>
      </w:r>
      <w:r w:rsidRPr="00A2551C" w:rsidR="009B17DB">
        <w:rPr>
          <w:lang w:val="fr-FR"/>
        </w:rPr>
        <w:t xml:space="preserve">article 8 de la Convention </w:t>
      </w:r>
      <w:r w:rsidRPr="00A2551C" w:rsidR="008F27B0">
        <w:rPr>
          <w:lang w:val="fr-FR"/>
        </w:rPr>
        <w:t xml:space="preserve">ne concerne que </w:t>
      </w:r>
      <w:r w:rsidRPr="00A2551C" w:rsidR="00EF3F78">
        <w:rPr>
          <w:lang w:val="fr-FR"/>
        </w:rPr>
        <w:t xml:space="preserve">la détention du requérant au sein de la colonie pénitentiaire </w:t>
      </w:r>
      <w:r w:rsidRPr="00A2551C" w:rsidR="00866368">
        <w:rPr>
          <w:lang w:val="fr-FR"/>
        </w:rPr>
        <w:t xml:space="preserve">à régime spécial </w:t>
      </w:r>
      <w:r w:rsidRPr="00A2551C" w:rsidR="00EF3F78">
        <w:rPr>
          <w:lang w:val="fr-FR"/>
        </w:rPr>
        <w:t>n</w:t>
      </w:r>
      <w:r w:rsidRPr="00A2551C" w:rsidR="00EF3F78">
        <w:rPr>
          <w:vertAlign w:val="superscript"/>
          <w:lang w:val="fr-FR"/>
        </w:rPr>
        <w:t>o</w:t>
      </w:r>
      <w:r w:rsidRPr="00A2551C" w:rsidR="00EF3F78">
        <w:rPr>
          <w:lang w:val="fr-FR"/>
        </w:rPr>
        <w:t> IK</w:t>
      </w:r>
      <w:r w:rsidRPr="00A2551C" w:rsidR="00EF3F78">
        <w:rPr>
          <w:lang w:val="fr-FR"/>
        </w:rPr>
        <w:noBreakHyphen/>
        <w:t xml:space="preserve">1 de la </w:t>
      </w:r>
      <w:r w:rsidRPr="00A2551C" w:rsidR="00EC6BDF">
        <w:rPr>
          <w:lang w:val="fr-FR"/>
        </w:rPr>
        <w:t>région de Mordovie</w:t>
      </w:r>
      <w:r w:rsidRPr="00A2551C" w:rsidR="00EF3F78">
        <w:rPr>
          <w:lang w:val="fr-FR"/>
        </w:rPr>
        <w:t xml:space="preserve"> du </w:t>
      </w:r>
      <w:r w:rsidRPr="00A2551C" w:rsidR="007263BA">
        <w:rPr>
          <w:lang w:val="fr-FR"/>
        </w:rPr>
        <w:t>6 </w:t>
      </w:r>
      <w:r w:rsidRPr="00A2551C" w:rsidR="00EF3F78">
        <w:rPr>
          <w:lang w:val="fr-FR"/>
        </w:rPr>
        <w:t>novembre 2011 au 25 novembre 2013.</w:t>
      </w:r>
    </w:p>
    <w:p w:rsidRPr="00A2551C" w:rsidR="009B17DB" w:rsidP="00A2551C" w:rsidRDefault="009B17DB">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105</w:t>
      </w:r>
      <w:r w:rsidRPr="00A2551C">
        <w:rPr>
          <w:lang w:val="fr-FR"/>
        </w:rPr>
        <w:fldChar w:fldCharType="end"/>
      </w:r>
      <w:r w:rsidRPr="00A2551C">
        <w:rPr>
          <w:lang w:val="fr-FR"/>
        </w:rPr>
        <w:t>.  </w:t>
      </w:r>
      <w:r w:rsidRPr="00A2551C" w:rsidR="00A179DD">
        <w:rPr>
          <w:lang w:val="fr-FR"/>
        </w:rPr>
        <w:t xml:space="preserve">La Cour note ensuite que le requérant, en tant que détenu condamné à perpétuité, a été placé </w:t>
      </w:r>
      <w:r w:rsidRPr="00A2551C" w:rsidR="004B7218">
        <w:rPr>
          <w:lang w:val="fr-FR"/>
        </w:rPr>
        <w:t xml:space="preserve">au </w:t>
      </w:r>
      <w:r w:rsidRPr="00A2551C" w:rsidR="00A179DD">
        <w:rPr>
          <w:lang w:val="fr-FR"/>
        </w:rPr>
        <w:t xml:space="preserve">sein de la colonie pénitentiaire </w:t>
      </w:r>
      <w:r w:rsidRPr="00A2551C" w:rsidR="00866368">
        <w:rPr>
          <w:lang w:val="fr-FR"/>
        </w:rPr>
        <w:t>précitée,</w:t>
      </w:r>
      <w:r w:rsidRPr="00A2551C" w:rsidR="00CE37E1">
        <w:rPr>
          <w:lang w:val="fr-FR"/>
        </w:rPr>
        <w:t xml:space="preserve"> </w:t>
      </w:r>
      <w:r w:rsidRPr="00A2551C" w:rsidR="00A179DD">
        <w:rPr>
          <w:lang w:val="fr-FR"/>
        </w:rPr>
        <w:t xml:space="preserve">où il </w:t>
      </w:r>
      <w:r w:rsidRPr="00A2551C" w:rsidR="00866368">
        <w:rPr>
          <w:lang w:val="fr-FR"/>
        </w:rPr>
        <w:t xml:space="preserve">a été </w:t>
      </w:r>
      <w:r w:rsidRPr="00A2551C" w:rsidR="00A179DD">
        <w:rPr>
          <w:lang w:val="fr-FR"/>
        </w:rPr>
        <w:t xml:space="preserve">soumis au régime </w:t>
      </w:r>
      <w:r w:rsidRPr="00A2551C" w:rsidR="00CE37E1">
        <w:rPr>
          <w:lang w:val="fr-FR"/>
        </w:rPr>
        <w:t>de détention</w:t>
      </w:r>
      <w:r w:rsidRPr="00A2551C" w:rsidR="00866368">
        <w:rPr>
          <w:lang w:val="fr-FR"/>
        </w:rPr>
        <w:t xml:space="preserve"> strict</w:t>
      </w:r>
      <w:r w:rsidRPr="00A2551C" w:rsidR="00A179DD">
        <w:rPr>
          <w:lang w:val="fr-FR"/>
        </w:rPr>
        <w:t xml:space="preserve">. </w:t>
      </w:r>
      <w:r w:rsidRPr="00A2551C" w:rsidR="00866368">
        <w:rPr>
          <w:lang w:val="fr-FR"/>
        </w:rPr>
        <w:t>Elle constate que, d</w:t>
      </w:r>
      <w:r w:rsidRPr="00A2551C" w:rsidR="00CE37E1">
        <w:rPr>
          <w:lang w:val="fr-FR"/>
        </w:rPr>
        <w:t>u 6 novembre 2011 au 25 </w:t>
      </w:r>
      <w:r w:rsidRPr="00A2551C" w:rsidR="00A179DD">
        <w:rPr>
          <w:lang w:val="fr-FR"/>
        </w:rPr>
        <w:t xml:space="preserve">novembre 2013, </w:t>
      </w:r>
      <w:r w:rsidRPr="00A2551C" w:rsidR="00866368">
        <w:rPr>
          <w:lang w:val="fr-FR"/>
        </w:rPr>
        <w:t>l</w:t>
      </w:r>
      <w:r w:rsidRPr="00A2551C" w:rsidR="00A2551C">
        <w:rPr>
          <w:lang w:val="fr-FR"/>
        </w:rPr>
        <w:t>’</w:t>
      </w:r>
      <w:r w:rsidRPr="00A2551C" w:rsidR="00866368">
        <w:rPr>
          <w:lang w:val="fr-FR"/>
        </w:rPr>
        <w:t xml:space="preserve">intéressé </w:t>
      </w:r>
      <w:r w:rsidRPr="00A2551C" w:rsidR="00A179DD">
        <w:rPr>
          <w:lang w:val="fr-FR"/>
        </w:rPr>
        <w:t xml:space="preserve">a pu maintenir des relations avec le monde extérieur par correspondance, mais </w:t>
      </w:r>
      <w:r w:rsidRPr="00A2551C" w:rsidR="00866368">
        <w:rPr>
          <w:lang w:val="fr-FR"/>
        </w:rPr>
        <w:t xml:space="preserve">que </w:t>
      </w:r>
      <w:r w:rsidRPr="00A2551C" w:rsidR="00A179DD">
        <w:rPr>
          <w:lang w:val="fr-FR"/>
        </w:rPr>
        <w:t>toutes les autres formes de contact étaient soumises à des restrictions.</w:t>
      </w:r>
    </w:p>
    <w:p w:rsidRPr="00A2551C" w:rsidR="007E57B6" w:rsidP="00A2551C" w:rsidRDefault="00636F0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106</w:t>
      </w:r>
      <w:r w:rsidRPr="00A2551C">
        <w:rPr>
          <w:lang w:val="fr-FR"/>
        </w:rPr>
        <w:fldChar w:fldCharType="end"/>
      </w:r>
      <w:r w:rsidRPr="00A2551C">
        <w:rPr>
          <w:lang w:val="fr-FR"/>
        </w:rPr>
        <w:t>.  La Cour rappelle que</w:t>
      </w:r>
      <w:r w:rsidRPr="00A2551C" w:rsidR="00AE0E06">
        <w:rPr>
          <w:lang w:val="fr-FR"/>
        </w:rPr>
        <w:t>,</w:t>
      </w:r>
      <w:r w:rsidRPr="00A2551C">
        <w:rPr>
          <w:lang w:val="fr-FR"/>
        </w:rPr>
        <w:t xml:space="preserve"> dans son arrêt </w:t>
      </w:r>
      <w:proofErr w:type="spellStart"/>
      <w:r w:rsidRPr="00A2551C">
        <w:rPr>
          <w:i/>
          <w:lang w:val="fr-FR"/>
        </w:rPr>
        <w:t>Khoroshenko</w:t>
      </w:r>
      <w:proofErr w:type="spellEnd"/>
      <w:r w:rsidRPr="00A2551C">
        <w:rPr>
          <w:lang w:val="fr-FR"/>
        </w:rPr>
        <w:t xml:space="preserve"> précité</w:t>
      </w:r>
      <w:r w:rsidRPr="00A2551C" w:rsidR="007E57B6">
        <w:rPr>
          <w:lang w:val="fr-FR"/>
        </w:rPr>
        <w:t xml:space="preserve">, après avoir </w:t>
      </w:r>
      <w:r w:rsidRPr="00A2551C">
        <w:rPr>
          <w:lang w:val="fr-FR"/>
        </w:rPr>
        <w:t xml:space="preserve">examiné la même combinaison de diverses restrictions sévères et durables apportées à la possibilité pour le requérant de recevoir des visites en prison </w:t>
      </w:r>
      <w:r w:rsidRPr="00A2551C" w:rsidR="007E57B6">
        <w:rPr>
          <w:lang w:val="fr-FR"/>
        </w:rPr>
        <w:t>et de maintenir le contact avec le monde extérieur (</w:t>
      </w:r>
      <w:proofErr w:type="spellStart"/>
      <w:r w:rsidRPr="00A2551C" w:rsidR="00FB21BF">
        <w:rPr>
          <w:i/>
          <w:lang w:val="fr-FR"/>
        </w:rPr>
        <w:t>Khoroshenko</w:t>
      </w:r>
      <w:proofErr w:type="spellEnd"/>
      <w:r w:rsidRPr="00A2551C" w:rsidR="00FB21BF">
        <w:rPr>
          <w:lang w:val="fr-FR"/>
        </w:rPr>
        <w:t xml:space="preserve">, précité, </w:t>
      </w:r>
      <w:r w:rsidRPr="00A2551C" w:rsidR="007E57B6">
        <w:rPr>
          <w:lang w:val="fr-FR"/>
        </w:rPr>
        <w:t>§§ 127</w:t>
      </w:r>
      <w:r w:rsidRPr="00A2551C" w:rsidR="007E57B6">
        <w:rPr>
          <w:lang w:val="fr-FR"/>
        </w:rPr>
        <w:noBreakHyphen/>
        <w:t xml:space="preserve">130), elle </w:t>
      </w:r>
      <w:r w:rsidRPr="00A2551C">
        <w:rPr>
          <w:lang w:val="fr-FR"/>
        </w:rPr>
        <w:t xml:space="preserve">a conclu </w:t>
      </w:r>
      <w:r w:rsidRPr="00A2551C" w:rsidR="007E57B6">
        <w:rPr>
          <w:lang w:val="fr-FR"/>
        </w:rPr>
        <w:t>à la violation du droit du requérant au respect de sa vie privée et familiale garanti par l</w:t>
      </w:r>
      <w:r w:rsidRPr="00A2551C" w:rsidR="00A2551C">
        <w:rPr>
          <w:lang w:val="fr-FR"/>
        </w:rPr>
        <w:t>’</w:t>
      </w:r>
      <w:r w:rsidRPr="00A2551C" w:rsidR="007E57B6">
        <w:rPr>
          <w:lang w:val="fr-FR"/>
        </w:rPr>
        <w:t>article 8 de la Convention à raison de l</w:t>
      </w:r>
      <w:r w:rsidRPr="00A2551C" w:rsidR="00A2551C">
        <w:rPr>
          <w:lang w:val="fr-FR"/>
        </w:rPr>
        <w:t>’</w:t>
      </w:r>
      <w:r w:rsidRPr="00A2551C" w:rsidR="007E57B6">
        <w:rPr>
          <w:lang w:val="fr-FR"/>
        </w:rPr>
        <w:t>application à l</w:t>
      </w:r>
      <w:r w:rsidRPr="00A2551C" w:rsidR="00A2551C">
        <w:rPr>
          <w:lang w:val="fr-FR"/>
        </w:rPr>
        <w:t>’</w:t>
      </w:r>
      <w:r w:rsidRPr="00A2551C" w:rsidR="007E57B6">
        <w:rPr>
          <w:lang w:val="fr-FR"/>
        </w:rPr>
        <w:t>intéressé des restrictions en question (</w:t>
      </w:r>
      <w:r w:rsidRPr="00A2551C" w:rsidR="00FB21BF">
        <w:rPr>
          <w:i/>
          <w:lang w:val="fr-FR"/>
        </w:rPr>
        <w:t>idem</w:t>
      </w:r>
      <w:r w:rsidRPr="00A2551C" w:rsidR="00FB21BF">
        <w:rPr>
          <w:lang w:val="fr-FR"/>
        </w:rPr>
        <w:t xml:space="preserve">, </w:t>
      </w:r>
      <w:r w:rsidRPr="00A2551C" w:rsidR="007E57B6">
        <w:rPr>
          <w:lang w:val="fr-FR"/>
        </w:rPr>
        <w:t>§§ 131</w:t>
      </w:r>
      <w:r w:rsidRPr="00A2551C" w:rsidR="007E57B6">
        <w:rPr>
          <w:lang w:val="fr-FR"/>
        </w:rPr>
        <w:noBreakHyphen/>
        <w:t>149).</w:t>
      </w:r>
    </w:p>
    <w:p w:rsidRPr="00A2551C" w:rsidR="0076324D" w:rsidP="00A2551C" w:rsidRDefault="007E57B6">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107</w:t>
      </w:r>
      <w:r w:rsidRPr="00A2551C">
        <w:rPr>
          <w:lang w:val="fr-FR"/>
        </w:rPr>
        <w:fldChar w:fldCharType="end"/>
      </w:r>
      <w:r w:rsidRPr="00A2551C">
        <w:rPr>
          <w:lang w:val="fr-FR"/>
        </w:rPr>
        <w:t>.  En l</w:t>
      </w:r>
      <w:r w:rsidRPr="00A2551C" w:rsidR="00A2551C">
        <w:rPr>
          <w:lang w:val="fr-FR"/>
        </w:rPr>
        <w:t>’</w:t>
      </w:r>
      <w:r w:rsidRPr="00A2551C">
        <w:rPr>
          <w:lang w:val="fr-FR"/>
        </w:rPr>
        <w:t>occurrence, eu égard aux éléments dont elle dispose, la Cour estime que le Gouvernement n</w:t>
      </w:r>
      <w:r w:rsidRPr="00A2551C" w:rsidR="00A2551C">
        <w:rPr>
          <w:lang w:val="fr-FR"/>
        </w:rPr>
        <w:t>’</w:t>
      </w:r>
      <w:r w:rsidRPr="00A2551C">
        <w:rPr>
          <w:lang w:val="fr-FR"/>
        </w:rPr>
        <w:t>a mis en avant aucun élément de fait ou de droit à même de la convaincre de parvenir à une conclusion différente en l</w:t>
      </w:r>
      <w:r w:rsidRPr="00A2551C" w:rsidR="00A2551C">
        <w:rPr>
          <w:lang w:val="fr-FR"/>
        </w:rPr>
        <w:t>’</w:t>
      </w:r>
      <w:r w:rsidRPr="00A2551C">
        <w:rPr>
          <w:lang w:val="fr-FR"/>
        </w:rPr>
        <w:t>espèce.</w:t>
      </w:r>
    </w:p>
    <w:p w:rsidRPr="00A2551C" w:rsidR="0076324D" w:rsidP="00A2551C" w:rsidRDefault="007E57B6">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108</w:t>
      </w:r>
      <w:r w:rsidRPr="00A2551C">
        <w:rPr>
          <w:lang w:val="fr-FR"/>
        </w:rPr>
        <w:fldChar w:fldCharType="end"/>
      </w:r>
      <w:r w:rsidRPr="00A2551C">
        <w:rPr>
          <w:lang w:val="fr-FR"/>
        </w:rPr>
        <w:t xml:space="preserve">.  En effet, </w:t>
      </w:r>
      <w:r w:rsidRPr="00A2551C" w:rsidR="00D017C5">
        <w:rPr>
          <w:lang w:val="fr-FR"/>
        </w:rPr>
        <w:t>il ressort des documents soumis par le Gouvernement que l</w:t>
      </w:r>
      <w:r w:rsidRPr="00A2551C" w:rsidR="00A2551C">
        <w:rPr>
          <w:lang w:val="fr-FR"/>
        </w:rPr>
        <w:t>’</w:t>
      </w:r>
      <w:r w:rsidRPr="00A2551C" w:rsidR="00D017C5">
        <w:rPr>
          <w:lang w:val="fr-FR"/>
        </w:rPr>
        <w:t xml:space="preserve">intéressé </w:t>
      </w:r>
      <w:r w:rsidRPr="00A2551C" w:rsidR="009F2502">
        <w:rPr>
          <w:lang w:val="fr-FR"/>
        </w:rPr>
        <w:t>n</w:t>
      </w:r>
      <w:r w:rsidRPr="00A2551C" w:rsidR="00A2551C">
        <w:rPr>
          <w:lang w:val="fr-FR"/>
        </w:rPr>
        <w:t>’</w:t>
      </w:r>
      <w:r w:rsidRPr="00A2551C" w:rsidR="009F2502">
        <w:rPr>
          <w:lang w:val="fr-FR"/>
        </w:rPr>
        <w:t>a</w:t>
      </w:r>
      <w:r w:rsidRPr="00A2551C" w:rsidR="00D017C5">
        <w:rPr>
          <w:lang w:val="fr-FR"/>
        </w:rPr>
        <w:t xml:space="preserve"> re</w:t>
      </w:r>
      <w:r w:rsidRPr="00A2551C" w:rsidR="009F2502">
        <w:rPr>
          <w:lang w:val="fr-FR"/>
        </w:rPr>
        <w:t xml:space="preserve">çu </w:t>
      </w:r>
      <w:r w:rsidRPr="00A2551C" w:rsidR="00D017C5">
        <w:rPr>
          <w:lang w:val="fr-FR"/>
        </w:rPr>
        <w:t>qu</w:t>
      </w:r>
      <w:r w:rsidRPr="00A2551C" w:rsidR="00A2551C">
        <w:rPr>
          <w:lang w:val="fr-FR"/>
        </w:rPr>
        <w:t>’</w:t>
      </w:r>
      <w:r w:rsidRPr="00A2551C" w:rsidR="00D017C5">
        <w:rPr>
          <w:lang w:val="fr-FR"/>
        </w:rPr>
        <w:t xml:space="preserve">une visite de ses proches tous les six mois, ces visites étant limitées à quatre heures et </w:t>
      </w:r>
      <w:r w:rsidRPr="00A2551C" w:rsidR="00280217">
        <w:rPr>
          <w:lang w:val="fr-FR"/>
        </w:rPr>
        <w:t xml:space="preserve">à </w:t>
      </w:r>
      <w:r w:rsidRPr="00A2551C" w:rsidR="00D017C5">
        <w:rPr>
          <w:lang w:val="fr-FR"/>
        </w:rPr>
        <w:t xml:space="preserve">deux visiteurs adultes (paragraphe </w:t>
      </w:r>
      <w:r w:rsidRPr="00A2551C" w:rsidR="00CE37E1">
        <w:rPr>
          <w:lang w:val="fr-FR"/>
        </w:rPr>
        <w:fldChar w:fldCharType="begin"/>
      </w:r>
      <w:r w:rsidRPr="00A2551C" w:rsidR="00CE37E1">
        <w:rPr>
          <w:lang w:val="fr-FR"/>
        </w:rPr>
        <w:instrText xml:space="preserve"> REF visgouvdoc \h </w:instrText>
      </w:r>
      <w:r w:rsidRPr="00A2551C" w:rsidR="001F5753">
        <w:rPr>
          <w:lang w:val="fr-FR"/>
        </w:rPr>
        <w:instrText xml:space="preserve"> \* MERGEFORMAT </w:instrText>
      </w:r>
      <w:r w:rsidRPr="00A2551C" w:rsidR="00CE37E1">
        <w:rPr>
          <w:lang w:val="fr-FR"/>
        </w:rPr>
      </w:r>
      <w:r w:rsidRPr="00A2551C" w:rsidR="00CE37E1">
        <w:rPr>
          <w:lang w:val="fr-FR"/>
        </w:rPr>
        <w:fldChar w:fldCharType="separate"/>
      </w:r>
      <w:r w:rsidRPr="00A2551C" w:rsidR="00A2551C">
        <w:rPr>
          <w:noProof/>
          <w:lang w:val="fr-FR"/>
        </w:rPr>
        <w:t>99</w:t>
      </w:r>
      <w:r w:rsidRPr="00A2551C" w:rsidR="00CE37E1">
        <w:rPr>
          <w:lang w:val="fr-FR"/>
        </w:rPr>
        <w:fldChar w:fldCharType="end"/>
      </w:r>
      <w:r w:rsidRPr="00A2551C" w:rsidR="00CE37E1">
        <w:rPr>
          <w:lang w:val="fr-FR"/>
        </w:rPr>
        <w:t xml:space="preserve"> </w:t>
      </w:r>
      <w:r w:rsidRPr="00A2551C" w:rsidR="00D017C5">
        <w:rPr>
          <w:lang w:val="fr-FR"/>
        </w:rPr>
        <w:t>ci</w:t>
      </w:r>
      <w:r w:rsidRPr="00A2551C" w:rsidR="00D017C5">
        <w:rPr>
          <w:lang w:val="fr-FR"/>
        </w:rPr>
        <w:noBreakHyphen/>
        <w:t>dessus). Le Gouvernement n</w:t>
      </w:r>
      <w:r w:rsidRPr="00A2551C" w:rsidR="00A2551C">
        <w:rPr>
          <w:lang w:val="fr-FR"/>
        </w:rPr>
        <w:t>’</w:t>
      </w:r>
      <w:r w:rsidRPr="00A2551C" w:rsidR="00D017C5">
        <w:rPr>
          <w:lang w:val="fr-FR"/>
        </w:rPr>
        <w:t xml:space="preserve">a </w:t>
      </w:r>
      <w:r w:rsidRPr="00A2551C" w:rsidR="00280217">
        <w:rPr>
          <w:lang w:val="fr-FR"/>
        </w:rPr>
        <w:t xml:space="preserve">par ailleurs </w:t>
      </w:r>
      <w:r w:rsidRPr="00A2551C" w:rsidR="00D017C5">
        <w:rPr>
          <w:lang w:val="fr-FR"/>
        </w:rPr>
        <w:t>pas contesté l</w:t>
      </w:r>
      <w:r w:rsidRPr="00A2551C" w:rsidR="00A2551C">
        <w:rPr>
          <w:lang w:val="fr-FR"/>
        </w:rPr>
        <w:t>’</w:t>
      </w:r>
      <w:r w:rsidRPr="00A2551C" w:rsidR="00D017C5">
        <w:rPr>
          <w:lang w:val="fr-FR"/>
        </w:rPr>
        <w:t xml:space="preserve">allégation du requérant selon laquelle, pendant lesdites visites, </w:t>
      </w:r>
      <w:r w:rsidRPr="00A2551C" w:rsidR="00280217">
        <w:rPr>
          <w:lang w:val="fr-FR"/>
        </w:rPr>
        <w:t>celui-ci</w:t>
      </w:r>
      <w:r w:rsidRPr="00A2551C" w:rsidR="00D017C5">
        <w:rPr>
          <w:lang w:val="fr-FR"/>
        </w:rPr>
        <w:t xml:space="preserve"> était séparé de ses visiteurs par une paroi </w:t>
      </w:r>
      <w:r w:rsidRPr="00A2551C" w:rsidR="005D31DE">
        <w:rPr>
          <w:lang w:val="fr-FR"/>
        </w:rPr>
        <w:t xml:space="preserve">empêchant tout contact physique </w:t>
      </w:r>
      <w:r w:rsidRPr="00A2551C" w:rsidR="00D017C5">
        <w:rPr>
          <w:lang w:val="fr-FR"/>
        </w:rPr>
        <w:t>et un gardien se trouvait à tout moment à portée d</w:t>
      </w:r>
      <w:r w:rsidRPr="00A2551C" w:rsidR="00A2551C">
        <w:rPr>
          <w:lang w:val="fr-FR"/>
        </w:rPr>
        <w:t>’</w:t>
      </w:r>
      <w:r w:rsidRPr="00A2551C" w:rsidR="00D017C5">
        <w:rPr>
          <w:lang w:val="fr-FR"/>
        </w:rPr>
        <w:t>ouïe</w:t>
      </w:r>
      <w:r w:rsidRPr="00A2551C" w:rsidR="00CE37E1">
        <w:rPr>
          <w:lang w:val="fr-FR"/>
        </w:rPr>
        <w:t xml:space="preserve"> (paragraphes </w:t>
      </w:r>
      <w:r w:rsidRPr="00A2551C" w:rsidR="00CE37E1">
        <w:rPr>
          <w:lang w:val="fr-FR"/>
        </w:rPr>
        <w:fldChar w:fldCharType="begin"/>
      </w:r>
      <w:r w:rsidRPr="00A2551C" w:rsidR="00CE37E1">
        <w:rPr>
          <w:lang w:val="fr-FR"/>
        </w:rPr>
        <w:instrText xml:space="preserve"> REF visreq1 \h </w:instrText>
      </w:r>
      <w:r w:rsidRPr="00A2551C" w:rsidR="001F5753">
        <w:rPr>
          <w:lang w:val="fr-FR"/>
        </w:rPr>
        <w:instrText xml:space="preserve"> \* MERGEFORMAT </w:instrText>
      </w:r>
      <w:r w:rsidRPr="00A2551C" w:rsidR="00CE37E1">
        <w:rPr>
          <w:lang w:val="fr-FR"/>
        </w:rPr>
      </w:r>
      <w:r w:rsidRPr="00A2551C" w:rsidR="00CE37E1">
        <w:rPr>
          <w:lang w:val="fr-FR"/>
        </w:rPr>
        <w:fldChar w:fldCharType="separate"/>
      </w:r>
      <w:r w:rsidRPr="00A2551C" w:rsidR="00A2551C">
        <w:rPr>
          <w:noProof/>
          <w:lang w:val="fr-FR"/>
        </w:rPr>
        <w:t>34</w:t>
      </w:r>
      <w:r w:rsidRPr="00A2551C" w:rsidR="00CE37E1">
        <w:rPr>
          <w:lang w:val="fr-FR"/>
        </w:rPr>
        <w:fldChar w:fldCharType="end"/>
      </w:r>
      <w:r w:rsidRPr="00A2551C" w:rsidR="00CE37E1">
        <w:rPr>
          <w:lang w:val="fr-FR"/>
        </w:rPr>
        <w:t xml:space="preserve"> et </w:t>
      </w:r>
      <w:r w:rsidRPr="00A2551C" w:rsidR="00CE37E1">
        <w:rPr>
          <w:lang w:val="fr-FR"/>
        </w:rPr>
        <w:fldChar w:fldCharType="begin"/>
      </w:r>
      <w:r w:rsidRPr="00A2551C" w:rsidR="00CE37E1">
        <w:rPr>
          <w:lang w:val="fr-FR"/>
        </w:rPr>
        <w:instrText xml:space="preserve"> REF visreq3 \h </w:instrText>
      </w:r>
      <w:r w:rsidRPr="00A2551C" w:rsidR="001F5753">
        <w:rPr>
          <w:lang w:val="fr-FR"/>
        </w:rPr>
        <w:instrText xml:space="preserve"> \* MERGEFORMAT </w:instrText>
      </w:r>
      <w:r w:rsidRPr="00A2551C" w:rsidR="00CE37E1">
        <w:rPr>
          <w:lang w:val="fr-FR"/>
        </w:rPr>
      </w:r>
      <w:r w:rsidRPr="00A2551C" w:rsidR="00CE37E1">
        <w:rPr>
          <w:lang w:val="fr-FR"/>
        </w:rPr>
        <w:fldChar w:fldCharType="separate"/>
      </w:r>
      <w:r w:rsidRPr="00A2551C" w:rsidR="00A2551C">
        <w:rPr>
          <w:noProof/>
          <w:lang w:val="fr-FR"/>
        </w:rPr>
        <w:t>101</w:t>
      </w:r>
      <w:r w:rsidRPr="00A2551C" w:rsidR="00CE37E1">
        <w:rPr>
          <w:lang w:val="fr-FR"/>
        </w:rPr>
        <w:fldChar w:fldCharType="end"/>
      </w:r>
      <w:r w:rsidRPr="00A2551C" w:rsidR="00CE37E1">
        <w:rPr>
          <w:lang w:val="fr-FR"/>
        </w:rPr>
        <w:t xml:space="preserve"> ci</w:t>
      </w:r>
      <w:r w:rsidRPr="00A2551C" w:rsidR="00CE37E1">
        <w:rPr>
          <w:lang w:val="fr-FR"/>
        </w:rPr>
        <w:noBreakHyphen/>
        <w:t>dessus)</w:t>
      </w:r>
      <w:r w:rsidRPr="00A2551C" w:rsidR="00D017C5">
        <w:rPr>
          <w:lang w:val="fr-FR"/>
        </w:rPr>
        <w:t xml:space="preserve">. </w:t>
      </w:r>
      <w:r w:rsidRPr="00A2551C" w:rsidR="00501CEB">
        <w:rPr>
          <w:lang w:val="fr-FR"/>
        </w:rPr>
        <w:t>En ce qui concerne</w:t>
      </w:r>
      <w:r w:rsidRPr="00A2551C" w:rsidR="00BE1BD8">
        <w:rPr>
          <w:lang w:val="fr-FR"/>
        </w:rPr>
        <w:t xml:space="preserve"> </w:t>
      </w:r>
      <w:r w:rsidRPr="00A2551C" w:rsidR="00D017C5">
        <w:rPr>
          <w:lang w:val="fr-FR"/>
        </w:rPr>
        <w:t xml:space="preserve">la possibilité pour le requérant de recevoir plusieurs visites </w:t>
      </w:r>
      <w:r w:rsidRPr="00A2551C" w:rsidR="00BE1BD8">
        <w:rPr>
          <w:lang w:val="fr-FR"/>
        </w:rPr>
        <w:t>de ses avocats et défenseurs</w:t>
      </w:r>
      <w:r w:rsidRPr="00A2551C" w:rsidR="00501CEB">
        <w:rPr>
          <w:lang w:val="fr-FR"/>
        </w:rPr>
        <w:t>, la Cour estime qu</w:t>
      </w:r>
      <w:r w:rsidRPr="00A2551C" w:rsidR="00A2551C">
        <w:rPr>
          <w:lang w:val="fr-FR"/>
        </w:rPr>
        <w:t>’</w:t>
      </w:r>
      <w:r w:rsidRPr="00A2551C" w:rsidR="00501CEB">
        <w:rPr>
          <w:lang w:val="fr-FR"/>
        </w:rPr>
        <w:t>elles ne peuvent combler le manque de contacts de l</w:t>
      </w:r>
      <w:r w:rsidRPr="00A2551C" w:rsidR="00A2551C">
        <w:rPr>
          <w:lang w:val="fr-FR"/>
        </w:rPr>
        <w:t>’</w:t>
      </w:r>
      <w:r w:rsidRPr="00A2551C" w:rsidR="00501CEB">
        <w:rPr>
          <w:lang w:val="fr-FR"/>
        </w:rPr>
        <w:t>intéressé avec ses proches</w:t>
      </w:r>
      <w:r w:rsidRPr="00A2551C" w:rsidR="00D017C5">
        <w:rPr>
          <w:lang w:val="fr-FR"/>
        </w:rPr>
        <w:t>.</w:t>
      </w:r>
    </w:p>
    <w:p w:rsidRPr="00A2551C" w:rsidR="00D017C5" w:rsidP="00A2551C" w:rsidRDefault="00D017C5">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109</w:t>
      </w:r>
      <w:r w:rsidRPr="00A2551C">
        <w:rPr>
          <w:lang w:val="fr-FR"/>
        </w:rPr>
        <w:fldChar w:fldCharType="end"/>
      </w:r>
      <w:r w:rsidRPr="00A2551C">
        <w:rPr>
          <w:lang w:val="fr-FR"/>
        </w:rPr>
        <w:t>.  Partant, il y a eu violation du droit du requérant au respect de sa vie privée et familiale garanti par l</w:t>
      </w:r>
      <w:r w:rsidRPr="00A2551C" w:rsidR="00A2551C">
        <w:rPr>
          <w:lang w:val="fr-FR"/>
        </w:rPr>
        <w:t>’</w:t>
      </w:r>
      <w:r w:rsidRPr="00A2551C">
        <w:rPr>
          <w:lang w:val="fr-FR"/>
        </w:rPr>
        <w:t xml:space="preserve">article 8 de la Convention à raison </w:t>
      </w:r>
      <w:r w:rsidRPr="00A2551C" w:rsidR="00346C0B">
        <w:rPr>
          <w:lang w:val="fr-FR"/>
        </w:rPr>
        <w:t xml:space="preserve">des restrictions apportées à la possibilité pour </w:t>
      </w:r>
      <w:r w:rsidRPr="00A2551C" w:rsidR="00280217">
        <w:rPr>
          <w:lang w:val="fr-FR"/>
        </w:rPr>
        <w:t>l</w:t>
      </w:r>
      <w:r w:rsidRPr="00A2551C" w:rsidR="00A2551C">
        <w:rPr>
          <w:lang w:val="fr-FR"/>
        </w:rPr>
        <w:t>’</w:t>
      </w:r>
      <w:r w:rsidRPr="00A2551C" w:rsidR="00280217">
        <w:rPr>
          <w:lang w:val="fr-FR"/>
        </w:rPr>
        <w:t>intéressé</w:t>
      </w:r>
      <w:r w:rsidRPr="00A2551C" w:rsidR="00346C0B">
        <w:rPr>
          <w:lang w:val="fr-FR"/>
        </w:rPr>
        <w:t xml:space="preserve"> de recevoir des visites familiales </w:t>
      </w:r>
      <w:r w:rsidRPr="00A2551C">
        <w:rPr>
          <w:lang w:val="fr-FR"/>
        </w:rPr>
        <w:t>au sein de la colonie péniten</w:t>
      </w:r>
      <w:r w:rsidRPr="00A2551C" w:rsidR="00536B89">
        <w:rPr>
          <w:lang w:val="fr-FR"/>
        </w:rPr>
        <w:t>tiaire du 6 novembre 2011 au 25 </w:t>
      </w:r>
      <w:r w:rsidRPr="00A2551C">
        <w:rPr>
          <w:lang w:val="fr-FR"/>
        </w:rPr>
        <w:t>novembre 2013.</w:t>
      </w:r>
    </w:p>
    <w:p w:rsidRPr="00A2551C" w:rsidR="0014248D" w:rsidP="00A2551C" w:rsidRDefault="00657348">
      <w:pPr>
        <w:pStyle w:val="ECHRHeading2"/>
        <w:rPr>
          <w:bCs w:val="0"/>
          <w:lang w:val="fr-FR"/>
        </w:rPr>
      </w:pPr>
      <w:r w:rsidRPr="00A2551C">
        <w:rPr>
          <w:bCs w:val="0"/>
          <w:lang w:val="fr-FR"/>
        </w:rPr>
        <w:t>B.  </w:t>
      </w:r>
      <w:r w:rsidRPr="00A2551C" w:rsidR="00E82109">
        <w:rPr>
          <w:bCs w:val="0"/>
          <w:lang w:val="fr-FR"/>
        </w:rPr>
        <w:t>Sur l</w:t>
      </w:r>
      <w:r w:rsidRPr="00A2551C" w:rsidR="00A2551C">
        <w:rPr>
          <w:bCs w:val="0"/>
          <w:lang w:val="fr-FR"/>
        </w:rPr>
        <w:t>’</w:t>
      </w:r>
      <w:r w:rsidRPr="00A2551C" w:rsidR="00E82109">
        <w:rPr>
          <w:bCs w:val="0"/>
          <w:lang w:val="fr-FR"/>
        </w:rPr>
        <w:t xml:space="preserve">aspect du grief relatif à la vidéosurveillance de la cellule du requérant </w:t>
      </w:r>
      <w:r w:rsidRPr="00A2551C" w:rsidR="00CE37E1">
        <w:rPr>
          <w:bCs w:val="0"/>
          <w:lang w:val="fr-FR"/>
        </w:rPr>
        <w:t>au sein de la colonie pénitentiaire n</w:t>
      </w:r>
      <w:r w:rsidRPr="00A2551C" w:rsidR="00CE37E1">
        <w:rPr>
          <w:bCs w:val="0"/>
          <w:vertAlign w:val="superscript"/>
          <w:lang w:val="fr-FR"/>
        </w:rPr>
        <w:t>o</w:t>
      </w:r>
      <w:r w:rsidRPr="00A2551C" w:rsidR="00CE37E1">
        <w:rPr>
          <w:bCs w:val="0"/>
          <w:lang w:val="fr-FR"/>
        </w:rPr>
        <w:t xml:space="preserve"> IK-1 de la </w:t>
      </w:r>
      <w:r w:rsidRPr="00A2551C" w:rsidR="00EC6BDF">
        <w:rPr>
          <w:bCs w:val="0"/>
          <w:lang w:val="fr-FR"/>
        </w:rPr>
        <w:t>région de Mordovie</w:t>
      </w:r>
    </w:p>
    <w:p w:rsidRPr="00A2551C" w:rsidR="00657348" w:rsidP="00A2551C" w:rsidRDefault="00657348">
      <w:pPr>
        <w:pStyle w:val="ECHRHeading3"/>
        <w:rPr>
          <w:lang w:val="fr-FR"/>
        </w:rPr>
      </w:pPr>
      <w:r w:rsidRPr="00A2551C">
        <w:rPr>
          <w:lang w:val="fr-FR"/>
        </w:rPr>
        <w:t>1. </w:t>
      </w:r>
      <w:r w:rsidRPr="00A2551C" w:rsidR="00F7746F">
        <w:rPr>
          <w:lang w:val="fr-FR"/>
        </w:rPr>
        <w:t> </w:t>
      </w:r>
      <w:r w:rsidRPr="00A2551C">
        <w:rPr>
          <w:lang w:val="fr-FR"/>
        </w:rPr>
        <w:t>Thèses des parties</w:t>
      </w:r>
    </w:p>
    <w:p w:rsidRPr="00A2551C" w:rsidR="006F1301" w:rsidP="00A2551C" w:rsidRDefault="006F1301">
      <w:pPr>
        <w:pStyle w:val="ECHRHeading4"/>
        <w:rPr>
          <w:lang w:val="fr-FR"/>
        </w:rPr>
      </w:pPr>
      <w:r w:rsidRPr="00A2551C">
        <w:rPr>
          <w:lang w:val="fr-FR"/>
        </w:rPr>
        <w:t>a)  Le Gouvernement</w:t>
      </w:r>
    </w:p>
    <w:bookmarkStart w:name="vidsurgouvarg1" w:id="42"/>
    <w:p w:rsidRPr="00A2551C" w:rsidR="0076324D"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110</w:t>
      </w:r>
      <w:r w:rsidRPr="00A2551C">
        <w:rPr>
          <w:lang w:val="fr-FR"/>
        </w:rPr>
        <w:fldChar w:fldCharType="end"/>
      </w:r>
      <w:bookmarkEnd w:id="42"/>
      <w:r w:rsidRPr="00A2551C">
        <w:rPr>
          <w:lang w:val="fr-FR"/>
        </w:rPr>
        <w:t>.  </w:t>
      </w:r>
      <w:r w:rsidRPr="00A2551C" w:rsidR="007D1B30">
        <w:rPr>
          <w:lang w:val="fr-FR"/>
        </w:rPr>
        <w:t xml:space="preserve">Le Gouvernement </w:t>
      </w:r>
      <w:r w:rsidRPr="00A2551C" w:rsidR="00F7746F">
        <w:rPr>
          <w:lang w:val="fr-FR"/>
        </w:rPr>
        <w:t xml:space="preserve">indique </w:t>
      </w:r>
      <w:r w:rsidRPr="00A2551C" w:rsidR="00E03B22">
        <w:rPr>
          <w:lang w:val="fr-FR"/>
        </w:rPr>
        <w:t>que la cellule dans laquelle le requérant a</w:t>
      </w:r>
      <w:r w:rsidRPr="00A2551C" w:rsidR="00F7746F">
        <w:rPr>
          <w:lang w:val="fr-FR"/>
        </w:rPr>
        <w:t>vait</w:t>
      </w:r>
      <w:r w:rsidRPr="00A2551C" w:rsidR="00E03B22">
        <w:rPr>
          <w:lang w:val="fr-FR"/>
        </w:rPr>
        <w:t xml:space="preserve"> été placé au sein de la colonie pénitentiaire </w:t>
      </w:r>
      <w:r w:rsidRPr="00A2551C" w:rsidR="00F7746F">
        <w:rPr>
          <w:lang w:val="fr-FR"/>
        </w:rPr>
        <w:t xml:space="preserve">était </w:t>
      </w:r>
      <w:r w:rsidRPr="00A2551C" w:rsidR="00E03B22">
        <w:rPr>
          <w:lang w:val="fr-FR"/>
        </w:rPr>
        <w:t>équipée d</w:t>
      </w:r>
      <w:r w:rsidRPr="00A2551C" w:rsidR="00A2551C">
        <w:rPr>
          <w:lang w:val="fr-FR"/>
        </w:rPr>
        <w:t>’</w:t>
      </w:r>
      <w:r w:rsidRPr="00A2551C" w:rsidR="00E03B22">
        <w:rPr>
          <w:lang w:val="fr-FR"/>
        </w:rPr>
        <w:t xml:space="preserve">un dispositif de vidéosurveillance permanente. Il </w:t>
      </w:r>
      <w:r w:rsidRPr="00A2551C" w:rsidR="00F7746F">
        <w:rPr>
          <w:lang w:val="fr-FR"/>
        </w:rPr>
        <w:t xml:space="preserve">ajoute </w:t>
      </w:r>
      <w:r w:rsidRPr="00A2551C" w:rsidR="00E03B22">
        <w:rPr>
          <w:lang w:val="fr-FR"/>
        </w:rPr>
        <w:t>toutefois que les sanitaires n</w:t>
      </w:r>
      <w:r w:rsidRPr="00A2551C" w:rsidR="00A2551C">
        <w:rPr>
          <w:lang w:val="fr-FR"/>
        </w:rPr>
        <w:t>’</w:t>
      </w:r>
      <w:r w:rsidRPr="00A2551C" w:rsidR="00E03B22">
        <w:rPr>
          <w:lang w:val="fr-FR"/>
        </w:rPr>
        <w:t xml:space="preserve">étaient pas inclus dans la zone </w:t>
      </w:r>
      <w:r w:rsidRPr="00A2551C" w:rsidR="00CE37E1">
        <w:rPr>
          <w:lang w:val="fr-FR"/>
        </w:rPr>
        <w:t xml:space="preserve">visuellement </w:t>
      </w:r>
      <w:r w:rsidRPr="00A2551C" w:rsidR="00E03B22">
        <w:rPr>
          <w:lang w:val="fr-FR"/>
        </w:rPr>
        <w:t>contrôlée, préservant ainsi l</w:t>
      </w:r>
      <w:r w:rsidRPr="00A2551C" w:rsidR="00A2551C">
        <w:rPr>
          <w:lang w:val="fr-FR"/>
        </w:rPr>
        <w:t>’</w:t>
      </w:r>
      <w:r w:rsidRPr="00A2551C" w:rsidR="00E03B22">
        <w:rPr>
          <w:lang w:val="fr-FR"/>
        </w:rPr>
        <w:t>intimité de l</w:t>
      </w:r>
      <w:r w:rsidRPr="00A2551C" w:rsidR="00A2551C">
        <w:rPr>
          <w:lang w:val="fr-FR"/>
        </w:rPr>
        <w:t>’</w:t>
      </w:r>
      <w:r w:rsidRPr="00A2551C" w:rsidR="00E03B22">
        <w:rPr>
          <w:lang w:val="fr-FR"/>
        </w:rPr>
        <w:t>intéressé lors de l</w:t>
      </w:r>
      <w:r w:rsidRPr="00A2551C" w:rsidR="00A2551C">
        <w:rPr>
          <w:lang w:val="fr-FR"/>
        </w:rPr>
        <w:t>’</w:t>
      </w:r>
      <w:r w:rsidRPr="00A2551C" w:rsidR="00E03B22">
        <w:rPr>
          <w:lang w:val="fr-FR"/>
        </w:rPr>
        <w:t xml:space="preserve">utilisation des toilettes. </w:t>
      </w:r>
      <w:r w:rsidRPr="00A2551C" w:rsidR="00F7746F">
        <w:rPr>
          <w:lang w:val="fr-FR"/>
        </w:rPr>
        <w:t>Il</w:t>
      </w:r>
      <w:r w:rsidRPr="00A2551C" w:rsidR="00E03B22">
        <w:rPr>
          <w:lang w:val="fr-FR"/>
        </w:rPr>
        <w:t xml:space="preserve"> reconna</w:t>
      </w:r>
      <w:r w:rsidRPr="00A2551C" w:rsidR="008A7E13">
        <w:rPr>
          <w:lang w:val="fr-FR"/>
        </w:rPr>
        <w:t>î</w:t>
      </w:r>
      <w:r w:rsidRPr="00A2551C" w:rsidR="00E03B22">
        <w:rPr>
          <w:lang w:val="fr-FR"/>
        </w:rPr>
        <w:t xml:space="preserve">t ensuite que le placement du requérant sous </w:t>
      </w:r>
      <w:r w:rsidRPr="00A2551C" w:rsidR="00396BE0">
        <w:rPr>
          <w:lang w:val="fr-FR"/>
        </w:rPr>
        <w:t>vidéo</w:t>
      </w:r>
      <w:r w:rsidRPr="00A2551C" w:rsidR="00E03B22">
        <w:rPr>
          <w:lang w:val="fr-FR"/>
        </w:rPr>
        <w:t xml:space="preserve">surveillance permanente a constitué une ingérence dans </w:t>
      </w:r>
      <w:r w:rsidRPr="00A2551C" w:rsidR="00F7746F">
        <w:rPr>
          <w:lang w:val="fr-FR"/>
        </w:rPr>
        <w:t>l</w:t>
      </w:r>
      <w:r w:rsidRPr="00A2551C" w:rsidR="00E03B22">
        <w:rPr>
          <w:lang w:val="fr-FR"/>
        </w:rPr>
        <w:t xml:space="preserve">a vie privée </w:t>
      </w:r>
      <w:r w:rsidRPr="00A2551C" w:rsidR="00F7746F">
        <w:rPr>
          <w:lang w:val="fr-FR"/>
        </w:rPr>
        <w:t xml:space="preserve">de celui-ci </w:t>
      </w:r>
      <w:r w:rsidRPr="00A2551C" w:rsidR="00E03B22">
        <w:rPr>
          <w:lang w:val="fr-FR"/>
        </w:rPr>
        <w:t>mais soutient que pareille ingérence était prévue par la loi, poursuivait plusieurs but</w:t>
      </w:r>
      <w:r w:rsidRPr="00A2551C" w:rsidR="00396BE0">
        <w:rPr>
          <w:lang w:val="fr-FR"/>
        </w:rPr>
        <w:t>s</w:t>
      </w:r>
      <w:r w:rsidRPr="00A2551C" w:rsidR="00E03B22">
        <w:rPr>
          <w:lang w:val="fr-FR"/>
        </w:rPr>
        <w:t xml:space="preserve"> légitime</w:t>
      </w:r>
      <w:r w:rsidRPr="00A2551C" w:rsidR="00396BE0">
        <w:rPr>
          <w:lang w:val="fr-FR"/>
        </w:rPr>
        <w:t>s</w:t>
      </w:r>
      <w:r w:rsidRPr="00A2551C" w:rsidR="00E03B22">
        <w:rPr>
          <w:lang w:val="fr-FR"/>
        </w:rPr>
        <w:t xml:space="preserve"> et était proportionnelle aux buts poursuivis.</w:t>
      </w:r>
    </w:p>
    <w:p w:rsidRPr="00A2551C" w:rsidR="0076324D" w:rsidP="00A2551C" w:rsidRDefault="00E03B22">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111</w:t>
      </w:r>
      <w:r w:rsidRPr="00A2551C">
        <w:rPr>
          <w:lang w:val="fr-FR"/>
        </w:rPr>
        <w:fldChar w:fldCharType="end"/>
      </w:r>
      <w:r w:rsidRPr="00A2551C">
        <w:rPr>
          <w:lang w:val="fr-FR"/>
        </w:rPr>
        <w:t>.  S</w:t>
      </w:r>
      <w:r w:rsidRPr="00A2551C" w:rsidR="00A2551C">
        <w:rPr>
          <w:lang w:val="fr-FR"/>
        </w:rPr>
        <w:t>’</w:t>
      </w:r>
      <w:r w:rsidRPr="00A2551C">
        <w:rPr>
          <w:lang w:val="fr-FR"/>
        </w:rPr>
        <w:t xml:space="preserve">agissant de la légalité de la mesure litigieuse, le Gouvernement indique </w:t>
      </w:r>
      <w:r w:rsidRPr="00A2551C" w:rsidR="007D1B30">
        <w:rPr>
          <w:lang w:val="fr-FR"/>
        </w:rPr>
        <w:t xml:space="preserve">que la vidéosurveillance </w:t>
      </w:r>
      <w:r w:rsidRPr="00A2551C">
        <w:rPr>
          <w:lang w:val="fr-FR"/>
        </w:rPr>
        <w:t>au sein des établissements pénitentiaires est prévue</w:t>
      </w:r>
      <w:r w:rsidRPr="00A2551C" w:rsidR="005D31DE">
        <w:rPr>
          <w:lang w:val="fr-FR"/>
        </w:rPr>
        <w:t>,</w:t>
      </w:r>
      <w:r w:rsidRPr="00A2551C">
        <w:rPr>
          <w:lang w:val="fr-FR"/>
        </w:rPr>
        <w:t xml:space="preserve"> </w:t>
      </w:r>
      <w:r w:rsidRPr="00A2551C" w:rsidR="005D31DE">
        <w:rPr>
          <w:lang w:val="fr-FR"/>
        </w:rPr>
        <w:t>en ce qui concerne les personnes suspectée</w:t>
      </w:r>
      <w:r w:rsidRPr="00A2551C" w:rsidR="008A7E13">
        <w:rPr>
          <w:lang w:val="fr-FR"/>
        </w:rPr>
        <w:t>s</w:t>
      </w:r>
      <w:r w:rsidRPr="00A2551C" w:rsidR="005D31DE">
        <w:rPr>
          <w:lang w:val="fr-FR"/>
        </w:rPr>
        <w:t xml:space="preserve"> ou accusées d</w:t>
      </w:r>
      <w:r w:rsidRPr="00A2551C" w:rsidR="00A2551C">
        <w:rPr>
          <w:lang w:val="fr-FR"/>
        </w:rPr>
        <w:t>’</w:t>
      </w:r>
      <w:r w:rsidRPr="00A2551C" w:rsidR="005D31DE">
        <w:rPr>
          <w:lang w:val="fr-FR"/>
        </w:rPr>
        <w:t>infractions pénales et placé</w:t>
      </w:r>
      <w:r w:rsidRPr="00A2551C" w:rsidR="00CA27FE">
        <w:rPr>
          <w:lang w:val="fr-FR"/>
        </w:rPr>
        <w:t>e</w:t>
      </w:r>
      <w:r w:rsidRPr="00A2551C" w:rsidR="005D31DE">
        <w:rPr>
          <w:lang w:val="fr-FR"/>
        </w:rPr>
        <w:t xml:space="preserve">s en détention provisoire, </w:t>
      </w:r>
      <w:r w:rsidRPr="00A2551C">
        <w:rPr>
          <w:lang w:val="fr-FR"/>
        </w:rPr>
        <w:t>par l</w:t>
      </w:r>
      <w:r w:rsidRPr="00A2551C" w:rsidR="00A2551C">
        <w:rPr>
          <w:lang w:val="fr-FR"/>
        </w:rPr>
        <w:t>’</w:t>
      </w:r>
      <w:r w:rsidRPr="00A2551C">
        <w:rPr>
          <w:lang w:val="fr-FR"/>
        </w:rPr>
        <w:t xml:space="preserve">article </w:t>
      </w:r>
      <w:r w:rsidRPr="00A2551C" w:rsidR="00EC3858">
        <w:rPr>
          <w:lang w:val="fr-FR"/>
        </w:rPr>
        <w:t>34 de la loi n</w:t>
      </w:r>
      <w:r w:rsidRPr="00A2551C" w:rsidR="0076324D">
        <w:rPr>
          <w:vertAlign w:val="superscript"/>
          <w:lang w:val="fr-FR"/>
        </w:rPr>
        <w:t>o</w:t>
      </w:r>
      <w:r w:rsidRPr="00A2551C" w:rsidR="00EC3858">
        <w:rPr>
          <w:lang w:val="fr-FR"/>
        </w:rPr>
        <w:t>103-FZ du 15 juillet 1995, et</w:t>
      </w:r>
      <w:r w:rsidRPr="00A2551C" w:rsidR="005D31DE">
        <w:rPr>
          <w:lang w:val="fr-FR"/>
        </w:rPr>
        <w:t>,</w:t>
      </w:r>
      <w:r w:rsidRPr="00A2551C" w:rsidR="00EC3858">
        <w:rPr>
          <w:lang w:val="fr-FR"/>
        </w:rPr>
        <w:t xml:space="preserve"> </w:t>
      </w:r>
      <w:r w:rsidRPr="00A2551C" w:rsidR="005D31DE">
        <w:rPr>
          <w:lang w:val="fr-FR"/>
        </w:rPr>
        <w:t xml:space="preserve">en ce qui concerne les détenus condamnés purgeant une peine privative de liberté – </w:t>
      </w:r>
      <w:r w:rsidRPr="00A2551C" w:rsidR="007D1B30">
        <w:rPr>
          <w:lang w:val="fr-FR"/>
        </w:rPr>
        <w:t>par l</w:t>
      </w:r>
      <w:r w:rsidRPr="00A2551C" w:rsidR="00A2551C">
        <w:rPr>
          <w:lang w:val="fr-FR"/>
        </w:rPr>
        <w:t>’</w:t>
      </w:r>
      <w:r w:rsidRPr="00A2551C" w:rsidR="007D1B30">
        <w:rPr>
          <w:lang w:val="fr-FR"/>
        </w:rPr>
        <w:t>article 83 du CESP.</w:t>
      </w:r>
    </w:p>
    <w:p w:rsidRPr="00A2551C" w:rsidR="0076324D"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112</w:t>
      </w:r>
      <w:r w:rsidRPr="00A2551C">
        <w:rPr>
          <w:lang w:val="fr-FR"/>
        </w:rPr>
        <w:fldChar w:fldCharType="end"/>
      </w:r>
      <w:r w:rsidRPr="00A2551C" w:rsidR="007D1B30">
        <w:rPr>
          <w:lang w:val="fr-FR"/>
        </w:rPr>
        <w:t>.  </w:t>
      </w:r>
      <w:r w:rsidRPr="00A2551C" w:rsidR="005D21E7">
        <w:rPr>
          <w:lang w:val="fr-FR"/>
        </w:rPr>
        <w:t xml:space="preserve">Le Gouvernement soutient </w:t>
      </w:r>
      <w:r w:rsidRPr="00A2551C" w:rsidR="00EC3858">
        <w:rPr>
          <w:lang w:val="fr-FR"/>
        </w:rPr>
        <w:t xml:space="preserve">ensuite </w:t>
      </w:r>
      <w:r w:rsidRPr="00A2551C" w:rsidR="005D21E7">
        <w:rPr>
          <w:lang w:val="fr-FR"/>
        </w:rPr>
        <w:t>que la mesure litigieuse</w:t>
      </w:r>
      <w:r w:rsidRPr="00A2551C" w:rsidR="005D31DE">
        <w:rPr>
          <w:lang w:val="fr-FR"/>
        </w:rPr>
        <w:t xml:space="preserve"> vise</w:t>
      </w:r>
      <w:r w:rsidRPr="00A2551C" w:rsidR="005D21E7">
        <w:rPr>
          <w:lang w:val="fr-FR"/>
        </w:rPr>
        <w:t xml:space="preserve"> la protection de la sécurité et de l</w:t>
      </w:r>
      <w:r w:rsidRPr="00A2551C" w:rsidR="00A2551C">
        <w:rPr>
          <w:lang w:val="fr-FR"/>
        </w:rPr>
        <w:t>’</w:t>
      </w:r>
      <w:r w:rsidRPr="00A2551C" w:rsidR="005D21E7">
        <w:rPr>
          <w:lang w:val="fr-FR"/>
        </w:rPr>
        <w:t>intégrité physique de</w:t>
      </w:r>
      <w:r w:rsidRPr="00A2551C" w:rsidR="00CA27FE">
        <w:rPr>
          <w:lang w:val="fr-FR"/>
        </w:rPr>
        <w:t>s</w:t>
      </w:r>
      <w:r w:rsidRPr="00A2551C" w:rsidR="005D21E7">
        <w:rPr>
          <w:lang w:val="fr-FR"/>
        </w:rPr>
        <w:t xml:space="preserve"> détenus ainsi le contrôle du respect par </w:t>
      </w:r>
      <w:r w:rsidRPr="00A2551C" w:rsidR="00CA27FE">
        <w:rPr>
          <w:lang w:val="fr-FR"/>
        </w:rPr>
        <w:t>ceux-ci</w:t>
      </w:r>
      <w:r w:rsidRPr="00A2551C" w:rsidR="005D21E7">
        <w:rPr>
          <w:lang w:val="fr-FR"/>
        </w:rPr>
        <w:t xml:space="preserve"> du régime </w:t>
      </w:r>
      <w:r w:rsidRPr="00A2551C" w:rsidR="00EC3858">
        <w:rPr>
          <w:lang w:val="fr-FR"/>
        </w:rPr>
        <w:t xml:space="preserve">carcéral. </w:t>
      </w:r>
      <w:r w:rsidRPr="00A2551C" w:rsidR="005D21E7">
        <w:rPr>
          <w:lang w:val="fr-FR"/>
        </w:rPr>
        <w:t xml:space="preserve">Plus particulièrement, </w:t>
      </w:r>
      <w:r w:rsidRPr="00A2551C" w:rsidR="00CA27FE">
        <w:rPr>
          <w:lang w:val="fr-FR"/>
        </w:rPr>
        <w:t xml:space="preserve">le premier </w:t>
      </w:r>
      <w:r w:rsidRPr="00A2551C" w:rsidR="005D21E7">
        <w:rPr>
          <w:lang w:val="fr-FR"/>
        </w:rPr>
        <w:t>but poursuivi par les autorités internes serait</w:t>
      </w:r>
      <w:r w:rsidRPr="00A2551C" w:rsidR="00AD5646">
        <w:rPr>
          <w:lang w:val="fr-FR"/>
        </w:rPr>
        <w:t xml:space="preserve"> </w:t>
      </w:r>
      <w:r w:rsidRPr="00A2551C" w:rsidR="007D1B30">
        <w:rPr>
          <w:lang w:val="fr-FR"/>
        </w:rPr>
        <w:t>la prévention d</w:t>
      </w:r>
      <w:r w:rsidRPr="00A2551C" w:rsidR="00CE37E1">
        <w:rPr>
          <w:lang w:val="fr-FR"/>
        </w:rPr>
        <w:t>e</w:t>
      </w:r>
      <w:r w:rsidRPr="00A2551C" w:rsidR="0011220E">
        <w:rPr>
          <w:lang w:val="fr-FR"/>
        </w:rPr>
        <w:t>s</w:t>
      </w:r>
      <w:r w:rsidRPr="00A2551C" w:rsidR="00CE37E1">
        <w:rPr>
          <w:lang w:val="fr-FR"/>
        </w:rPr>
        <w:t xml:space="preserve"> risques d</w:t>
      </w:r>
      <w:r w:rsidRPr="00A2551C" w:rsidR="00A2551C">
        <w:rPr>
          <w:lang w:val="fr-FR"/>
        </w:rPr>
        <w:t>’</w:t>
      </w:r>
      <w:r w:rsidRPr="00A2551C" w:rsidR="007D1B30">
        <w:rPr>
          <w:lang w:val="fr-FR"/>
        </w:rPr>
        <w:t xml:space="preserve">évasion. </w:t>
      </w:r>
      <w:r w:rsidRPr="00A2551C" w:rsidR="00EC3858">
        <w:rPr>
          <w:lang w:val="fr-FR"/>
        </w:rPr>
        <w:t>L</w:t>
      </w:r>
      <w:r w:rsidRPr="00A2551C" w:rsidR="005D21E7">
        <w:rPr>
          <w:lang w:val="fr-FR"/>
        </w:rPr>
        <w:t>e Gouvernement</w:t>
      </w:r>
      <w:r w:rsidRPr="00A2551C" w:rsidR="00AD5646">
        <w:rPr>
          <w:lang w:val="fr-FR"/>
        </w:rPr>
        <w:t xml:space="preserve"> indique qu</w:t>
      </w:r>
      <w:r w:rsidRPr="00A2551C" w:rsidR="0011220E">
        <w:rPr>
          <w:lang w:val="fr-FR"/>
        </w:rPr>
        <w:t xml:space="preserve">e, </w:t>
      </w:r>
      <w:r w:rsidRPr="00A2551C" w:rsidR="00AD5646">
        <w:rPr>
          <w:lang w:val="fr-FR"/>
        </w:rPr>
        <w:t>avant l</w:t>
      </w:r>
      <w:r w:rsidRPr="00A2551C" w:rsidR="00A2551C">
        <w:rPr>
          <w:lang w:val="fr-FR"/>
        </w:rPr>
        <w:t>’</w:t>
      </w:r>
      <w:r w:rsidRPr="00A2551C" w:rsidR="00AD5646">
        <w:rPr>
          <w:lang w:val="fr-FR"/>
        </w:rPr>
        <w:t xml:space="preserve">installation de systèmes de vidéosurveillance, </w:t>
      </w:r>
      <w:r w:rsidRPr="00A2551C" w:rsidR="007D1B30">
        <w:rPr>
          <w:lang w:val="fr-FR"/>
        </w:rPr>
        <w:t xml:space="preserve">il y a </w:t>
      </w:r>
      <w:r w:rsidRPr="00A2551C" w:rsidR="00AD5646">
        <w:rPr>
          <w:lang w:val="fr-FR"/>
        </w:rPr>
        <w:t xml:space="preserve">aurait eu </w:t>
      </w:r>
      <w:r w:rsidRPr="00A2551C" w:rsidR="007D1B30">
        <w:rPr>
          <w:lang w:val="fr-FR"/>
        </w:rPr>
        <w:t xml:space="preserve">dix </w:t>
      </w:r>
      <w:r w:rsidRPr="00A2551C" w:rsidR="00CE37E1">
        <w:rPr>
          <w:lang w:val="fr-FR"/>
        </w:rPr>
        <w:t>cas d</w:t>
      </w:r>
      <w:r w:rsidRPr="00A2551C" w:rsidR="00A2551C">
        <w:rPr>
          <w:lang w:val="fr-FR"/>
        </w:rPr>
        <w:t>’</w:t>
      </w:r>
      <w:r w:rsidRPr="00A2551C" w:rsidR="00CE37E1">
        <w:rPr>
          <w:lang w:val="fr-FR"/>
        </w:rPr>
        <w:t>évasion</w:t>
      </w:r>
      <w:r w:rsidRPr="00A2551C" w:rsidR="007D1B30">
        <w:rPr>
          <w:lang w:val="fr-FR"/>
        </w:rPr>
        <w:t xml:space="preserve"> en 2010 dont sept d</w:t>
      </w:r>
      <w:r w:rsidRPr="00A2551C" w:rsidR="00CE37E1">
        <w:rPr>
          <w:lang w:val="fr-FR"/>
        </w:rPr>
        <w:t xml:space="preserve">ans </w:t>
      </w:r>
      <w:r w:rsidRPr="00A2551C" w:rsidR="0011220E">
        <w:rPr>
          <w:lang w:val="fr-FR"/>
        </w:rPr>
        <w:t>d</w:t>
      </w:r>
      <w:r w:rsidRPr="00A2551C" w:rsidR="00CE37E1">
        <w:rPr>
          <w:lang w:val="fr-FR"/>
        </w:rPr>
        <w:t>es</w:t>
      </w:r>
      <w:r w:rsidRPr="00A2551C" w:rsidR="007D1B30">
        <w:rPr>
          <w:lang w:val="fr-FR"/>
        </w:rPr>
        <w:t xml:space="preserve"> maisons d</w:t>
      </w:r>
      <w:r w:rsidRPr="00A2551C" w:rsidR="00A2551C">
        <w:rPr>
          <w:lang w:val="fr-FR"/>
        </w:rPr>
        <w:t>’</w:t>
      </w:r>
      <w:r w:rsidRPr="00A2551C" w:rsidR="007D1B30">
        <w:rPr>
          <w:lang w:val="fr-FR"/>
        </w:rPr>
        <w:t>arr</w:t>
      </w:r>
      <w:r w:rsidRPr="00A2551C" w:rsidR="00AD5646">
        <w:rPr>
          <w:lang w:val="fr-FR"/>
        </w:rPr>
        <w:t>êt, sept</w:t>
      </w:r>
      <w:r w:rsidRPr="00A2551C" w:rsidR="0011220E">
        <w:rPr>
          <w:lang w:val="fr-FR"/>
        </w:rPr>
        <w:t xml:space="preserve"> </w:t>
      </w:r>
      <w:r w:rsidRPr="00A2551C" w:rsidR="00AD5646">
        <w:rPr>
          <w:lang w:val="fr-FR"/>
        </w:rPr>
        <w:t>en 2011 et vingt-sept</w:t>
      </w:r>
      <w:r w:rsidRPr="00A2551C" w:rsidR="0011220E">
        <w:rPr>
          <w:lang w:val="fr-FR"/>
        </w:rPr>
        <w:t xml:space="preserve"> </w:t>
      </w:r>
      <w:r w:rsidRPr="00A2551C" w:rsidR="00AD5646">
        <w:rPr>
          <w:lang w:val="fr-FR"/>
        </w:rPr>
        <w:t xml:space="preserve">en 2013. Le deuxième but </w:t>
      </w:r>
      <w:r w:rsidRPr="00A2551C" w:rsidR="0011220E">
        <w:rPr>
          <w:lang w:val="fr-FR"/>
        </w:rPr>
        <w:t xml:space="preserve">de la mesure en cause </w:t>
      </w:r>
      <w:r w:rsidRPr="00A2551C" w:rsidR="00AD5646">
        <w:rPr>
          <w:lang w:val="fr-FR"/>
        </w:rPr>
        <w:t>serait la prévention d</w:t>
      </w:r>
      <w:r w:rsidRPr="00A2551C" w:rsidR="00EC3858">
        <w:rPr>
          <w:lang w:val="fr-FR"/>
        </w:rPr>
        <w:t>e la commission d</w:t>
      </w:r>
      <w:r w:rsidRPr="00A2551C" w:rsidR="00A2551C">
        <w:rPr>
          <w:lang w:val="fr-FR"/>
        </w:rPr>
        <w:t>’</w:t>
      </w:r>
      <w:r w:rsidRPr="00A2551C" w:rsidR="00AD5646">
        <w:rPr>
          <w:lang w:val="fr-FR"/>
        </w:rPr>
        <w:t>infraction</w:t>
      </w:r>
      <w:r w:rsidRPr="00A2551C" w:rsidR="00EC3858">
        <w:rPr>
          <w:lang w:val="fr-FR"/>
        </w:rPr>
        <w:t>s</w:t>
      </w:r>
      <w:r w:rsidRPr="00A2551C" w:rsidR="00AD5646">
        <w:rPr>
          <w:lang w:val="fr-FR"/>
        </w:rPr>
        <w:t xml:space="preserve"> non seulement par les détenus eux</w:t>
      </w:r>
      <w:r w:rsidRPr="00A2551C" w:rsidR="00AD5646">
        <w:rPr>
          <w:lang w:val="fr-FR"/>
        </w:rPr>
        <w:noBreakHyphen/>
        <w:t xml:space="preserve">mêmes mais également </w:t>
      </w:r>
      <w:r w:rsidRPr="00A2551C" w:rsidR="00E74A6D">
        <w:rPr>
          <w:lang w:val="fr-FR"/>
        </w:rPr>
        <w:t xml:space="preserve">à </w:t>
      </w:r>
      <w:r w:rsidRPr="00A2551C" w:rsidR="00EC3858">
        <w:rPr>
          <w:lang w:val="fr-FR"/>
        </w:rPr>
        <w:t xml:space="preserve">leur </w:t>
      </w:r>
      <w:r w:rsidRPr="00A2551C" w:rsidR="00E74A6D">
        <w:rPr>
          <w:lang w:val="fr-FR"/>
        </w:rPr>
        <w:t xml:space="preserve">encontre. </w:t>
      </w:r>
      <w:r w:rsidRPr="00A2551C" w:rsidR="0011220E">
        <w:rPr>
          <w:lang w:val="fr-FR"/>
        </w:rPr>
        <w:t xml:space="preserve">Le Gouvernement </w:t>
      </w:r>
      <w:r w:rsidRPr="00A2551C" w:rsidR="00E74A6D">
        <w:rPr>
          <w:lang w:val="fr-FR"/>
        </w:rPr>
        <w:t>se réfère à cet égard à l</w:t>
      </w:r>
      <w:r w:rsidRPr="00A2551C" w:rsidR="00A2551C">
        <w:rPr>
          <w:lang w:val="fr-FR"/>
        </w:rPr>
        <w:t>’</w:t>
      </w:r>
      <w:r w:rsidRPr="00A2551C" w:rsidR="00E74A6D">
        <w:rPr>
          <w:lang w:val="fr-FR"/>
        </w:rPr>
        <w:t xml:space="preserve">affaire </w:t>
      </w:r>
      <w:proofErr w:type="spellStart"/>
      <w:r w:rsidRPr="00A2551C" w:rsidR="00CE37E1">
        <w:rPr>
          <w:i/>
          <w:lang w:val="fr-FR"/>
        </w:rPr>
        <w:t>Buntov</w:t>
      </w:r>
      <w:proofErr w:type="spellEnd"/>
      <w:r w:rsidRPr="00A2551C" w:rsidR="00CE37E1">
        <w:rPr>
          <w:i/>
          <w:lang w:val="fr-FR"/>
        </w:rPr>
        <w:t xml:space="preserve"> c. </w:t>
      </w:r>
      <w:r w:rsidRPr="00A2551C" w:rsidR="00EF37AE">
        <w:rPr>
          <w:i/>
          <w:lang w:val="fr-FR"/>
        </w:rPr>
        <w:t>Russie</w:t>
      </w:r>
      <w:r w:rsidRPr="00A2551C" w:rsidR="00EF37AE">
        <w:rPr>
          <w:lang w:val="fr-FR"/>
        </w:rPr>
        <w:t xml:space="preserve"> (n</w:t>
      </w:r>
      <w:r w:rsidRPr="00A2551C" w:rsidR="00EF37AE">
        <w:rPr>
          <w:vertAlign w:val="superscript"/>
          <w:lang w:val="fr-FR"/>
        </w:rPr>
        <w:t>o</w:t>
      </w:r>
      <w:r w:rsidRPr="00A2551C" w:rsidR="005D21E7">
        <w:rPr>
          <w:lang w:val="fr-FR"/>
        </w:rPr>
        <w:t> </w:t>
      </w:r>
      <w:r w:rsidRPr="00A2551C" w:rsidR="00EF37AE">
        <w:rPr>
          <w:lang w:val="fr-FR"/>
        </w:rPr>
        <w:t>27026/10, 5 juin 2012) dans laquelle le requérant aurait refusé d</w:t>
      </w:r>
      <w:r w:rsidRPr="00A2551C" w:rsidR="00A2551C">
        <w:rPr>
          <w:lang w:val="fr-FR"/>
        </w:rPr>
        <w:t>’</w:t>
      </w:r>
      <w:r w:rsidRPr="00A2551C" w:rsidR="00EF37AE">
        <w:rPr>
          <w:lang w:val="fr-FR"/>
        </w:rPr>
        <w:t xml:space="preserve">accéder à la cour de promenade </w:t>
      </w:r>
      <w:r w:rsidRPr="00A2551C" w:rsidR="00EC3858">
        <w:rPr>
          <w:lang w:val="fr-FR"/>
        </w:rPr>
        <w:t xml:space="preserve">en prison pendant plusieurs semaines </w:t>
      </w:r>
      <w:r w:rsidRPr="00A2551C" w:rsidR="00EF37AE">
        <w:rPr>
          <w:lang w:val="fr-FR"/>
        </w:rPr>
        <w:t>au motif qu</w:t>
      </w:r>
      <w:r w:rsidRPr="00A2551C" w:rsidR="00A2551C">
        <w:rPr>
          <w:lang w:val="fr-FR"/>
        </w:rPr>
        <w:t>’</w:t>
      </w:r>
      <w:r w:rsidRPr="00A2551C" w:rsidR="00EF37AE">
        <w:rPr>
          <w:lang w:val="fr-FR"/>
        </w:rPr>
        <w:t>il avait peur d</w:t>
      </w:r>
      <w:r w:rsidRPr="00A2551C" w:rsidR="00A2551C">
        <w:rPr>
          <w:lang w:val="fr-FR"/>
        </w:rPr>
        <w:t>’</w:t>
      </w:r>
      <w:r w:rsidRPr="00A2551C" w:rsidR="00EF37AE">
        <w:rPr>
          <w:lang w:val="fr-FR"/>
        </w:rPr>
        <w:t xml:space="preserve">être agressé par des codétenus. Le troisième but visé par la </w:t>
      </w:r>
      <w:r w:rsidRPr="00A2551C" w:rsidR="00FF3F43">
        <w:rPr>
          <w:lang w:val="fr-FR"/>
        </w:rPr>
        <w:t>vidéo</w:t>
      </w:r>
      <w:r w:rsidRPr="00A2551C" w:rsidR="00EF37AE">
        <w:rPr>
          <w:lang w:val="fr-FR"/>
        </w:rPr>
        <w:t>surveillance</w:t>
      </w:r>
      <w:r w:rsidRPr="00A2551C" w:rsidR="00EC3858">
        <w:rPr>
          <w:lang w:val="fr-FR"/>
        </w:rPr>
        <w:t xml:space="preserve"> </w:t>
      </w:r>
      <w:r w:rsidRPr="00A2551C" w:rsidR="00EF37AE">
        <w:rPr>
          <w:lang w:val="fr-FR"/>
        </w:rPr>
        <w:t xml:space="preserve">serait </w:t>
      </w:r>
      <w:r w:rsidRPr="00A2551C" w:rsidR="00EC3858">
        <w:rPr>
          <w:lang w:val="fr-FR"/>
        </w:rPr>
        <w:t>la supervision</w:t>
      </w:r>
      <w:r w:rsidRPr="00A2551C" w:rsidR="00EF37AE">
        <w:rPr>
          <w:lang w:val="fr-FR"/>
        </w:rPr>
        <w:t xml:space="preserve"> du comportement des personnes se trouvant sous le contrôle des autorités</w:t>
      </w:r>
      <w:r w:rsidRPr="00A2551C" w:rsidR="0011220E">
        <w:rPr>
          <w:lang w:val="fr-FR"/>
        </w:rPr>
        <w:t>, supervision</w:t>
      </w:r>
      <w:r w:rsidRPr="00A2551C" w:rsidR="00EF37AE">
        <w:rPr>
          <w:lang w:val="fr-FR"/>
        </w:rPr>
        <w:t xml:space="preserve"> dont la nécessité aurait été soulignée par la Cour elle</w:t>
      </w:r>
      <w:r w:rsidRPr="00A2551C" w:rsidR="00EF37AE">
        <w:rPr>
          <w:lang w:val="fr-FR"/>
        </w:rPr>
        <w:noBreakHyphen/>
        <w:t>même dans l</w:t>
      </w:r>
      <w:r w:rsidRPr="00A2551C" w:rsidR="00A2551C">
        <w:rPr>
          <w:lang w:val="fr-FR"/>
        </w:rPr>
        <w:t>’</w:t>
      </w:r>
      <w:r w:rsidRPr="00A2551C" w:rsidR="00EF37AE">
        <w:rPr>
          <w:lang w:val="fr-FR"/>
        </w:rPr>
        <w:t xml:space="preserve">arrêt </w:t>
      </w:r>
      <w:proofErr w:type="spellStart"/>
      <w:r w:rsidRPr="00A2551C" w:rsidR="00EF37AE">
        <w:rPr>
          <w:i/>
          <w:lang w:val="fr-FR"/>
        </w:rPr>
        <w:t>Troubnikov</w:t>
      </w:r>
      <w:proofErr w:type="spellEnd"/>
      <w:r w:rsidRPr="00A2551C" w:rsidR="00EF37AE">
        <w:rPr>
          <w:i/>
          <w:lang w:val="fr-FR"/>
        </w:rPr>
        <w:t xml:space="preserve"> c</w:t>
      </w:r>
      <w:r w:rsidRPr="00A2551C" w:rsidR="00D847CD">
        <w:rPr>
          <w:i/>
          <w:lang w:val="fr-FR"/>
        </w:rPr>
        <w:t>. </w:t>
      </w:r>
      <w:r w:rsidRPr="00A2551C" w:rsidR="00EF37AE">
        <w:rPr>
          <w:i/>
          <w:lang w:val="fr-FR"/>
        </w:rPr>
        <w:t>Russie</w:t>
      </w:r>
      <w:r w:rsidRPr="00A2551C" w:rsidR="00EF37AE">
        <w:rPr>
          <w:lang w:val="fr-FR"/>
        </w:rPr>
        <w:t xml:space="preserve"> (n</w:t>
      </w:r>
      <w:r w:rsidRPr="00A2551C" w:rsidR="00EF37AE">
        <w:rPr>
          <w:vertAlign w:val="superscript"/>
          <w:lang w:val="fr-FR"/>
        </w:rPr>
        <w:t>o</w:t>
      </w:r>
      <w:r w:rsidRPr="00A2551C" w:rsidR="00E45732">
        <w:rPr>
          <w:lang w:val="fr-FR"/>
        </w:rPr>
        <w:t> </w:t>
      </w:r>
      <w:r w:rsidRPr="00A2551C" w:rsidR="00EF37AE">
        <w:rPr>
          <w:lang w:val="fr-FR"/>
        </w:rPr>
        <w:t xml:space="preserve">49790/99, </w:t>
      </w:r>
      <w:r w:rsidRPr="00A2551C" w:rsidR="00EC3858">
        <w:rPr>
          <w:lang w:val="fr-FR"/>
        </w:rPr>
        <w:t>5 </w:t>
      </w:r>
      <w:r w:rsidRPr="00A2551C" w:rsidR="00EF37AE">
        <w:rPr>
          <w:lang w:val="fr-FR"/>
        </w:rPr>
        <w:t xml:space="preserve">juillet 2005). </w:t>
      </w:r>
      <w:r w:rsidRPr="00A2551C" w:rsidR="00396BE0">
        <w:rPr>
          <w:lang w:val="fr-FR"/>
        </w:rPr>
        <w:t xml:space="preserve">Le Gouvernement cite à cet égard </w:t>
      </w:r>
      <w:r w:rsidRPr="00A2551C" w:rsidR="00EF37AE">
        <w:rPr>
          <w:lang w:val="fr-FR"/>
        </w:rPr>
        <w:t xml:space="preserve">la Recommandation </w:t>
      </w:r>
      <w:proofErr w:type="spellStart"/>
      <w:r w:rsidRPr="00A2551C" w:rsidR="00D51388">
        <w:rPr>
          <w:lang w:val="fr-FR"/>
        </w:rPr>
        <w:t>Rec</w:t>
      </w:r>
      <w:proofErr w:type="spellEnd"/>
      <w:r w:rsidRPr="00A2551C" w:rsidR="00D51388">
        <w:rPr>
          <w:lang w:val="fr-FR"/>
        </w:rPr>
        <w:t xml:space="preserve">(2003)23 du Comité des Ministres </w:t>
      </w:r>
      <w:r w:rsidRPr="00A2551C" w:rsidR="0038295D">
        <w:rPr>
          <w:lang w:val="fr-FR"/>
        </w:rPr>
        <w:t xml:space="preserve">(paragraphe </w:t>
      </w:r>
      <w:r w:rsidRPr="00A2551C" w:rsidR="00E45732">
        <w:rPr>
          <w:lang w:val="fr-FR"/>
        </w:rPr>
        <w:fldChar w:fldCharType="begin"/>
      </w:r>
      <w:r w:rsidRPr="00A2551C" w:rsidR="00E45732">
        <w:rPr>
          <w:lang w:val="fr-FR"/>
        </w:rPr>
        <w:instrText xml:space="preserve"> REF rec200323 \h </w:instrText>
      </w:r>
      <w:r w:rsidRPr="00A2551C" w:rsidR="001F5753">
        <w:rPr>
          <w:lang w:val="fr-FR"/>
        </w:rPr>
        <w:instrText xml:space="preserve"> \* MERGEFORMAT </w:instrText>
      </w:r>
      <w:r w:rsidRPr="00A2551C" w:rsidR="00E45732">
        <w:rPr>
          <w:lang w:val="fr-FR"/>
        </w:rPr>
      </w:r>
      <w:r w:rsidRPr="00A2551C" w:rsidR="00E45732">
        <w:rPr>
          <w:lang w:val="fr-FR"/>
        </w:rPr>
        <w:fldChar w:fldCharType="separate"/>
      </w:r>
      <w:r w:rsidRPr="00A2551C" w:rsidR="00A2551C">
        <w:rPr>
          <w:noProof/>
          <w:lang w:val="fr-FR"/>
        </w:rPr>
        <w:t>47</w:t>
      </w:r>
      <w:r w:rsidRPr="00A2551C" w:rsidR="00E45732">
        <w:rPr>
          <w:lang w:val="fr-FR"/>
        </w:rPr>
        <w:fldChar w:fldCharType="end"/>
      </w:r>
      <w:r w:rsidRPr="00A2551C" w:rsidR="00E45732">
        <w:rPr>
          <w:lang w:val="fr-FR"/>
        </w:rPr>
        <w:t xml:space="preserve"> </w:t>
      </w:r>
      <w:r w:rsidRPr="00A2551C" w:rsidR="0038295D">
        <w:rPr>
          <w:lang w:val="fr-FR"/>
        </w:rPr>
        <w:t>ci</w:t>
      </w:r>
      <w:r w:rsidRPr="00A2551C" w:rsidR="0038295D">
        <w:rPr>
          <w:lang w:val="fr-FR"/>
        </w:rPr>
        <w:noBreakHyphen/>
        <w:t>dessus)</w:t>
      </w:r>
      <w:r w:rsidRPr="00A2551C" w:rsidR="00396BE0">
        <w:rPr>
          <w:lang w:val="fr-FR"/>
        </w:rPr>
        <w:t>.</w:t>
      </w:r>
    </w:p>
    <w:p w:rsidRPr="00A2551C" w:rsidR="0076324D" w:rsidP="00A2551C" w:rsidRDefault="005D31DE">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113</w:t>
      </w:r>
      <w:r w:rsidRPr="00A2551C">
        <w:rPr>
          <w:lang w:val="fr-FR"/>
        </w:rPr>
        <w:fldChar w:fldCharType="end"/>
      </w:r>
      <w:r w:rsidRPr="00A2551C">
        <w:rPr>
          <w:lang w:val="fr-FR"/>
        </w:rPr>
        <w:t>.  </w:t>
      </w:r>
      <w:r w:rsidRPr="00A2551C" w:rsidR="00396BE0">
        <w:rPr>
          <w:lang w:val="fr-FR"/>
        </w:rPr>
        <w:t>L</w:t>
      </w:r>
      <w:r w:rsidRPr="00A2551C" w:rsidR="00BB47AF">
        <w:rPr>
          <w:lang w:val="fr-FR"/>
        </w:rPr>
        <w:t xml:space="preserve">e Gouvernement </w:t>
      </w:r>
      <w:r w:rsidRPr="00A2551C" w:rsidR="00FF3F43">
        <w:rPr>
          <w:lang w:val="fr-FR"/>
        </w:rPr>
        <w:t xml:space="preserve">se réfère </w:t>
      </w:r>
      <w:r w:rsidRPr="00A2551C">
        <w:rPr>
          <w:lang w:val="fr-FR"/>
        </w:rPr>
        <w:t>en outre</w:t>
      </w:r>
      <w:r w:rsidRPr="00A2551C" w:rsidR="00396BE0">
        <w:rPr>
          <w:lang w:val="fr-FR"/>
        </w:rPr>
        <w:t xml:space="preserve"> </w:t>
      </w:r>
      <w:r w:rsidRPr="00A2551C" w:rsidR="00FF3F43">
        <w:rPr>
          <w:lang w:val="fr-FR"/>
        </w:rPr>
        <w:t>à</w:t>
      </w:r>
      <w:r w:rsidRPr="00A2551C" w:rsidR="00D51388">
        <w:rPr>
          <w:lang w:val="fr-FR"/>
        </w:rPr>
        <w:t xml:space="preserve"> la décision</w:t>
      </w:r>
      <w:r w:rsidRPr="00A2551C" w:rsidR="00BF5F52">
        <w:rPr>
          <w:lang w:val="fr-FR"/>
        </w:rPr>
        <w:t xml:space="preserve"> </w:t>
      </w:r>
      <w:r w:rsidRPr="00A2551C" w:rsidR="00D51388">
        <w:rPr>
          <w:i/>
          <w:lang w:val="fr-FR"/>
        </w:rPr>
        <w:t>Van de</w:t>
      </w:r>
      <w:r w:rsidRPr="00A2551C">
        <w:rPr>
          <w:i/>
          <w:lang w:val="fr-FR"/>
        </w:rPr>
        <w:t>r</w:t>
      </w:r>
      <w:r w:rsidRPr="00A2551C" w:rsidR="00D51388">
        <w:rPr>
          <w:i/>
          <w:lang w:val="fr-FR"/>
        </w:rPr>
        <w:t xml:space="preserve"> Graaf c.</w:t>
      </w:r>
      <w:r w:rsidRPr="00A2551C" w:rsidR="00EC19DF">
        <w:rPr>
          <w:i/>
          <w:lang w:val="fr-FR"/>
        </w:rPr>
        <w:t> </w:t>
      </w:r>
      <w:r w:rsidRPr="00A2551C" w:rsidR="00D51388">
        <w:rPr>
          <w:i/>
          <w:lang w:val="fr-FR"/>
        </w:rPr>
        <w:t>Pays-Bas</w:t>
      </w:r>
      <w:r w:rsidRPr="00A2551C" w:rsidR="005D21E7">
        <w:rPr>
          <w:i/>
          <w:lang w:val="fr-FR"/>
        </w:rPr>
        <w:t xml:space="preserve"> </w:t>
      </w:r>
      <w:r w:rsidRPr="00A2551C">
        <w:rPr>
          <w:lang w:val="fr-FR"/>
        </w:rPr>
        <w:t>(</w:t>
      </w:r>
      <w:r w:rsidRPr="00A2551C" w:rsidR="00257712">
        <w:rPr>
          <w:lang w:val="fr-FR"/>
        </w:rPr>
        <w:t xml:space="preserve">(déc.) </w:t>
      </w:r>
      <w:r w:rsidRPr="00A2551C" w:rsidR="00D51388">
        <w:rPr>
          <w:lang w:val="fr-FR"/>
        </w:rPr>
        <w:t>n</w:t>
      </w:r>
      <w:r w:rsidRPr="00A2551C" w:rsidR="00D51388">
        <w:rPr>
          <w:vertAlign w:val="superscript"/>
          <w:lang w:val="fr-FR"/>
        </w:rPr>
        <w:t>o</w:t>
      </w:r>
      <w:r w:rsidRPr="00A2551C" w:rsidR="00D51388">
        <w:rPr>
          <w:lang w:val="fr-FR"/>
        </w:rPr>
        <w:t xml:space="preserve"> 8704/03, 1</w:t>
      </w:r>
      <w:r w:rsidRPr="00A2551C" w:rsidR="00D51388">
        <w:rPr>
          <w:vertAlign w:val="superscript"/>
          <w:lang w:val="fr-FR"/>
        </w:rPr>
        <w:t>er</w:t>
      </w:r>
      <w:r w:rsidRPr="00A2551C" w:rsidR="00D51388">
        <w:rPr>
          <w:lang w:val="fr-FR"/>
        </w:rPr>
        <w:t xml:space="preserve"> juin 2004) </w:t>
      </w:r>
      <w:r w:rsidRPr="00A2551C" w:rsidR="005D21E7">
        <w:rPr>
          <w:lang w:val="fr-FR"/>
        </w:rPr>
        <w:t>en tant qu</w:t>
      </w:r>
      <w:r w:rsidRPr="00A2551C" w:rsidR="00A2551C">
        <w:rPr>
          <w:lang w:val="fr-FR"/>
        </w:rPr>
        <w:t>’</w:t>
      </w:r>
      <w:r w:rsidRPr="00A2551C" w:rsidR="005D21E7">
        <w:rPr>
          <w:lang w:val="fr-FR"/>
        </w:rPr>
        <w:t xml:space="preserve">exemple de </w:t>
      </w:r>
      <w:r w:rsidRPr="00A2551C" w:rsidR="00396BE0">
        <w:rPr>
          <w:lang w:val="fr-FR"/>
        </w:rPr>
        <w:t>l</w:t>
      </w:r>
      <w:r w:rsidRPr="00A2551C" w:rsidR="005D21E7">
        <w:rPr>
          <w:lang w:val="fr-FR"/>
        </w:rPr>
        <w:t>a jurisprudence d</w:t>
      </w:r>
      <w:r w:rsidRPr="00A2551C" w:rsidR="00396BE0">
        <w:rPr>
          <w:lang w:val="fr-FR"/>
        </w:rPr>
        <w:t>e la Cour dans</w:t>
      </w:r>
      <w:r w:rsidRPr="00A2551C" w:rsidR="005D21E7">
        <w:rPr>
          <w:lang w:val="fr-FR"/>
        </w:rPr>
        <w:t xml:space="preserve"> laquelle </w:t>
      </w:r>
      <w:r w:rsidRPr="00A2551C" w:rsidR="00EC19DF">
        <w:rPr>
          <w:lang w:val="fr-FR"/>
        </w:rPr>
        <w:t xml:space="preserve">celle-ci </w:t>
      </w:r>
      <w:r w:rsidRPr="00A2551C" w:rsidR="005D21E7">
        <w:rPr>
          <w:lang w:val="fr-FR"/>
        </w:rPr>
        <w:t xml:space="preserve">a conclu que le fait de placer le requérant sous </w:t>
      </w:r>
      <w:r w:rsidRPr="00A2551C" w:rsidR="00396BE0">
        <w:rPr>
          <w:lang w:val="fr-FR"/>
        </w:rPr>
        <w:t>vidéo</w:t>
      </w:r>
      <w:r w:rsidRPr="00A2551C" w:rsidR="005D21E7">
        <w:rPr>
          <w:lang w:val="fr-FR"/>
        </w:rPr>
        <w:t xml:space="preserve">surveillance </w:t>
      </w:r>
      <w:r w:rsidRPr="00A2551C" w:rsidR="00396BE0">
        <w:rPr>
          <w:lang w:val="fr-FR"/>
        </w:rPr>
        <w:t>permanen</w:t>
      </w:r>
      <w:r w:rsidRPr="00A2551C" w:rsidR="00EC19DF">
        <w:rPr>
          <w:lang w:val="fr-FR"/>
        </w:rPr>
        <w:t>t</w:t>
      </w:r>
      <w:r w:rsidRPr="00A2551C" w:rsidR="00396BE0">
        <w:rPr>
          <w:lang w:val="fr-FR"/>
        </w:rPr>
        <w:t xml:space="preserve">e </w:t>
      </w:r>
      <w:r w:rsidRPr="00A2551C" w:rsidR="005D21E7">
        <w:rPr>
          <w:lang w:val="fr-FR"/>
        </w:rPr>
        <w:t>constitu</w:t>
      </w:r>
      <w:r w:rsidRPr="00A2551C" w:rsidR="00396BE0">
        <w:rPr>
          <w:lang w:val="fr-FR"/>
        </w:rPr>
        <w:t>ait</w:t>
      </w:r>
      <w:r w:rsidRPr="00A2551C" w:rsidR="005D21E7">
        <w:rPr>
          <w:lang w:val="fr-FR"/>
        </w:rPr>
        <w:t xml:space="preserve"> une ingérence dans l</w:t>
      </w:r>
      <w:r w:rsidRPr="00A2551C" w:rsidR="00A2551C">
        <w:rPr>
          <w:lang w:val="fr-FR"/>
        </w:rPr>
        <w:t>’</w:t>
      </w:r>
      <w:r w:rsidRPr="00A2551C" w:rsidR="005D21E7">
        <w:rPr>
          <w:lang w:val="fr-FR"/>
        </w:rPr>
        <w:t xml:space="preserve">exercice </w:t>
      </w:r>
      <w:r w:rsidRPr="00A2551C" w:rsidR="00EC19DF">
        <w:rPr>
          <w:lang w:val="fr-FR"/>
        </w:rPr>
        <w:t>du</w:t>
      </w:r>
      <w:r w:rsidRPr="00A2551C" w:rsidR="005D21E7">
        <w:rPr>
          <w:lang w:val="fr-FR"/>
        </w:rPr>
        <w:t xml:space="preserve"> droit </w:t>
      </w:r>
      <w:r w:rsidRPr="00A2551C" w:rsidR="00EC19DF">
        <w:rPr>
          <w:lang w:val="fr-FR"/>
        </w:rPr>
        <w:t>de l</w:t>
      </w:r>
      <w:r w:rsidRPr="00A2551C" w:rsidR="00A2551C">
        <w:rPr>
          <w:lang w:val="fr-FR"/>
        </w:rPr>
        <w:t>’</w:t>
      </w:r>
      <w:r w:rsidRPr="00A2551C" w:rsidR="00EC19DF">
        <w:rPr>
          <w:lang w:val="fr-FR"/>
        </w:rPr>
        <w:t xml:space="preserve">intéressé </w:t>
      </w:r>
      <w:r w:rsidRPr="00A2551C" w:rsidR="005D21E7">
        <w:rPr>
          <w:lang w:val="fr-FR"/>
        </w:rPr>
        <w:t>au respect de sa vie privée mais que, toutefois, la mesure poursuivait le but légitime d</w:t>
      </w:r>
      <w:r w:rsidRPr="00A2551C" w:rsidR="00A2551C">
        <w:rPr>
          <w:lang w:val="fr-FR"/>
        </w:rPr>
        <w:t>’</w:t>
      </w:r>
      <w:r w:rsidRPr="00A2551C" w:rsidR="005D21E7">
        <w:rPr>
          <w:lang w:val="fr-FR"/>
        </w:rPr>
        <w:t>empêcher le requérant de s</w:t>
      </w:r>
      <w:r w:rsidRPr="00A2551C" w:rsidR="00A2551C">
        <w:rPr>
          <w:lang w:val="fr-FR"/>
        </w:rPr>
        <w:t>’</w:t>
      </w:r>
      <w:r w:rsidRPr="00A2551C" w:rsidR="005D21E7">
        <w:rPr>
          <w:lang w:val="fr-FR"/>
        </w:rPr>
        <w:t>évader ou de nuire à sa santé</w:t>
      </w:r>
      <w:r w:rsidRPr="00A2551C">
        <w:rPr>
          <w:lang w:val="fr-FR"/>
        </w:rPr>
        <w:t xml:space="preserve"> et était proportionnelle au but poursuivi</w:t>
      </w:r>
      <w:r w:rsidRPr="00A2551C" w:rsidR="005D21E7">
        <w:rPr>
          <w:lang w:val="fr-FR"/>
        </w:rPr>
        <w:t>.</w:t>
      </w:r>
    </w:p>
    <w:bookmarkStart w:name="vidsurreceff" w:id="43"/>
    <w:bookmarkStart w:name="vidsurreceffgouv" w:id="44"/>
    <w:p w:rsidRPr="00A2551C" w:rsidR="0076324D" w:rsidP="00A2551C" w:rsidRDefault="00D64EE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114</w:t>
      </w:r>
      <w:r w:rsidRPr="00A2551C">
        <w:rPr>
          <w:lang w:val="fr-FR"/>
        </w:rPr>
        <w:fldChar w:fldCharType="end"/>
      </w:r>
      <w:bookmarkEnd w:id="43"/>
      <w:bookmarkEnd w:id="44"/>
      <w:r w:rsidRPr="00A2551C">
        <w:rPr>
          <w:lang w:val="fr-FR"/>
        </w:rPr>
        <w:t>.  Enfin, s</w:t>
      </w:r>
      <w:r w:rsidRPr="00A2551C" w:rsidR="00A2551C">
        <w:rPr>
          <w:lang w:val="fr-FR"/>
        </w:rPr>
        <w:t>’</w:t>
      </w:r>
      <w:r w:rsidRPr="00A2551C">
        <w:rPr>
          <w:lang w:val="fr-FR"/>
        </w:rPr>
        <w:t>agissant de la question de savoir si le requérant disposait d</w:t>
      </w:r>
      <w:r w:rsidRPr="00A2551C" w:rsidR="00A2551C">
        <w:rPr>
          <w:lang w:val="fr-FR"/>
        </w:rPr>
        <w:t>’</w:t>
      </w:r>
      <w:r w:rsidRPr="00A2551C">
        <w:rPr>
          <w:lang w:val="fr-FR"/>
        </w:rPr>
        <w:t>un recours interne effectif pour se plaindre de la vidéosurveillance de la cellule qu</w:t>
      </w:r>
      <w:r w:rsidRPr="00A2551C" w:rsidR="00A2551C">
        <w:rPr>
          <w:lang w:val="fr-FR"/>
        </w:rPr>
        <w:t>’</w:t>
      </w:r>
      <w:r w:rsidRPr="00A2551C">
        <w:rPr>
          <w:lang w:val="fr-FR"/>
        </w:rPr>
        <w:t>il occupait dans la colonie pénitentiaire, le Gouvernement a</w:t>
      </w:r>
      <w:r w:rsidRPr="00A2551C" w:rsidR="00630A1A">
        <w:rPr>
          <w:lang w:val="fr-FR"/>
        </w:rPr>
        <w:t xml:space="preserve">rgue </w:t>
      </w:r>
      <w:r w:rsidRPr="00A2551C">
        <w:rPr>
          <w:lang w:val="fr-FR"/>
        </w:rPr>
        <w:t>que l</w:t>
      </w:r>
      <w:r w:rsidRPr="00A2551C" w:rsidR="00A2551C">
        <w:rPr>
          <w:lang w:val="fr-FR"/>
        </w:rPr>
        <w:t>’</w:t>
      </w:r>
      <w:r w:rsidRPr="00A2551C">
        <w:rPr>
          <w:lang w:val="fr-FR"/>
        </w:rPr>
        <w:t>intéressé aurait pu saisir la justice s</w:t>
      </w:r>
      <w:r w:rsidRPr="00A2551C" w:rsidR="00A2551C">
        <w:rPr>
          <w:lang w:val="fr-FR"/>
        </w:rPr>
        <w:t>’</w:t>
      </w:r>
      <w:r w:rsidRPr="00A2551C">
        <w:rPr>
          <w:lang w:val="fr-FR"/>
        </w:rPr>
        <w:t xml:space="preserve">il </w:t>
      </w:r>
      <w:r w:rsidRPr="00A2551C" w:rsidR="00630A1A">
        <w:rPr>
          <w:lang w:val="fr-FR"/>
        </w:rPr>
        <w:t xml:space="preserve">estimait </w:t>
      </w:r>
      <w:r w:rsidRPr="00A2551C">
        <w:rPr>
          <w:lang w:val="fr-FR"/>
        </w:rPr>
        <w:t>que ses droits étaient lésés.</w:t>
      </w:r>
    </w:p>
    <w:p w:rsidRPr="00A2551C" w:rsidR="0076324D" w:rsidP="00A2551C" w:rsidRDefault="006F1301">
      <w:pPr>
        <w:pStyle w:val="ECHRHeading4"/>
        <w:rPr>
          <w:lang w:val="fr-FR"/>
        </w:rPr>
      </w:pPr>
      <w:r w:rsidRPr="00A2551C">
        <w:rPr>
          <w:lang w:val="fr-FR"/>
        </w:rPr>
        <w:t>b)  Le requérant</w:t>
      </w:r>
    </w:p>
    <w:p w:rsidRPr="00A2551C" w:rsidR="003F5DCE" w:rsidP="00A2551C" w:rsidRDefault="00424DC0">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115</w:t>
      </w:r>
      <w:r w:rsidRPr="00A2551C">
        <w:rPr>
          <w:lang w:val="fr-FR"/>
        </w:rPr>
        <w:fldChar w:fldCharType="end"/>
      </w:r>
      <w:r w:rsidRPr="00A2551C">
        <w:rPr>
          <w:lang w:val="fr-FR"/>
        </w:rPr>
        <w:t>.  </w:t>
      </w:r>
      <w:r w:rsidRPr="00A2551C" w:rsidR="00327162">
        <w:rPr>
          <w:lang w:val="fr-FR"/>
        </w:rPr>
        <w:t>L</w:t>
      </w:r>
      <w:r w:rsidRPr="00A2551C">
        <w:rPr>
          <w:lang w:val="fr-FR"/>
        </w:rPr>
        <w:t xml:space="preserve">e requérant </w:t>
      </w:r>
      <w:r w:rsidRPr="00A2551C" w:rsidR="00327162">
        <w:rPr>
          <w:lang w:val="fr-FR"/>
        </w:rPr>
        <w:t>conteste les arguments du Gouvernement quant aux buts de l</w:t>
      </w:r>
      <w:r w:rsidRPr="00A2551C" w:rsidR="00A2551C">
        <w:rPr>
          <w:lang w:val="fr-FR"/>
        </w:rPr>
        <w:t>’</w:t>
      </w:r>
      <w:r w:rsidRPr="00A2551C" w:rsidR="00327162">
        <w:rPr>
          <w:lang w:val="fr-FR"/>
        </w:rPr>
        <w:t xml:space="preserve">ingérence dans sa vie privée et </w:t>
      </w:r>
      <w:r w:rsidRPr="00A2551C" w:rsidR="00DA421F">
        <w:rPr>
          <w:lang w:val="fr-FR"/>
        </w:rPr>
        <w:t xml:space="preserve">quant </w:t>
      </w:r>
      <w:r w:rsidRPr="00A2551C" w:rsidR="00327162">
        <w:rPr>
          <w:lang w:val="fr-FR"/>
        </w:rPr>
        <w:t xml:space="preserve">à la proportionnalité </w:t>
      </w:r>
      <w:r w:rsidRPr="00A2551C" w:rsidR="00DA421F">
        <w:rPr>
          <w:lang w:val="fr-FR"/>
        </w:rPr>
        <w:t>de l</w:t>
      </w:r>
      <w:r w:rsidRPr="00A2551C" w:rsidR="00A2551C">
        <w:rPr>
          <w:lang w:val="fr-FR"/>
        </w:rPr>
        <w:t>’</w:t>
      </w:r>
      <w:r w:rsidRPr="00A2551C" w:rsidR="00DA421F">
        <w:rPr>
          <w:lang w:val="fr-FR"/>
        </w:rPr>
        <w:t>ingérence par rapport au but poursuivi</w:t>
      </w:r>
      <w:r w:rsidRPr="00A2551C" w:rsidR="00327162">
        <w:rPr>
          <w:lang w:val="fr-FR"/>
        </w:rPr>
        <w:t>.</w:t>
      </w:r>
    </w:p>
    <w:bookmarkStart w:name="vidsurreqarg2" w:id="45"/>
    <w:p w:rsidRPr="00A2551C" w:rsidR="003F5DCE" w:rsidP="00A2551C" w:rsidRDefault="003F5DCE">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116</w:t>
      </w:r>
      <w:r w:rsidRPr="00A2551C">
        <w:rPr>
          <w:lang w:val="fr-FR"/>
        </w:rPr>
        <w:fldChar w:fldCharType="end"/>
      </w:r>
      <w:bookmarkEnd w:id="45"/>
      <w:r w:rsidRPr="00A2551C">
        <w:rPr>
          <w:lang w:val="fr-FR"/>
        </w:rPr>
        <w:t>.  S</w:t>
      </w:r>
      <w:r w:rsidRPr="00A2551C" w:rsidR="00A2551C">
        <w:rPr>
          <w:lang w:val="fr-FR"/>
        </w:rPr>
        <w:t>’</w:t>
      </w:r>
      <w:r w:rsidRPr="00A2551C">
        <w:rPr>
          <w:lang w:val="fr-FR"/>
        </w:rPr>
        <w:t>agissants des buts de l</w:t>
      </w:r>
      <w:r w:rsidRPr="00A2551C" w:rsidR="00A2551C">
        <w:rPr>
          <w:lang w:val="fr-FR"/>
        </w:rPr>
        <w:t>’</w:t>
      </w:r>
      <w:r w:rsidRPr="00A2551C">
        <w:rPr>
          <w:lang w:val="fr-FR"/>
        </w:rPr>
        <w:t>ingérence, le requérant indique que les données statistiques soumises par le Gouvernement démontre</w:t>
      </w:r>
      <w:r w:rsidRPr="00A2551C" w:rsidR="0018720E">
        <w:rPr>
          <w:lang w:val="fr-FR"/>
        </w:rPr>
        <w:t>nt</w:t>
      </w:r>
      <w:r w:rsidRPr="00A2551C">
        <w:rPr>
          <w:lang w:val="fr-FR"/>
        </w:rPr>
        <w:t xml:space="preserve"> l</w:t>
      </w:r>
      <w:r w:rsidRPr="00A2551C" w:rsidR="00A2551C">
        <w:rPr>
          <w:lang w:val="fr-FR"/>
        </w:rPr>
        <w:t>’</w:t>
      </w:r>
      <w:r w:rsidRPr="00A2551C">
        <w:rPr>
          <w:lang w:val="fr-FR"/>
        </w:rPr>
        <w:t xml:space="preserve">absence de corrélation entre le but de la prévention </w:t>
      </w:r>
      <w:r w:rsidRPr="00A2551C" w:rsidR="00E45732">
        <w:rPr>
          <w:lang w:val="fr-FR"/>
        </w:rPr>
        <w:t xml:space="preserve">des risques </w:t>
      </w:r>
      <w:r w:rsidRPr="00A2551C">
        <w:rPr>
          <w:lang w:val="fr-FR"/>
        </w:rPr>
        <w:t>d</w:t>
      </w:r>
      <w:r w:rsidRPr="00A2551C" w:rsidR="00A2551C">
        <w:rPr>
          <w:lang w:val="fr-FR"/>
        </w:rPr>
        <w:t>’</w:t>
      </w:r>
      <w:r w:rsidRPr="00A2551C">
        <w:rPr>
          <w:lang w:val="fr-FR"/>
        </w:rPr>
        <w:t>évasion et la mise en place de la vidéosurveillance car</w:t>
      </w:r>
      <w:r w:rsidRPr="00A2551C" w:rsidR="0018720E">
        <w:rPr>
          <w:lang w:val="fr-FR"/>
        </w:rPr>
        <w:t>,</w:t>
      </w:r>
      <w:r w:rsidRPr="00A2551C">
        <w:rPr>
          <w:lang w:val="fr-FR"/>
        </w:rPr>
        <w:t xml:space="preserve"> </w:t>
      </w:r>
      <w:r w:rsidRPr="00A2551C" w:rsidR="00E45732">
        <w:rPr>
          <w:lang w:val="fr-FR"/>
        </w:rPr>
        <w:t>selon les données fournies</w:t>
      </w:r>
      <w:r w:rsidRPr="00A2551C" w:rsidR="0018720E">
        <w:rPr>
          <w:lang w:val="fr-FR"/>
        </w:rPr>
        <w:t>,</w:t>
      </w:r>
      <w:r w:rsidRPr="00A2551C" w:rsidR="00E45732">
        <w:rPr>
          <w:lang w:val="fr-FR"/>
        </w:rPr>
        <w:t xml:space="preserve"> </w:t>
      </w:r>
      <w:r w:rsidRPr="00A2551C">
        <w:rPr>
          <w:lang w:val="fr-FR"/>
        </w:rPr>
        <w:t>le nombre d</w:t>
      </w:r>
      <w:r w:rsidRPr="00A2551C" w:rsidR="00A2551C">
        <w:rPr>
          <w:lang w:val="fr-FR"/>
        </w:rPr>
        <w:t>’</w:t>
      </w:r>
      <w:r w:rsidRPr="00A2551C">
        <w:rPr>
          <w:lang w:val="fr-FR"/>
        </w:rPr>
        <w:t xml:space="preserve">évasions </w:t>
      </w:r>
      <w:r w:rsidRPr="00A2551C" w:rsidR="00E45732">
        <w:rPr>
          <w:lang w:val="fr-FR"/>
        </w:rPr>
        <w:t xml:space="preserve">pendant la période </w:t>
      </w:r>
      <w:r w:rsidRPr="00A2551C" w:rsidR="0018720E">
        <w:rPr>
          <w:lang w:val="fr-FR"/>
        </w:rPr>
        <w:t xml:space="preserve">allant </w:t>
      </w:r>
      <w:r w:rsidRPr="00A2551C" w:rsidR="00E45732">
        <w:rPr>
          <w:lang w:val="fr-FR"/>
        </w:rPr>
        <w:t xml:space="preserve">de 2010 à 2013 </w:t>
      </w:r>
      <w:r w:rsidRPr="00A2551C">
        <w:rPr>
          <w:lang w:val="fr-FR"/>
        </w:rPr>
        <w:t>n</w:t>
      </w:r>
      <w:r w:rsidRPr="00A2551C" w:rsidR="00A2551C">
        <w:rPr>
          <w:lang w:val="fr-FR"/>
        </w:rPr>
        <w:t>’</w:t>
      </w:r>
      <w:r w:rsidRPr="00A2551C">
        <w:rPr>
          <w:lang w:val="fr-FR"/>
        </w:rPr>
        <w:t>a</w:t>
      </w:r>
      <w:r w:rsidRPr="00A2551C" w:rsidR="0018720E">
        <w:rPr>
          <w:lang w:val="fr-FR"/>
        </w:rPr>
        <w:t>urait</w:t>
      </w:r>
      <w:r w:rsidRPr="00A2551C">
        <w:rPr>
          <w:lang w:val="fr-FR"/>
        </w:rPr>
        <w:t xml:space="preserve"> fait </w:t>
      </w:r>
      <w:r w:rsidRPr="00A2551C" w:rsidR="0038295D">
        <w:rPr>
          <w:lang w:val="fr-FR"/>
        </w:rPr>
        <w:t xml:space="preserve">que </w:t>
      </w:r>
      <w:r w:rsidRPr="00A2551C">
        <w:rPr>
          <w:lang w:val="fr-FR"/>
        </w:rPr>
        <w:t>croître. En ce qui concerne le but de la protection de l</w:t>
      </w:r>
      <w:r w:rsidRPr="00A2551C" w:rsidR="00A2551C">
        <w:rPr>
          <w:lang w:val="fr-FR"/>
        </w:rPr>
        <w:t>’</w:t>
      </w:r>
      <w:r w:rsidRPr="00A2551C">
        <w:rPr>
          <w:lang w:val="fr-FR"/>
        </w:rPr>
        <w:t xml:space="preserve">intégrité physique, il </w:t>
      </w:r>
      <w:r w:rsidRPr="00A2551C" w:rsidR="00327162">
        <w:rPr>
          <w:lang w:val="fr-FR"/>
        </w:rPr>
        <w:t xml:space="preserve">soutient que les références à la jurisprudence de la Cour citées par le Gouvernement </w:t>
      </w:r>
      <w:r w:rsidRPr="00A2551C">
        <w:rPr>
          <w:lang w:val="fr-FR"/>
        </w:rPr>
        <w:t xml:space="preserve">à cet égard </w:t>
      </w:r>
      <w:r w:rsidRPr="00A2551C" w:rsidR="00327162">
        <w:rPr>
          <w:lang w:val="fr-FR"/>
        </w:rPr>
        <w:t>ne sont pas pertinentes : il n</w:t>
      </w:r>
      <w:r w:rsidRPr="00A2551C" w:rsidR="00A2551C">
        <w:rPr>
          <w:lang w:val="fr-FR"/>
        </w:rPr>
        <w:t>’</w:t>
      </w:r>
      <w:r w:rsidRPr="00A2551C" w:rsidR="00327162">
        <w:rPr>
          <w:lang w:val="fr-FR"/>
        </w:rPr>
        <w:t>a</w:t>
      </w:r>
      <w:r w:rsidRPr="00A2551C" w:rsidR="0018720E">
        <w:rPr>
          <w:lang w:val="fr-FR"/>
        </w:rPr>
        <w:t>urait</w:t>
      </w:r>
      <w:r w:rsidRPr="00A2551C" w:rsidR="007C39C8">
        <w:rPr>
          <w:lang w:val="fr-FR"/>
        </w:rPr>
        <w:t xml:space="preserve"> jamais été signalé en tant </w:t>
      </w:r>
      <w:r w:rsidRPr="00A2551C" w:rsidR="0018720E">
        <w:rPr>
          <w:lang w:val="fr-FR"/>
        </w:rPr>
        <w:t xml:space="preserve">que </w:t>
      </w:r>
      <w:r w:rsidRPr="00A2551C" w:rsidR="00327162">
        <w:rPr>
          <w:lang w:val="fr-FR"/>
        </w:rPr>
        <w:t>personne ayant des tendances suicidaires, contrairement au requérant dans l</w:t>
      </w:r>
      <w:r w:rsidRPr="00A2551C" w:rsidR="00A2551C">
        <w:rPr>
          <w:lang w:val="fr-FR"/>
        </w:rPr>
        <w:t>’</w:t>
      </w:r>
      <w:r w:rsidRPr="00A2551C" w:rsidR="00327162">
        <w:rPr>
          <w:lang w:val="fr-FR"/>
        </w:rPr>
        <w:t xml:space="preserve">affaire </w:t>
      </w:r>
      <w:proofErr w:type="spellStart"/>
      <w:r w:rsidRPr="00A2551C" w:rsidR="00327162">
        <w:rPr>
          <w:i/>
          <w:lang w:val="fr-FR"/>
        </w:rPr>
        <w:t>Trubnikov</w:t>
      </w:r>
      <w:proofErr w:type="spellEnd"/>
      <w:r w:rsidRPr="00A2551C" w:rsidR="00327162">
        <w:rPr>
          <w:lang w:val="fr-FR"/>
        </w:rPr>
        <w:t xml:space="preserve"> précité</w:t>
      </w:r>
      <w:r w:rsidRPr="00A2551C" w:rsidR="0018720E">
        <w:rPr>
          <w:lang w:val="fr-FR"/>
        </w:rPr>
        <w:t>e</w:t>
      </w:r>
      <w:r w:rsidRPr="00A2551C">
        <w:rPr>
          <w:lang w:val="fr-FR"/>
        </w:rPr>
        <w:t>, et</w:t>
      </w:r>
      <w:r w:rsidRPr="00A2551C" w:rsidR="00327162">
        <w:rPr>
          <w:lang w:val="fr-FR"/>
        </w:rPr>
        <w:t xml:space="preserve"> il n</w:t>
      </w:r>
      <w:r w:rsidRPr="00A2551C" w:rsidR="00A2551C">
        <w:rPr>
          <w:lang w:val="fr-FR"/>
        </w:rPr>
        <w:t>’</w:t>
      </w:r>
      <w:r w:rsidRPr="00A2551C" w:rsidR="00327162">
        <w:rPr>
          <w:lang w:val="fr-FR"/>
        </w:rPr>
        <w:t>a</w:t>
      </w:r>
      <w:r w:rsidRPr="00A2551C" w:rsidR="0018720E">
        <w:rPr>
          <w:lang w:val="fr-FR"/>
        </w:rPr>
        <w:t>urait</w:t>
      </w:r>
      <w:r w:rsidRPr="00A2551C" w:rsidR="00327162">
        <w:rPr>
          <w:lang w:val="fr-FR"/>
        </w:rPr>
        <w:t xml:space="preserve"> jamais </w:t>
      </w:r>
      <w:r w:rsidRPr="00A2551C" w:rsidR="0018720E">
        <w:rPr>
          <w:lang w:val="fr-FR"/>
        </w:rPr>
        <w:t xml:space="preserve">été en </w:t>
      </w:r>
      <w:r w:rsidRPr="00A2551C" w:rsidR="00327162">
        <w:rPr>
          <w:lang w:val="fr-FR"/>
        </w:rPr>
        <w:t xml:space="preserve">conflit avec </w:t>
      </w:r>
      <w:r w:rsidRPr="00A2551C" w:rsidR="0018720E">
        <w:rPr>
          <w:lang w:val="fr-FR"/>
        </w:rPr>
        <w:t>s</w:t>
      </w:r>
      <w:r w:rsidRPr="00A2551C" w:rsidR="00327162">
        <w:rPr>
          <w:lang w:val="fr-FR"/>
        </w:rPr>
        <w:t>es codétenus de sorte que sa sécurité à l</w:t>
      </w:r>
      <w:r w:rsidRPr="00A2551C" w:rsidR="00A2551C">
        <w:rPr>
          <w:lang w:val="fr-FR"/>
        </w:rPr>
        <w:t>’</w:t>
      </w:r>
      <w:r w:rsidRPr="00A2551C" w:rsidR="00327162">
        <w:rPr>
          <w:lang w:val="fr-FR"/>
        </w:rPr>
        <w:t>intérieur de la cellule ou à l</w:t>
      </w:r>
      <w:r w:rsidRPr="00A2551C" w:rsidR="00A2551C">
        <w:rPr>
          <w:lang w:val="fr-FR"/>
        </w:rPr>
        <w:t>’</w:t>
      </w:r>
      <w:r w:rsidRPr="00A2551C" w:rsidR="00327162">
        <w:rPr>
          <w:lang w:val="fr-FR"/>
        </w:rPr>
        <w:t>extérieur de celle</w:t>
      </w:r>
      <w:r w:rsidRPr="00A2551C" w:rsidR="00327162">
        <w:rPr>
          <w:lang w:val="fr-FR"/>
        </w:rPr>
        <w:noBreakHyphen/>
        <w:t>ci</w:t>
      </w:r>
      <w:r w:rsidRPr="00A2551C" w:rsidR="007C39C8">
        <w:rPr>
          <w:lang w:val="fr-FR"/>
        </w:rPr>
        <w:t xml:space="preserve"> </w:t>
      </w:r>
      <w:r w:rsidRPr="00A2551C" w:rsidR="0018720E">
        <w:rPr>
          <w:lang w:val="fr-FR"/>
        </w:rPr>
        <w:t xml:space="preserve">aurait </w:t>
      </w:r>
      <w:r w:rsidRPr="00A2551C" w:rsidR="007C39C8">
        <w:rPr>
          <w:lang w:val="fr-FR"/>
        </w:rPr>
        <w:t>été compromise</w:t>
      </w:r>
      <w:r w:rsidRPr="00A2551C" w:rsidR="00327162">
        <w:rPr>
          <w:lang w:val="fr-FR"/>
        </w:rPr>
        <w:t>, contrairement au requérant dans l</w:t>
      </w:r>
      <w:r w:rsidRPr="00A2551C" w:rsidR="00A2551C">
        <w:rPr>
          <w:lang w:val="fr-FR"/>
        </w:rPr>
        <w:t>’</w:t>
      </w:r>
      <w:r w:rsidRPr="00A2551C" w:rsidR="00327162">
        <w:rPr>
          <w:lang w:val="fr-FR"/>
        </w:rPr>
        <w:t xml:space="preserve">affaire </w:t>
      </w:r>
      <w:proofErr w:type="spellStart"/>
      <w:r w:rsidRPr="00A2551C" w:rsidR="00327162">
        <w:rPr>
          <w:i/>
          <w:lang w:val="fr-FR"/>
        </w:rPr>
        <w:t>Buntov</w:t>
      </w:r>
      <w:proofErr w:type="spellEnd"/>
      <w:r w:rsidRPr="00A2551C" w:rsidR="00327162">
        <w:rPr>
          <w:lang w:val="fr-FR"/>
        </w:rPr>
        <w:t xml:space="preserve"> précitée</w:t>
      </w:r>
      <w:r w:rsidRPr="00A2551C">
        <w:rPr>
          <w:lang w:val="fr-FR"/>
        </w:rPr>
        <w:t>.</w:t>
      </w:r>
    </w:p>
    <w:bookmarkStart w:name="vidsurreqarg3" w:id="46"/>
    <w:p w:rsidRPr="00A2551C" w:rsidR="006F1301" w:rsidP="00A2551C" w:rsidRDefault="003F5DCE">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117</w:t>
      </w:r>
      <w:r w:rsidRPr="00A2551C">
        <w:rPr>
          <w:lang w:val="fr-FR"/>
        </w:rPr>
        <w:fldChar w:fldCharType="end"/>
      </w:r>
      <w:bookmarkEnd w:id="46"/>
      <w:r w:rsidRPr="00A2551C">
        <w:rPr>
          <w:lang w:val="fr-FR"/>
        </w:rPr>
        <w:t xml:space="preserve">.  Le requérant indique ensuite que, </w:t>
      </w:r>
      <w:r w:rsidRPr="00A2551C" w:rsidR="00327162">
        <w:rPr>
          <w:lang w:val="fr-FR"/>
        </w:rPr>
        <w:t>contrairement à la situation du requérant dans l</w:t>
      </w:r>
      <w:r w:rsidRPr="00A2551C" w:rsidR="00A2551C">
        <w:rPr>
          <w:lang w:val="fr-FR"/>
        </w:rPr>
        <w:t>’</w:t>
      </w:r>
      <w:r w:rsidRPr="00A2551C" w:rsidR="00327162">
        <w:rPr>
          <w:lang w:val="fr-FR"/>
        </w:rPr>
        <w:t xml:space="preserve">affaire </w:t>
      </w:r>
      <w:r w:rsidRPr="00A2551C" w:rsidR="00327162">
        <w:rPr>
          <w:i/>
          <w:lang w:val="fr-FR"/>
        </w:rPr>
        <w:t>Van de</w:t>
      </w:r>
      <w:r w:rsidRPr="00A2551C" w:rsidR="00E45732">
        <w:rPr>
          <w:i/>
          <w:lang w:val="fr-FR"/>
        </w:rPr>
        <w:t>r</w:t>
      </w:r>
      <w:r w:rsidRPr="00A2551C" w:rsidR="00327162">
        <w:rPr>
          <w:i/>
          <w:lang w:val="fr-FR"/>
        </w:rPr>
        <w:t xml:space="preserve"> Graaf</w:t>
      </w:r>
      <w:r w:rsidRPr="00A2551C" w:rsidR="00327162">
        <w:rPr>
          <w:lang w:val="fr-FR"/>
        </w:rPr>
        <w:t xml:space="preserve"> précité</w:t>
      </w:r>
      <w:r w:rsidRPr="00A2551C" w:rsidR="00E45732">
        <w:rPr>
          <w:lang w:val="fr-FR"/>
        </w:rPr>
        <w:t>e</w:t>
      </w:r>
      <w:r w:rsidRPr="00A2551C" w:rsidR="00327162">
        <w:rPr>
          <w:lang w:val="fr-FR"/>
        </w:rPr>
        <w:t xml:space="preserve">, qui a été placé sous vidéosurveillance </w:t>
      </w:r>
      <w:r w:rsidRPr="00A2551C" w:rsidR="007C39C8">
        <w:rPr>
          <w:lang w:val="fr-FR"/>
        </w:rPr>
        <w:t xml:space="preserve">sur </w:t>
      </w:r>
      <w:r w:rsidRPr="00A2551C" w:rsidR="00327162">
        <w:rPr>
          <w:lang w:val="fr-FR"/>
        </w:rPr>
        <w:t xml:space="preserve">avis </w:t>
      </w:r>
      <w:r w:rsidRPr="00A2551C" w:rsidR="007C39C8">
        <w:rPr>
          <w:lang w:val="fr-FR"/>
        </w:rPr>
        <w:t xml:space="preserve">motivé </w:t>
      </w:r>
      <w:r w:rsidRPr="00A2551C" w:rsidR="00327162">
        <w:rPr>
          <w:lang w:val="fr-FR"/>
        </w:rPr>
        <w:t>d</w:t>
      </w:r>
      <w:r w:rsidRPr="00A2551C" w:rsidR="00A2551C">
        <w:rPr>
          <w:lang w:val="fr-FR"/>
        </w:rPr>
        <w:t>’</w:t>
      </w:r>
      <w:r w:rsidRPr="00A2551C" w:rsidR="00327162">
        <w:rPr>
          <w:lang w:val="fr-FR"/>
        </w:rPr>
        <w:t xml:space="preserve">un </w:t>
      </w:r>
      <w:r w:rsidRPr="00A2551C" w:rsidR="007C39C8">
        <w:rPr>
          <w:lang w:val="fr-FR"/>
        </w:rPr>
        <w:t>psychiatre et pour une période de durée limitée dont la reconduite était régulièrement contrôlée par les autorités internes, son placement sous vidéosurveillance découlait d</w:t>
      </w:r>
      <w:r w:rsidRPr="00A2551C" w:rsidR="00A2551C">
        <w:rPr>
          <w:lang w:val="fr-FR"/>
        </w:rPr>
        <w:t>’</w:t>
      </w:r>
      <w:r w:rsidRPr="00A2551C" w:rsidR="007C39C8">
        <w:rPr>
          <w:lang w:val="fr-FR"/>
        </w:rPr>
        <w:t>une disposition légale générale et n</w:t>
      </w:r>
      <w:r w:rsidRPr="00A2551C" w:rsidR="00A2551C">
        <w:rPr>
          <w:lang w:val="fr-FR"/>
        </w:rPr>
        <w:t>’</w:t>
      </w:r>
      <w:r w:rsidRPr="00A2551C" w:rsidR="007C39C8">
        <w:rPr>
          <w:lang w:val="fr-FR"/>
        </w:rPr>
        <w:t>était pas basé sur l</w:t>
      </w:r>
      <w:r w:rsidRPr="00A2551C" w:rsidR="00A2551C">
        <w:rPr>
          <w:lang w:val="fr-FR"/>
        </w:rPr>
        <w:t>’</w:t>
      </w:r>
      <w:r w:rsidRPr="00A2551C" w:rsidR="007C39C8">
        <w:rPr>
          <w:lang w:val="fr-FR"/>
        </w:rPr>
        <w:t xml:space="preserve">appréciation personnalisée de sa situation. </w:t>
      </w:r>
      <w:r w:rsidRPr="00A2551C" w:rsidR="00CB447C">
        <w:rPr>
          <w:lang w:val="fr-FR"/>
        </w:rPr>
        <w:t>Il allègue enfin qu</w:t>
      </w:r>
      <w:r w:rsidRPr="00A2551C" w:rsidR="00A2551C">
        <w:rPr>
          <w:lang w:val="fr-FR"/>
        </w:rPr>
        <w:t>’</w:t>
      </w:r>
      <w:r w:rsidRPr="00A2551C" w:rsidR="00CB447C">
        <w:rPr>
          <w:lang w:val="fr-FR"/>
        </w:rPr>
        <w:t>il n</w:t>
      </w:r>
      <w:r w:rsidRPr="00A2551C" w:rsidR="00A2551C">
        <w:rPr>
          <w:lang w:val="fr-FR"/>
        </w:rPr>
        <w:t>’</w:t>
      </w:r>
      <w:r w:rsidRPr="00A2551C" w:rsidR="00CB447C">
        <w:rPr>
          <w:lang w:val="fr-FR"/>
        </w:rPr>
        <w:t>a pas été informé par l</w:t>
      </w:r>
      <w:r w:rsidRPr="00A2551C" w:rsidR="00A2551C">
        <w:rPr>
          <w:lang w:val="fr-FR"/>
        </w:rPr>
        <w:t>’</w:t>
      </w:r>
      <w:r w:rsidRPr="00A2551C" w:rsidR="00CB447C">
        <w:rPr>
          <w:lang w:val="fr-FR"/>
        </w:rPr>
        <w:t xml:space="preserve">administration pénitentiaire </w:t>
      </w:r>
      <w:r w:rsidRPr="00A2551C" w:rsidR="007A4C18">
        <w:rPr>
          <w:lang w:val="fr-FR"/>
        </w:rPr>
        <w:t>des</w:t>
      </w:r>
      <w:r w:rsidRPr="00A2551C" w:rsidR="00CB447C">
        <w:rPr>
          <w:lang w:val="fr-FR"/>
        </w:rPr>
        <w:t xml:space="preserve"> modalités de la vidéosurveillance effectuée, </w:t>
      </w:r>
      <w:r w:rsidRPr="00A2551C" w:rsidR="007A4C18">
        <w:rPr>
          <w:lang w:val="fr-FR"/>
        </w:rPr>
        <w:t>de l</w:t>
      </w:r>
      <w:r w:rsidRPr="00A2551C" w:rsidR="00A2551C">
        <w:rPr>
          <w:lang w:val="fr-FR"/>
        </w:rPr>
        <w:t>’</w:t>
      </w:r>
      <w:r w:rsidRPr="00A2551C" w:rsidR="007A4C18">
        <w:rPr>
          <w:lang w:val="fr-FR"/>
        </w:rPr>
        <w:t>identité des</w:t>
      </w:r>
      <w:r w:rsidRPr="00A2551C" w:rsidR="00CB447C">
        <w:rPr>
          <w:lang w:val="fr-FR"/>
        </w:rPr>
        <w:t xml:space="preserve"> personnes ayant accès aux enregistrements effectués </w:t>
      </w:r>
      <w:r w:rsidRPr="00A2551C" w:rsidR="007A4C18">
        <w:rPr>
          <w:lang w:val="fr-FR"/>
        </w:rPr>
        <w:t xml:space="preserve">ni de </w:t>
      </w:r>
      <w:r w:rsidRPr="00A2551C" w:rsidR="00CB447C">
        <w:rPr>
          <w:lang w:val="fr-FR"/>
        </w:rPr>
        <w:t>la durée desdits enregistrements.</w:t>
      </w:r>
    </w:p>
    <w:p w:rsidRPr="00A2551C" w:rsidR="0076324D" w:rsidP="00A2551C" w:rsidRDefault="00D64EEC">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118</w:t>
      </w:r>
      <w:r w:rsidRPr="00A2551C">
        <w:rPr>
          <w:lang w:val="fr-FR"/>
        </w:rPr>
        <w:fldChar w:fldCharType="end"/>
      </w:r>
      <w:r w:rsidRPr="00A2551C">
        <w:rPr>
          <w:lang w:val="fr-FR"/>
        </w:rPr>
        <w:t xml:space="preserve">.  Enfin, </w:t>
      </w:r>
      <w:r w:rsidRPr="00A2551C" w:rsidR="000649B8">
        <w:rPr>
          <w:lang w:val="fr-FR"/>
        </w:rPr>
        <w:t>le requérant soutient qu</w:t>
      </w:r>
      <w:r w:rsidRPr="00A2551C" w:rsidR="00A2551C">
        <w:rPr>
          <w:lang w:val="fr-FR"/>
        </w:rPr>
        <w:t>’</w:t>
      </w:r>
      <w:r w:rsidRPr="00A2551C" w:rsidR="000649B8">
        <w:rPr>
          <w:lang w:val="fr-FR"/>
        </w:rPr>
        <w:t>il n</w:t>
      </w:r>
      <w:r w:rsidRPr="00A2551C" w:rsidR="00A2551C">
        <w:rPr>
          <w:lang w:val="fr-FR"/>
        </w:rPr>
        <w:t>’</w:t>
      </w:r>
      <w:r w:rsidRPr="00A2551C" w:rsidR="000649B8">
        <w:rPr>
          <w:lang w:val="fr-FR"/>
        </w:rPr>
        <w:t>existe aucun recours interne effectif, en théorie comme en pratique, par lequel il aurait pu contester son placement sous vidéosurveillance, cette mesure découlant directement de l</w:t>
      </w:r>
      <w:r w:rsidRPr="00A2551C" w:rsidR="00A2551C">
        <w:rPr>
          <w:lang w:val="fr-FR"/>
        </w:rPr>
        <w:t>’</w:t>
      </w:r>
      <w:r w:rsidRPr="00A2551C" w:rsidR="000649B8">
        <w:rPr>
          <w:lang w:val="fr-FR"/>
        </w:rPr>
        <w:t>article 83 du CESP.</w:t>
      </w:r>
    </w:p>
    <w:p w:rsidRPr="00A2551C" w:rsidR="00657348" w:rsidP="00A2551C" w:rsidRDefault="00657348">
      <w:pPr>
        <w:pStyle w:val="ECHRHeading3"/>
        <w:rPr>
          <w:lang w:val="fr-FR"/>
        </w:rPr>
      </w:pPr>
      <w:r w:rsidRPr="00A2551C">
        <w:rPr>
          <w:lang w:val="fr-FR"/>
        </w:rPr>
        <w:t>2.  Appréciation de la Cour</w:t>
      </w:r>
    </w:p>
    <w:p w:rsidRPr="00A2551C" w:rsidR="0014248D" w:rsidP="00A2551C" w:rsidRDefault="00657348">
      <w:pPr>
        <w:pStyle w:val="ECHRHeading4"/>
        <w:rPr>
          <w:lang w:val="fr-FR"/>
        </w:rPr>
      </w:pPr>
      <w:r w:rsidRPr="00A2551C">
        <w:rPr>
          <w:lang w:val="fr-FR"/>
        </w:rPr>
        <w:t>a)  Sur la recevabilité</w:t>
      </w:r>
    </w:p>
    <w:p w:rsidRPr="00A2551C" w:rsidR="00657348" w:rsidP="00A2551C" w:rsidRDefault="0065734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119</w:t>
      </w:r>
      <w:r w:rsidRPr="00A2551C">
        <w:rPr>
          <w:lang w:val="fr-FR"/>
        </w:rPr>
        <w:fldChar w:fldCharType="end"/>
      </w:r>
      <w:r w:rsidRPr="00A2551C">
        <w:rPr>
          <w:lang w:val="fr-FR"/>
        </w:rPr>
        <w:t>.  Constatant que ce grief n</w:t>
      </w:r>
      <w:r w:rsidRPr="00A2551C" w:rsidR="00A2551C">
        <w:rPr>
          <w:lang w:val="fr-FR"/>
        </w:rPr>
        <w:t>’</w:t>
      </w:r>
      <w:r w:rsidRPr="00A2551C">
        <w:rPr>
          <w:lang w:val="fr-FR"/>
        </w:rPr>
        <w:t>est pas manifestement mal fondé au sens de l</w:t>
      </w:r>
      <w:r w:rsidRPr="00A2551C" w:rsidR="00A2551C">
        <w:rPr>
          <w:lang w:val="fr-FR"/>
        </w:rPr>
        <w:t>’</w:t>
      </w:r>
      <w:r w:rsidRPr="00A2551C">
        <w:rPr>
          <w:lang w:val="fr-FR"/>
        </w:rPr>
        <w:t>article 35 § 3 a) de la Convention et qu</w:t>
      </w:r>
      <w:r w:rsidRPr="00A2551C" w:rsidR="00A2551C">
        <w:rPr>
          <w:lang w:val="fr-FR"/>
        </w:rPr>
        <w:t>’</w:t>
      </w:r>
      <w:r w:rsidRPr="00A2551C">
        <w:rPr>
          <w:lang w:val="fr-FR"/>
        </w:rPr>
        <w:t>il ne se heurte par ailleurs à aucun autre motif d</w:t>
      </w:r>
      <w:r w:rsidRPr="00A2551C" w:rsidR="00A2551C">
        <w:rPr>
          <w:lang w:val="fr-FR"/>
        </w:rPr>
        <w:t>’</w:t>
      </w:r>
      <w:r w:rsidRPr="00A2551C">
        <w:rPr>
          <w:lang w:val="fr-FR"/>
        </w:rPr>
        <w:t>irrecevabilité, la Cour le déclare recevable.</w:t>
      </w:r>
    </w:p>
    <w:p w:rsidRPr="00A2551C" w:rsidR="00657348" w:rsidP="00A2551C" w:rsidRDefault="00657348">
      <w:pPr>
        <w:pStyle w:val="ECHRHeading4"/>
        <w:rPr>
          <w:lang w:val="fr-FR"/>
        </w:rPr>
      </w:pPr>
      <w:r w:rsidRPr="00A2551C">
        <w:rPr>
          <w:lang w:val="fr-FR"/>
        </w:rPr>
        <w:t>b)  Sur le fond</w:t>
      </w:r>
    </w:p>
    <w:bookmarkStart w:name="jurA8" w:id="47"/>
    <w:p w:rsidRPr="00A2551C" w:rsidR="00BF449C" w:rsidP="00A2551C" w:rsidRDefault="0028254F">
      <w:pPr>
        <w:pStyle w:val="ECHRPara"/>
        <w:rPr>
          <w:lang w:val="pl-PL"/>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120</w:t>
      </w:r>
      <w:r w:rsidRPr="00A2551C">
        <w:rPr>
          <w:lang w:val="fr-FR"/>
        </w:rPr>
        <w:fldChar w:fldCharType="end"/>
      </w:r>
      <w:bookmarkEnd w:id="47"/>
      <w:r w:rsidRPr="00A2551C">
        <w:rPr>
          <w:lang w:val="fr-FR"/>
        </w:rPr>
        <w:t xml:space="preserve">.  La Cour rappelle que </w:t>
      </w:r>
      <w:r w:rsidRPr="00A2551C" w:rsidR="00870A0F">
        <w:rPr>
          <w:lang w:val="fr-FR"/>
        </w:rPr>
        <w:t>selon sa jurisprudence constante les détenus en général continuent de jouir de tous les droits et libertés fondamentaux garantis par la Convention, à l</w:t>
      </w:r>
      <w:r w:rsidRPr="00A2551C" w:rsidR="00A2551C">
        <w:rPr>
          <w:lang w:val="fr-FR"/>
        </w:rPr>
        <w:t>’</w:t>
      </w:r>
      <w:r w:rsidRPr="00A2551C" w:rsidR="00870A0F">
        <w:rPr>
          <w:lang w:val="fr-FR"/>
        </w:rPr>
        <w:t>exception du droit à la liberté lorsqu</w:t>
      </w:r>
      <w:r w:rsidRPr="00A2551C" w:rsidR="00A2551C">
        <w:rPr>
          <w:lang w:val="fr-FR"/>
        </w:rPr>
        <w:t>’</w:t>
      </w:r>
      <w:r w:rsidRPr="00A2551C" w:rsidR="00870A0F">
        <w:rPr>
          <w:lang w:val="fr-FR"/>
        </w:rPr>
        <w:t>une détention régulière entre expressément dans le champ d</w:t>
      </w:r>
      <w:r w:rsidRPr="00A2551C" w:rsidR="00A2551C">
        <w:rPr>
          <w:lang w:val="fr-FR"/>
        </w:rPr>
        <w:t>’</w:t>
      </w:r>
      <w:r w:rsidRPr="00A2551C" w:rsidR="00870A0F">
        <w:rPr>
          <w:lang w:val="fr-FR"/>
        </w:rPr>
        <w:t>application de l</w:t>
      </w:r>
      <w:r w:rsidRPr="00A2551C" w:rsidR="00A2551C">
        <w:rPr>
          <w:lang w:val="fr-FR"/>
        </w:rPr>
        <w:t>’</w:t>
      </w:r>
      <w:r w:rsidRPr="00A2551C" w:rsidR="00870A0F">
        <w:rPr>
          <w:lang w:val="fr-FR"/>
        </w:rPr>
        <w:t>article 5 de la Convention (</w:t>
      </w:r>
      <w:proofErr w:type="spellStart"/>
      <w:r w:rsidRPr="00A2551C" w:rsidR="00632CC0">
        <w:rPr>
          <w:i/>
          <w:lang w:val="it-IT"/>
        </w:rPr>
        <w:t>Hirst</w:t>
      </w:r>
      <w:proofErr w:type="spellEnd"/>
      <w:r w:rsidRPr="00A2551C" w:rsidR="00632CC0">
        <w:rPr>
          <w:i/>
          <w:lang w:val="it-IT"/>
        </w:rPr>
        <w:t xml:space="preserve"> c. </w:t>
      </w:r>
      <w:proofErr w:type="spellStart"/>
      <w:r w:rsidRPr="00A2551C" w:rsidR="00632CC0">
        <w:rPr>
          <w:i/>
          <w:lang w:val="it-IT"/>
        </w:rPr>
        <w:t>Royaume</w:t>
      </w:r>
      <w:proofErr w:type="spellEnd"/>
      <w:r w:rsidRPr="00A2551C" w:rsidR="00632CC0">
        <w:rPr>
          <w:i/>
          <w:lang w:val="it-IT"/>
        </w:rPr>
        <w:t>-Uni (n</w:t>
      </w:r>
      <w:r w:rsidRPr="00A2551C" w:rsidR="00632CC0">
        <w:rPr>
          <w:i/>
          <w:vertAlign w:val="superscript"/>
          <w:lang w:val="it-IT"/>
        </w:rPr>
        <w:t>o</w:t>
      </w:r>
      <w:r w:rsidRPr="00A2551C" w:rsidR="00632CC0">
        <w:rPr>
          <w:i/>
          <w:lang w:val="it-IT"/>
        </w:rPr>
        <w:t> 2)</w:t>
      </w:r>
      <w:r w:rsidRPr="00A2551C" w:rsidR="00632CC0">
        <w:rPr>
          <w:lang w:val="it-IT"/>
        </w:rPr>
        <w:t> [GC], n</w:t>
      </w:r>
      <w:r w:rsidRPr="00A2551C" w:rsidR="00632CC0">
        <w:rPr>
          <w:vertAlign w:val="superscript"/>
          <w:lang w:val="it-IT"/>
        </w:rPr>
        <w:t>o</w:t>
      </w:r>
      <w:r w:rsidRPr="00A2551C" w:rsidR="00632CC0">
        <w:rPr>
          <w:lang w:val="it-IT"/>
        </w:rPr>
        <w:t> 74025/01, § 69, CEDH 2005</w:t>
      </w:r>
      <w:r w:rsidRPr="00A2551C" w:rsidR="00632CC0">
        <w:rPr>
          <w:lang w:val="it-IT"/>
        </w:rPr>
        <w:noBreakHyphen/>
        <w:t>IX)</w:t>
      </w:r>
      <w:r w:rsidRPr="00A2551C" w:rsidR="00870A0F">
        <w:rPr>
          <w:lang w:val="fr-FR"/>
        </w:rPr>
        <w:t>. </w:t>
      </w:r>
      <w:r w:rsidRPr="00A2551C" w:rsidR="00632CC0">
        <w:rPr>
          <w:lang w:val="fr-FR"/>
        </w:rPr>
        <w:t xml:space="preserve"> Alors que la détention, comme toute autre mesure privative de liberté, entraîne par nature des restrictions à la vie privée et familiale</w:t>
      </w:r>
      <w:r w:rsidRPr="00A2551C" w:rsidR="003A54B0">
        <w:rPr>
          <w:lang w:val="fr-FR"/>
        </w:rPr>
        <w:t>,</w:t>
      </w:r>
      <w:r w:rsidRPr="00A2551C" w:rsidR="00632CC0">
        <w:rPr>
          <w:lang w:val="fr-FR"/>
        </w:rPr>
        <w:t xml:space="preserve"> </w:t>
      </w:r>
      <w:r w:rsidRPr="00A2551C" w:rsidR="003A54B0">
        <w:rPr>
          <w:lang w:val="fr-FR"/>
        </w:rPr>
        <w:t xml:space="preserve">les personnes privées de leur liberté </w:t>
      </w:r>
      <w:r w:rsidRPr="00A2551C" w:rsidR="00632CC0">
        <w:rPr>
          <w:lang w:val="fr-FR"/>
        </w:rPr>
        <w:t>ne perdent pas leurs droits garantis par la Convention, y compris le droit au respect de leur vie familiale</w:t>
      </w:r>
      <w:r w:rsidRPr="00A2551C" w:rsidR="00E7755E">
        <w:rPr>
          <w:lang w:val="fr-FR"/>
        </w:rPr>
        <w:t xml:space="preserve"> garanti par l</w:t>
      </w:r>
      <w:r w:rsidRPr="00A2551C" w:rsidR="00A2551C">
        <w:rPr>
          <w:lang w:val="fr-FR"/>
        </w:rPr>
        <w:t>’</w:t>
      </w:r>
      <w:r w:rsidRPr="00A2551C" w:rsidR="00E7755E">
        <w:rPr>
          <w:lang w:val="fr-FR"/>
        </w:rPr>
        <w:t>article 8 de la Convention</w:t>
      </w:r>
      <w:r w:rsidRPr="00A2551C" w:rsidR="003A54B0">
        <w:rPr>
          <w:lang w:val="fr-FR"/>
        </w:rPr>
        <w:t>, de sorte que toute restriction à ce droit doit être justifiée dans chaque cas (</w:t>
      </w:r>
      <w:proofErr w:type="spellStart"/>
      <w:r w:rsidRPr="00A2551C" w:rsidR="003A54B0">
        <w:rPr>
          <w:i/>
          <w:lang w:val="fr-FR"/>
        </w:rPr>
        <w:t>Khoroshenko</w:t>
      </w:r>
      <w:proofErr w:type="spellEnd"/>
      <w:r w:rsidRPr="00A2551C" w:rsidR="003A54B0">
        <w:rPr>
          <w:lang w:val="fr-FR"/>
        </w:rPr>
        <w:t>, précité, §§ 106 et 116-117).</w:t>
      </w:r>
    </w:p>
    <w:p w:rsidRPr="00A2551C" w:rsidR="0076324D" w:rsidP="00A2551C" w:rsidRDefault="006C7343">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121</w:t>
      </w:r>
      <w:r w:rsidRPr="00A2551C">
        <w:rPr>
          <w:lang w:val="fr-FR"/>
        </w:rPr>
        <w:fldChar w:fldCharType="end"/>
      </w:r>
      <w:r w:rsidRPr="00A2551C">
        <w:rPr>
          <w:lang w:val="fr-FR"/>
        </w:rPr>
        <w:t>.  </w:t>
      </w:r>
      <w:r w:rsidRPr="00A2551C" w:rsidR="00E7755E">
        <w:rPr>
          <w:lang w:val="fr-FR"/>
        </w:rPr>
        <w:t>L</w:t>
      </w:r>
      <w:r w:rsidRPr="00A2551C" w:rsidR="004F6D85">
        <w:rPr>
          <w:lang w:val="fr-FR"/>
        </w:rPr>
        <w:t xml:space="preserve">a Cour a </w:t>
      </w:r>
      <w:r w:rsidRPr="00A2551C" w:rsidR="00E7755E">
        <w:rPr>
          <w:lang w:val="fr-FR"/>
        </w:rPr>
        <w:t xml:space="preserve">par ailleurs </w:t>
      </w:r>
      <w:r w:rsidRPr="00A2551C" w:rsidR="004F6D85">
        <w:rPr>
          <w:lang w:val="fr-FR"/>
        </w:rPr>
        <w:t>tenu que l</w:t>
      </w:r>
      <w:r w:rsidRPr="00A2551C" w:rsidR="003807E6">
        <w:rPr>
          <w:lang w:val="fr-FR"/>
        </w:rPr>
        <w:t xml:space="preserve">e placement </w:t>
      </w:r>
      <w:r w:rsidRPr="00A2551C" w:rsidR="00DC0B2E">
        <w:rPr>
          <w:lang w:val="fr-FR"/>
        </w:rPr>
        <w:t>d</w:t>
      </w:r>
      <w:r w:rsidRPr="00A2551C" w:rsidR="00A2551C">
        <w:rPr>
          <w:lang w:val="fr-FR"/>
        </w:rPr>
        <w:t>’</w:t>
      </w:r>
      <w:r w:rsidRPr="00A2551C" w:rsidR="00DC0B2E">
        <w:rPr>
          <w:lang w:val="fr-FR"/>
        </w:rPr>
        <w:t>un détenu</w:t>
      </w:r>
      <w:r w:rsidRPr="00A2551C" w:rsidR="003807E6">
        <w:rPr>
          <w:lang w:val="fr-FR"/>
        </w:rPr>
        <w:t xml:space="preserve"> sous</w:t>
      </w:r>
      <w:r w:rsidRPr="00A2551C" w:rsidR="00742838">
        <w:rPr>
          <w:lang w:val="fr-FR"/>
        </w:rPr>
        <w:t xml:space="preserve"> vidéosurveillance</w:t>
      </w:r>
      <w:r w:rsidRPr="00A2551C" w:rsidR="004F6D85">
        <w:rPr>
          <w:lang w:val="fr-FR"/>
        </w:rPr>
        <w:t xml:space="preserve"> </w:t>
      </w:r>
      <w:r w:rsidRPr="00A2551C" w:rsidR="00813756">
        <w:rPr>
          <w:lang w:val="fr-FR"/>
        </w:rPr>
        <w:t>permanente</w:t>
      </w:r>
      <w:r w:rsidRPr="00A2551C" w:rsidR="00742838">
        <w:rPr>
          <w:lang w:val="fr-FR"/>
        </w:rPr>
        <w:t xml:space="preserve"> </w:t>
      </w:r>
      <w:r w:rsidRPr="00A2551C" w:rsidR="004F6D85">
        <w:rPr>
          <w:lang w:val="fr-FR"/>
        </w:rPr>
        <w:t xml:space="preserve">constituait une </w:t>
      </w:r>
      <w:r w:rsidRPr="00A2551C" w:rsidR="00E7755E">
        <w:rPr>
          <w:lang w:val="fr-FR"/>
        </w:rPr>
        <w:t xml:space="preserve">grave </w:t>
      </w:r>
      <w:r w:rsidRPr="00A2551C" w:rsidR="004F6D85">
        <w:rPr>
          <w:lang w:val="fr-FR"/>
        </w:rPr>
        <w:t>ingérence dans sa vie privée</w:t>
      </w:r>
      <w:r w:rsidRPr="00A2551C" w:rsidR="00DC0B2E">
        <w:rPr>
          <w:lang w:val="fr-FR"/>
        </w:rPr>
        <w:t xml:space="preserve"> et entrait de ce fait dans le champ d</w:t>
      </w:r>
      <w:r w:rsidRPr="00A2551C" w:rsidR="00A2551C">
        <w:rPr>
          <w:lang w:val="fr-FR"/>
        </w:rPr>
        <w:t>’</w:t>
      </w:r>
      <w:r w:rsidRPr="00A2551C" w:rsidR="00DC0B2E">
        <w:rPr>
          <w:lang w:val="fr-FR"/>
        </w:rPr>
        <w:t>application de l</w:t>
      </w:r>
      <w:r w:rsidRPr="00A2551C" w:rsidR="00A2551C">
        <w:rPr>
          <w:lang w:val="fr-FR"/>
        </w:rPr>
        <w:t>’</w:t>
      </w:r>
      <w:r w:rsidRPr="00A2551C" w:rsidR="00DC0B2E">
        <w:rPr>
          <w:lang w:val="fr-FR"/>
        </w:rPr>
        <w:t xml:space="preserve">article 8 de la Convention </w:t>
      </w:r>
      <w:r w:rsidRPr="00A2551C" w:rsidR="00C47075">
        <w:rPr>
          <w:lang w:val="fr-FR"/>
        </w:rPr>
        <w:t>(</w:t>
      </w:r>
      <w:r w:rsidRPr="00A2551C" w:rsidR="00DC0B2E">
        <w:rPr>
          <w:i/>
          <w:iCs/>
          <w:lang w:val="fr-FR"/>
        </w:rPr>
        <w:t>Van der Graaf</w:t>
      </w:r>
      <w:r w:rsidRPr="00A2551C" w:rsidR="00DC0B2E">
        <w:rPr>
          <w:lang w:val="fr-FR"/>
        </w:rPr>
        <w:t>, décision précitée, et</w:t>
      </w:r>
      <w:r w:rsidRPr="00A2551C" w:rsidR="00DC0B2E">
        <w:rPr>
          <w:i/>
          <w:lang w:val="fr-FR"/>
        </w:rPr>
        <w:t xml:space="preserve"> </w:t>
      </w:r>
      <w:proofErr w:type="spellStart"/>
      <w:r w:rsidRPr="00A2551C" w:rsidR="001A1022">
        <w:rPr>
          <w:i/>
          <w:lang w:val="fr-FR"/>
        </w:rPr>
        <w:t>Vasilică</w:t>
      </w:r>
      <w:proofErr w:type="spellEnd"/>
      <w:r w:rsidRPr="00A2551C" w:rsidR="001A1022">
        <w:rPr>
          <w:i/>
          <w:lang w:val="fr-FR"/>
        </w:rPr>
        <w:t xml:space="preserve"> </w:t>
      </w:r>
      <w:proofErr w:type="spellStart"/>
      <w:r w:rsidRPr="00A2551C" w:rsidR="001A1022">
        <w:rPr>
          <w:i/>
          <w:lang w:val="fr-FR"/>
        </w:rPr>
        <w:t>Mocanu</w:t>
      </w:r>
      <w:proofErr w:type="spellEnd"/>
      <w:r w:rsidRPr="00A2551C" w:rsidR="001A1022">
        <w:rPr>
          <w:i/>
          <w:lang w:val="fr-FR"/>
        </w:rPr>
        <w:t xml:space="preserve"> c.</w:t>
      </w:r>
      <w:r w:rsidRPr="00A2551C" w:rsidR="00DC0B2E">
        <w:rPr>
          <w:i/>
          <w:lang w:val="fr-FR"/>
        </w:rPr>
        <w:t> </w:t>
      </w:r>
      <w:r w:rsidRPr="00A2551C" w:rsidR="001A1022">
        <w:rPr>
          <w:i/>
          <w:lang w:val="fr-FR"/>
        </w:rPr>
        <w:t>Roumanie</w:t>
      </w:r>
      <w:r w:rsidRPr="00A2551C" w:rsidR="001A1022">
        <w:rPr>
          <w:lang w:val="fr-FR"/>
        </w:rPr>
        <w:t>, n</w:t>
      </w:r>
      <w:r w:rsidRPr="00A2551C" w:rsidR="001A1022">
        <w:rPr>
          <w:vertAlign w:val="superscript"/>
          <w:lang w:val="fr-FR"/>
        </w:rPr>
        <w:t>o</w:t>
      </w:r>
      <w:r w:rsidRPr="00A2551C" w:rsidR="00E45732">
        <w:rPr>
          <w:lang w:val="fr-FR"/>
        </w:rPr>
        <w:t> </w:t>
      </w:r>
      <w:r w:rsidRPr="00A2551C" w:rsidR="001A1022">
        <w:rPr>
          <w:lang w:val="fr-FR"/>
        </w:rPr>
        <w:t>43545/13, § 36, 6 décembre 2016).</w:t>
      </w:r>
    </w:p>
    <w:p w:rsidRPr="00A2551C" w:rsidR="0028254F" w:rsidP="00A2551C" w:rsidRDefault="00E45732">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122</w:t>
      </w:r>
      <w:r w:rsidRPr="00A2551C">
        <w:rPr>
          <w:lang w:val="fr-FR"/>
        </w:rPr>
        <w:fldChar w:fldCharType="end"/>
      </w:r>
      <w:r w:rsidRPr="00A2551C" w:rsidR="002506BF">
        <w:rPr>
          <w:lang w:val="fr-FR"/>
        </w:rPr>
        <w:t>.  </w:t>
      </w:r>
      <w:r w:rsidRPr="00A2551C" w:rsidR="001A1022">
        <w:rPr>
          <w:lang w:val="fr-FR"/>
        </w:rPr>
        <w:t>E</w:t>
      </w:r>
      <w:r w:rsidRPr="00A2551C">
        <w:rPr>
          <w:lang w:val="fr-FR"/>
        </w:rPr>
        <w:t>n l</w:t>
      </w:r>
      <w:r w:rsidRPr="00A2551C" w:rsidR="00A2551C">
        <w:rPr>
          <w:lang w:val="fr-FR"/>
        </w:rPr>
        <w:t>’</w:t>
      </w:r>
      <w:r w:rsidRPr="00A2551C">
        <w:rPr>
          <w:lang w:val="fr-FR"/>
        </w:rPr>
        <w:t xml:space="preserve">espèce, </w:t>
      </w:r>
      <w:r w:rsidRPr="00A2551C" w:rsidR="00F6559D">
        <w:rPr>
          <w:lang w:val="fr-FR"/>
        </w:rPr>
        <w:t xml:space="preserve">la Cour note que </w:t>
      </w:r>
      <w:r w:rsidRPr="00A2551C">
        <w:rPr>
          <w:lang w:val="fr-FR"/>
        </w:rPr>
        <w:t xml:space="preserve">le Gouvernement a confirmé que la cellule dans laquelle le requérant a été placé au sein de la colonie pénitentiaire </w:t>
      </w:r>
      <w:r w:rsidRPr="00A2551C" w:rsidR="00F6559D">
        <w:rPr>
          <w:lang w:val="fr-FR"/>
        </w:rPr>
        <w:t xml:space="preserve">était </w:t>
      </w:r>
      <w:r w:rsidRPr="00A2551C">
        <w:rPr>
          <w:lang w:val="fr-FR"/>
        </w:rPr>
        <w:t>équipée d</w:t>
      </w:r>
      <w:r w:rsidRPr="00A2551C" w:rsidR="00A2551C">
        <w:rPr>
          <w:lang w:val="fr-FR"/>
        </w:rPr>
        <w:t>’</w:t>
      </w:r>
      <w:r w:rsidRPr="00A2551C">
        <w:rPr>
          <w:lang w:val="fr-FR"/>
        </w:rPr>
        <w:t xml:space="preserve">un dispositif de vidéosurveillance permanente (paragraphe </w:t>
      </w:r>
      <w:r w:rsidRPr="00A2551C">
        <w:rPr>
          <w:lang w:val="fr-FR"/>
        </w:rPr>
        <w:fldChar w:fldCharType="begin"/>
      </w:r>
      <w:r w:rsidRPr="00A2551C">
        <w:rPr>
          <w:lang w:val="fr-FR"/>
        </w:rPr>
        <w:instrText xml:space="preserve"> REF vidsurgouvarg1 \h </w:instrText>
      </w:r>
      <w:r w:rsidRPr="00A2551C" w:rsidR="001F5753">
        <w:rPr>
          <w:lang w:val="fr-FR"/>
        </w:rPr>
        <w:instrText xml:space="preserve"> \* MERGEFORMAT </w:instrText>
      </w:r>
      <w:r w:rsidRPr="00A2551C">
        <w:rPr>
          <w:lang w:val="fr-FR"/>
        </w:rPr>
      </w:r>
      <w:r w:rsidRPr="00A2551C">
        <w:rPr>
          <w:lang w:val="fr-FR"/>
        </w:rPr>
        <w:fldChar w:fldCharType="separate"/>
      </w:r>
      <w:r w:rsidRPr="00A2551C" w:rsidR="00A2551C">
        <w:rPr>
          <w:noProof/>
          <w:lang w:val="fr-FR"/>
        </w:rPr>
        <w:t>110</w:t>
      </w:r>
      <w:r w:rsidRPr="00A2551C">
        <w:rPr>
          <w:lang w:val="fr-FR"/>
        </w:rPr>
        <w:fldChar w:fldCharType="end"/>
      </w:r>
      <w:r w:rsidRPr="00A2551C">
        <w:rPr>
          <w:lang w:val="fr-FR"/>
        </w:rPr>
        <w:t xml:space="preserve"> ci</w:t>
      </w:r>
      <w:r w:rsidRPr="00A2551C">
        <w:rPr>
          <w:lang w:val="fr-FR"/>
        </w:rPr>
        <w:noBreakHyphen/>
        <w:t>dessus). Compte tenu de cette confirmation et eu</w:t>
      </w:r>
      <w:r w:rsidRPr="00A2551C" w:rsidR="001A1022">
        <w:rPr>
          <w:lang w:val="fr-FR"/>
        </w:rPr>
        <w:t xml:space="preserve"> égard à </w:t>
      </w:r>
      <w:r w:rsidRPr="00A2551C">
        <w:rPr>
          <w:lang w:val="fr-FR"/>
        </w:rPr>
        <w:t xml:space="preserve">sa jurisprudence citée au paragraphe </w:t>
      </w:r>
      <w:r w:rsidRPr="00A2551C">
        <w:rPr>
          <w:lang w:val="fr-FR"/>
        </w:rPr>
        <w:fldChar w:fldCharType="begin"/>
      </w:r>
      <w:r w:rsidRPr="00A2551C">
        <w:rPr>
          <w:lang w:val="fr-FR"/>
        </w:rPr>
        <w:instrText xml:space="preserve"> REF jurA8 \h </w:instrText>
      </w:r>
      <w:r w:rsidRPr="00A2551C" w:rsidR="001F5753">
        <w:rPr>
          <w:lang w:val="fr-FR"/>
        </w:rPr>
        <w:instrText xml:space="preserve"> \* MERGEFORMAT </w:instrText>
      </w:r>
      <w:r w:rsidRPr="00A2551C">
        <w:rPr>
          <w:lang w:val="fr-FR"/>
        </w:rPr>
      </w:r>
      <w:r w:rsidRPr="00A2551C">
        <w:rPr>
          <w:lang w:val="fr-FR"/>
        </w:rPr>
        <w:fldChar w:fldCharType="separate"/>
      </w:r>
      <w:r w:rsidRPr="00A2551C" w:rsidR="00A2551C">
        <w:rPr>
          <w:noProof/>
          <w:lang w:val="fr-FR"/>
        </w:rPr>
        <w:t>120</w:t>
      </w:r>
      <w:r w:rsidRPr="00A2551C">
        <w:rPr>
          <w:lang w:val="fr-FR"/>
        </w:rPr>
        <w:fldChar w:fldCharType="end"/>
      </w:r>
      <w:r w:rsidRPr="00A2551C">
        <w:rPr>
          <w:lang w:val="fr-FR"/>
        </w:rPr>
        <w:t xml:space="preserve"> ci</w:t>
      </w:r>
      <w:r w:rsidRPr="00A2551C">
        <w:rPr>
          <w:lang w:val="fr-FR"/>
        </w:rPr>
        <w:noBreakHyphen/>
        <w:t>dessus</w:t>
      </w:r>
      <w:r w:rsidRPr="00A2551C" w:rsidR="00A448AF">
        <w:rPr>
          <w:lang w:val="fr-FR"/>
        </w:rPr>
        <w:t xml:space="preserve">, </w:t>
      </w:r>
      <w:r w:rsidRPr="00A2551C" w:rsidR="00F6559D">
        <w:rPr>
          <w:lang w:val="fr-FR"/>
        </w:rPr>
        <w:t>elle</w:t>
      </w:r>
      <w:r w:rsidRPr="00A2551C" w:rsidR="001A1022">
        <w:rPr>
          <w:lang w:val="fr-FR"/>
        </w:rPr>
        <w:t xml:space="preserve"> estime que l</w:t>
      </w:r>
      <w:r w:rsidRPr="00A2551C" w:rsidR="00A2551C">
        <w:rPr>
          <w:lang w:val="fr-FR"/>
        </w:rPr>
        <w:t>’</w:t>
      </w:r>
      <w:r w:rsidRPr="00A2551C" w:rsidR="00040C57">
        <w:rPr>
          <w:lang w:val="fr-FR"/>
        </w:rPr>
        <w:t>article </w:t>
      </w:r>
      <w:r w:rsidRPr="00A2551C" w:rsidR="003F5DCE">
        <w:rPr>
          <w:lang w:val="fr-FR"/>
        </w:rPr>
        <w:t>8</w:t>
      </w:r>
      <w:r w:rsidRPr="00A2551C">
        <w:rPr>
          <w:lang w:val="fr-FR"/>
        </w:rPr>
        <w:t xml:space="preserve"> de la Convention</w:t>
      </w:r>
      <w:r w:rsidRPr="00A2551C" w:rsidR="003F5DCE">
        <w:rPr>
          <w:lang w:val="fr-FR"/>
        </w:rPr>
        <w:t xml:space="preserve"> </w:t>
      </w:r>
      <w:r w:rsidRPr="00A2551C" w:rsidR="001A1022">
        <w:rPr>
          <w:lang w:val="fr-FR"/>
        </w:rPr>
        <w:t>trouve donc à s</w:t>
      </w:r>
      <w:r w:rsidRPr="00A2551C" w:rsidR="00A2551C">
        <w:rPr>
          <w:lang w:val="fr-FR"/>
        </w:rPr>
        <w:t>’</w:t>
      </w:r>
      <w:r w:rsidRPr="00A2551C" w:rsidR="001A1022">
        <w:rPr>
          <w:lang w:val="fr-FR"/>
        </w:rPr>
        <w:t xml:space="preserve">appliquer </w:t>
      </w:r>
      <w:r w:rsidRPr="00A2551C">
        <w:rPr>
          <w:lang w:val="fr-FR"/>
        </w:rPr>
        <w:t xml:space="preserve">aux faits de </w:t>
      </w:r>
      <w:r w:rsidRPr="00A2551C" w:rsidR="00F6559D">
        <w:rPr>
          <w:lang w:val="fr-FR"/>
        </w:rPr>
        <w:t>la cause</w:t>
      </w:r>
      <w:r w:rsidRPr="00A2551C" w:rsidR="0028254F">
        <w:rPr>
          <w:lang w:val="fr-FR"/>
        </w:rPr>
        <w:t>.</w:t>
      </w:r>
    </w:p>
    <w:p w:rsidRPr="00A2551C" w:rsidR="0028254F" w:rsidP="00A2551C" w:rsidRDefault="0028254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123</w:t>
      </w:r>
      <w:r w:rsidRPr="00A2551C">
        <w:rPr>
          <w:lang w:val="fr-FR"/>
        </w:rPr>
        <w:fldChar w:fldCharType="end"/>
      </w:r>
      <w:r w:rsidRPr="00A2551C">
        <w:rPr>
          <w:lang w:val="fr-FR"/>
        </w:rPr>
        <w:t>.  La Cour observe ensuite qu</w:t>
      </w:r>
      <w:r w:rsidRPr="00A2551C" w:rsidR="00A2551C">
        <w:rPr>
          <w:lang w:val="fr-FR"/>
        </w:rPr>
        <w:t>’</w:t>
      </w:r>
      <w:r w:rsidRPr="00A2551C">
        <w:rPr>
          <w:lang w:val="fr-FR"/>
        </w:rPr>
        <w:t>il n</w:t>
      </w:r>
      <w:r w:rsidRPr="00A2551C" w:rsidR="00A2551C">
        <w:rPr>
          <w:lang w:val="fr-FR"/>
        </w:rPr>
        <w:t>’</w:t>
      </w:r>
      <w:r w:rsidRPr="00A2551C">
        <w:rPr>
          <w:lang w:val="fr-FR"/>
        </w:rPr>
        <w:t xml:space="preserve">est pas non plus contesté </w:t>
      </w:r>
      <w:r w:rsidRPr="00A2551C" w:rsidR="00E45732">
        <w:rPr>
          <w:lang w:val="fr-FR"/>
        </w:rPr>
        <w:t>par le Gouvernement que le placement du requérant sous vidéosurveillance a constitué</w:t>
      </w:r>
      <w:r w:rsidRPr="00A2551C" w:rsidR="00F22F41">
        <w:rPr>
          <w:lang w:val="fr-FR"/>
        </w:rPr>
        <w:t xml:space="preserve"> une</w:t>
      </w:r>
      <w:r w:rsidRPr="00A2551C" w:rsidR="00E45732">
        <w:rPr>
          <w:lang w:val="fr-FR"/>
        </w:rPr>
        <w:t xml:space="preserve"> ingérence dans </w:t>
      </w:r>
      <w:r w:rsidRPr="00A2551C" w:rsidR="00F22F41">
        <w:rPr>
          <w:lang w:val="fr-FR"/>
        </w:rPr>
        <w:t xml:space="preserve">la </w:t>
      </w:r>
      <w:r w:rsidRPr="00A2551C">
        <w:rPr>
          <w:lang w:val="fr-FR"/>
        </w:rPr>
        <w:t>vie privée</w:t>
      </w:r>
      <w:r w:rsidRPr="00A2551C" w:rsidR="00E45732">
        <w:rPr>
          <w:lang w:val="fr-FR"/>
        </w:rPr>
        <w:t xml:space="preserve"> </w:t>
      </w:r>
      <w:r w:rsidRPr="00A2551C" w:rsidR="00F22F41">
        <w:rPr>
          <w:lang w:val="fr-FR"/>
        </w:rPr>
        <w:t>de l</w:t>
      </w:r>
      <w:r w:rsidRPr="00A2551C" w:rsidR="00A2551C">
        <w:rPr>
          <w:lang w:val="fr-FR"/>
        </w:rPr>
        <w:t>’</w:t>
      </w:r>
      <w:r w:rsidRPr="00A2551C" w:rsidR="00F22F41">
        <w:rPr>
          <w:lang w:val="fr-FR"/>
        </w:rPr>
        <w:t xml:space="preserve">intéressé </w:t>
      </w:r>
      <w:r w:rsidRPr="00A2551C" w:rsidR="00E45732">
        <w:rPr>
          <w:lang w:val="fr-FR"/>
        </w:rPr>
        <w:t xml:space="preserve">(paragraphe </w:t>
      </w:r>
      <w:r w:rsidRPr="00A2551C" w:rsidR="00E45732">
        <w:rPr>
          <w:lang w:val="fr-FR"/>
        </w:rPr>
        <w:fldChar w:fldCharType="begin"/>
      </w:r>
      <w:r w:rsidRPr="00A2551C" w:rsidR="00E45732">
        <w:rPr>
          <w:lang w:val="fr-FR"/>
        </w:rPr>
        <w:instrText xml:space="preserve"> REF vidsurgouvarg1 \h </w:instrText>
      </w:r>
      <w:r w:rsidRPr="00A2551C" w:rsidR="001F5753">
        <w:rPr>
          <w:lang w:val="fr-FR"/>
        </w:rPr>
        <w:instrText xml:space="preserve"> \* MERGEFORMAT </w:instrText>
      </w:r>
      <w:r w:rsidRPr="00A2551C" w:rsidR="00E45732">
        <w:rPr>
          <w:lang w:val="fr-FR"/>
        </w:rPr>
      </w:r>
      <w:r w:rsidRPr="00A2551C" w:rsidR="00E45732">
        <w:rPr>
          <w:lang w:val="fr-FR"/>
        </w:rPr>
        <w:fldChar w:fldCharType="separate"/>
      </w:r>
      <w:r w:rsidRPr="00A2551C" w:rsidR="00A2551C">
        <w:rPr>
          <w:noProof/>
          <w:lang w:val="fr-FR"/>
        </w:rPr>
        <w:t>110</w:t>
      </w:r>
      <w:r w:rsidRPr="00A2551C" w:rsidR="00E45732">
        <w:rPr>
          <w:lang w:val="fr-FR"/>
        </w:rPr>
        <w:fldChar w:fldCharType="end"/>
      </w:r>
      <w:r w:rsidRPr="00A2551C" w:rsidR="00E45732">
        <w:rPr>
          <w:lang w:val="fr-FR"/>
        </w:rPr>
        <w:t xml:space="preserve"> ci</w:t>
      </w:r>
      <w:r w:rsidRPr="00A2551C" w:rsidR="00E45732">
        <w:rPr>
          <w:lang w:val="fr-FR"/>
        </w:rPr>
        <w:noBreakHyphen/>
        <w:t>dessus)</w:t>
      </w:r>
      <w:r w:rsidRPr="00A2551C">
        <w:rPr>
          <w:lang w:val="fr-FR"/>
        </w:rPr>
        <w:t xml:space="preserve">. Elle rappelle que pareille </w:t>
      </w:r>
      <w:r w:rsidRPr="00A2551C" w:rsidR="00F20A3B">
        <w:rPr>
          <w:lang w:val="fr-FR"/>
        </w:rPr>
        <w:t>ingérence méconnaît l</w:t>
      </w:r>
      <w:r w:rsidRPr="00A2551C" w:rsidR="00A2551C">
        <w:rPr>
          <w:lang w:val="fr-FR"/>
        </w:rPr>
        <w:t>’</w:t>
      </w:r>
      <w:r w:rsidRPr="00A2551C" w:rsidR="00F20A3B">
        <w:rPr>
          <w:lang w:val="fr-FR"/>
        </w:rPr>
        <w:t>article 8 § </w:t>
      </w:r>
      <w:r w:rsidRPr="00A2551C">
        <w:rPr>
          <w:lang w:val="fr-FR"/>
        </w:rPr>
        <w:t>2 de la Convention sauf si</w:t>
      </w:r>
      <w:r w:rsidRPr="00A2551C" w:rsidR="00E45732">
        <w:rPr>
          <w:lang w:val="fr-FR"/>
        </w:rPr>
        <w:t xml:space="preserve"> elle est</w:t>
      </w:r>
      <w:r w:rsidRPr="00A2551C">
        <w:rPr>
          <w:lang w:val="fr-FR"/>
        </w:rPr>
        <w:t xml:space="preserve"> « prévue par la loi », poursuit un ou plusieurs buts légitimes et, de plus, est « nécessaire, dans une société démocratique » pour les atteindre</w:t>
      </w:r>
      <w:r w:rsidRPr="00A2551C" w:rsidR="00304CC8">
        <w:rPr>
          <w:lang w:val="fr-FR"/>
        </w:rPr>
        <w:t xml:space="preserve"> (</w:t>
      </w:r>
      <w:proofErr w:type="spellStart"/>
      <w:r w:rsidRPr="00A2551C" w:rsidR="00304CC8">
        <w:rPr>
          <w:i/>
          <w:lang w:val="fr-FR"/>
        </w:rPr>
        <w:t>Vasilică</w:t>
      </w:r>
      <w:proofErr w:type="spellEnd"/>
      <w:r w:rsidRPr="00A2551C" w:rsidR="00304CC8">
        <w:rPr>
          <w:i/>
          <w:lang w:val="fr-FR"/>
        </w:rPr>
        <w:t xml:space="preserve"> </w:t>
      </w:r>
      <w:proofErr w:type="spellStart"/>
      <w:r w:rsidRPr="00A2551C" w:rsidR="00304CC8">
        <w:rPr>
          <w:i/>
          <w:lang w:val="fr-FR"/>
        </w:rPr>
        <w:t>Mocanu</w:t>
      </w:r>
      <w:proofErr w:type="spellEnd"/>
      <w:r w:rsidRPr="00A2551C" w:rsidR="00304CC8">
        <w:rPr>
          <w:lang w:val="fr-FR"/>
        </w:rPr>
        <w:t>, précité, § 37)</w:t>
      </w:r>
      <w:r w:rsidRPr="00A2551C">
        <w:rPr>
          <w:lang w:val="fr-FR"/>
        </w:rPr>
        <w:t>.</w:t>
      </w:r>
    </w:p>
    <w:p w:rsidRPr="00A2551C" w:rsidR="0037764C" w:rsidP="00A2551C" w:rsidRDefault="0028254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124</w:t>
      </w:r>
      <w:r w:rsidRPr="00A2551C">
        <w:rPr>
          <w:lang w:val="fr-FR"/>
        </w:rPr>
        <w:fldChar w:fldCharType="end"/>
      </w:r>
      <w:r w:rsidRPr="00A2551C">
        <w:rPr>
          <w:lang w:val="fr-FR"/>
        </w:rPr>
        <w:t>.  </w:t>
      </w:r>
      <w:r w:rsidRPr="00A2551C" w:rsidR="00215C75">
        <w:rPr>
          <w:lang w:val="fr-FR"/>
        </w:rPr>
        <w:t>L</w:t>
      </w:r>
      <w:r w:rsidRPr="00A2551C" w:rsidR="00674821">
        <w:rPr>
          <w:lang w:val="fr-FR"/>
        </w:rPr>
        <w:t xml:space="preserve">a Cour </w:t>
      </w:r>
      <w:r w:rsidRPr="00A2551C">
        <w:rPr>
          <w:lang w:val="fr-FR"/>
        </w:rPr>
        <w:t>constate que la</w:t>
      </w:r>
      <w:r w:rsidRPr="00A2551C" w:rsidR="00674821">
        <w:rPr>
          <w:lang w:val="fr-FR"/>
        </w:rPr>
        <w:t xml:space="preserve"> </w:t>
      </w:r>
      <w:r w:rsidRPr="00A2551C">
        <w:rPr>
          <w:lang w:val="fr-FR"/>
        </w:rPr>
        <w:t xml:space="preserve">base légale invoquée par le Gouvernement est constituée </w:t>
      </w:r>
      <w:r w:rsidRPr="00A2551C" w:rsidR="00674821">
        <w:rPr>
          <w:lang w:val="fr-FR"/>
        </w:rPr>
        <w:t xml:space="preserve">principalement </w:t>
      </w:r>
      <w:r w:rsidRPr="00A2551C">
        <w:rPr>
          <w:lang w:val="fr-FR"/>
        </w:rPr>
        <w:t>de</w:t>
      </w:r>
      <w:r w:rsidRPr="00A2551C" w:rsidR="00E45732">
        <w:rPr>
          <w:lang w:val="fr-FR"/>
        </w:rPr>
        <w:t xml:space="preserve"> l</w:t>
      </w:r>
      <w:r w:rsidRPr="00A2551C" w:rsidR="00A2551C">
        <w:rPr>
          <w:lang w:val="fr-FR"/>
        </w:rPr>
        <w:t>’</w:t>
      </w:r>
      <w:r w:rsidRPr="00A2551C" w:rsidR="00E45732">
        <w:rPr>
          <w:lang w:val="fr-FR"/>
        </w:rPr>
        <w:t>article 83 du CESP</w:t>
      </w:r>
      <w:r w:rsidRPr="00A2551C" w:rsidR="005D31DE">
        <w:rPr>
          <w:lang w:val="fr-FR"/>
        </w:rPr>
        <w:t xml:space="preserve"> puisque le requérant était</w:t>
      </w:r>
      <w:r w:rsidRPr="00A2551C" w:rsidR="00E45732">
        <w:rPr>
          <w:lang w:val="fr-FR"/>
        </w:rPr>
        <w:t xml:space="preserve"> un détenu condamné et </w:t>
      </w:r>
      <w:r w:rsidRPr="00A2551C" w:rsidR="00C80C22">
        <w:rPr>
          <w:lang w:val="fr-FR"/>
        </w:rPr>
        <w:t>qu</w:t>
      </w:r>
      <w:r w:rsidRPr="00A2551C" w:rsidR="00A2551C">
        <w:rPr>
          <w:lang w:val="fr-FR"/>
        </w:rPr>
        <w:t>’</w:t>
      </w:r>
      <w:r w:rsidRPr="00A2551C" w:rsidR="00C80C22">
        <w:rPr>
          <w:lang w:val="fr-FR"/>
        </w:rPr>
        <w:t xml:space="preserve">il </w:t>
      </w:r>
      <w:r w:rsidRPr="00A2551C" w:rsidR="00E45732">
        <w:rPr>
          <w:lang w:val="fr-FR"/>
        </w:rPr>
        <w:t>purgea</w:t>
      </w:r>
      <w:r w:rsidRPr="00A2551C" w:rsidR="005D31DE">
        <w:rPr>
          <w:lang w:val="fr-FR"/>
        </w:rPr>
        <w:t>i</w:t>
      </w:r>
      <w:r w:rsidRPr="00A2551C" w:rsidR="00E45732">
        <w:rPr>
          <w:lang w:val="fr-FR"/>
        </w:rPr>
        <w:t xml:space="preserve">t une peine de réclusion à vie. </w:t>
      </w:r>
      <w:r w:rsidRPr="00A2551C" w:rsidR="00C80C22">
        <w:rPr>
          <w:lang w:val="fr-FR"/>
        </w:rPr>
        <w:t>Elle note que l</w:t>
      </w:r>
      <w:r w:rsidRPr="00A2551C" w:rsidR="00674821">
        <w:rPr>
          <w:lang w:val="fr-FR"/>
        </w:rPr>
        <w:t xml:space="preserve">es dispositions </w:t>
      </w:r>
      <w:r w:rsidRPr="00A2551C" w:rsidR="007A2655">
        <w:rPr>
          <w:lang w:val="fr-FR"/>
        </w:rPr>
        <w:t>de la loi n</w:t>
      </w:r>
      <w:r w:rsidRPr="00A2551C" w:rsidR="0076324D">
        <w:rPr>
          <w:vertAlign w:val="superscript"/>
          <w:lang w:val="fr-FR"/>
        </w:rPr>
        <w:t>o</w:t>
      </w:r>
      <w:r w:rsidRPr="00A2551C" w:rsidR="007A2655">
        <w:rPr>
          <w:lang w:val="fr-FR"/>
        </w:rPr>
        <w:t>103-FZ du 15 </w:t>
      </w:r>
      <w:r w:rsidRPr="00A2551C" w:rsidR="00674821">
        <w:rPr>
          <w:lang w:val="fr-FR"/>
        </w:rPr>
        <w:t>juillet 1995</w:t>
      </w:r>
      <w:r w:rsidRPr="00A2551C" w:rsidR="00E45732">
        <w:rPr>
          <w:lang w:val="fr-FR"/>
        </w:rPr>
        <w:t xml:space="preserve"> n</w:t>
      </w:r>
      <w:r w:rsidRPr="00A2551C" w:rsidR="00A2551C">
        <w:rPr>
          <w:lang w:val="fr-FR"/>
        </w:rPr>
        <w:t>’</w:t>
      </w:r>
      <w:r w:rsidRPr="00A2551C" w:rsidR="00E45732">
        <w:rPr>
          <w:lang w:val="fr-FR"/>
        </w:rPr>
        <w:t xml:space="preserve">étaient </w:t>
      </w:r>
      <w:r w:rsidRPr="00A2551C" w:rsidR="00674821">
        <w:rPr>
          <w:lang w:val="fr-FR"/>
        </w:rPr>
        <w:t xml:space="preserve">pas applicables au cas du requérant </w:t>
      </w:r>
      <w:r w:rsidRPr="00A2551C" w:rsidR="00E45732">
        <w:rPr>
          <w:lang w:val="fr-FR"/>
        </w:rPr>
        <w:t>car elles ne concernaient que les personnes suspectées ou accusées d</w:t>
      </w:r>
      <w:r w:rsidRPr="00A2551C" w:rsidR="00A2551C">
        <w:rPr>
          <w:lang w:val="fr-FR"/>
        </w:rPr>
        <w:t>’</w:t>
      </w:r>
      <w:r w:rsidRPr="00A2551C" w:rsidR="00E45732">
        <w:rPr>
          <w:lang w:val="fr-FR"/>
        </w:rPr>
        <w:t>infractions pénales et placées en détention provisoire</w:t>
      </w:r>
      <w:r w:rsidRPr="00A2551C" w:rsidR="00674821">
        <w:rPr>
          <w:lang w:val="fr-FR"/>
        </w:rPr>
        <w:t xml:space="preserve">. </w:t>
      </w:r>
      <w:r w:rsidRPr="00A2551C" w:rsidR="00F91587">
        <w:rPr>
          <w:lang w:val="fr-FR"/>
        </w:rPr>
        <w:t>Dans ce contexte, elle rappelle avoir récemment trouvé que l</w:t>
      </w:r>
      <w:r w:rsidRPr="00A2551C" w:rsidR="00A2551C">
        <w:rPr>
          <w:lang w:val="fr-FR"/>
        </w:rPr>
        <w:t>’</w:t>
      </w:r>
      <w:r w:rsidRPr="00A2551C" w:rsidR="00F91587">
        <w:rPr>
          <w:lang w:val="fr-FR"/>
        </w:rPr>
        <w:t>ordre juridique russe, et notamment l</w:t>
      </w:r>
      <w:r w:rsidRPr="00A2551C" w:rsidR="00A2551C">
        <w:rPr>
          <w:lang w:val="fr-FR"/>
        </w:rPr>
        <w:t>’</w:t>
      </w:r>
      <w:r w:rsidRPr="00A2551C" w:rsidR="00F91587">
        <w:rPr>
          <w:lang w:val="fr-FR"/>
        </w:rPr>
        <w:t>article 83 du CESP, manqu</w:t>
      </w:r>
      <w:r w:rsidRPr="00A2551C" w:rsidR="00510330">
        <w:rPr>
          <w:lang w:val="fr-FR"/>
        </w:rPr>
        <w:t>e</w:t>
      </w:r>
      <w:r w:rsidRPr="00A2551C" w:rsidR="00F91587">
        <w:rPr>
          <w:lang w:val="fr-FR"/>
        </w:rPr>
        <w:t xml:space="preserve"> de clarté quant aux pouvoirs dont il investit les autorités pénitentiaires en matière de vidéosurveillance de détenus (</w:t>
      </w:r>
      <w:proofErr w:type="spellStart"/>
      <w:r w:rsidRPr="00A2551C" w:rsidR="00F91587">
        <w:rPr>
          <w:i/>
          <w:lang w:val="fr-FR"/>
        </w:rPr>
        <w:t>Gorlov</w:t>
      </w:r>
      <w:proofErr w:type="spellEnd"/>
      <w:r w:rsidRPr="00A2551C" w:rsidR="00F91587">
        <w:rPr>
          <w:i/>
          <w:lang w:val="fr-FR"/>
        </w:rPr>
        <w:t xml:space="preserve"> et autres c. Russie</w:t>
      </w:r>
      <w:r w:rsidRPr="00A2551C" w:rsidR="00F91587">
        <w:rPr>
          <w:lang w:val="fr-FR"/>
        </w:rPr>
        <w:t>, n</w:t>
      </w:r>
      <w:r w:rsidRPr="00A2551C" w:rsidR="00F91587">
        <w:rPr>
          <w:vertAlign w:val="superscript"/>
          <w:lang w:val="fr-FR"/>
        </w:rPr>
        <w:t>os</w:t>
      </w:r>
      <w:r w:rsidRPr="00A2551C" w:rsidR="00F91587">
        <w:rPr>
          <w:lang w:val="fr-FR"/>
        </w:rPr>
        <w:t> 27057/06 et 2 autres, §§ 81</w:t>
      </w:r>
      <w:r w:rsidRPr="00A2551C" w:rsidR="00F91587">
        <w:rPr>
          <w:lang w:val="fr-FR"/>
        </w:rPr>
        <w:noBreakHyphen/>
        <w:t>100, 2 juillet 2019, non définitif).</w:t>
      </w:r>
    </w:p>
    <w:p w:rsidRPr="00A2551C" w:rsidR="00F91587" w:rsidP="00A2551C" w:rsidRDefault="00F91587">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125</w:t>
      </w:r>
      <w:r w:rsidRPr="00A2551C">
        <w:rPr>
          <w:lang w:val="fr-FR"/>
        </w:rPr>
        <w:fldChar w:fldCharType="end"/>
      </w:r>
      <w:r w:rsidRPr="00A2551C">
        <w:rPr>
          <w:lang w:val="fr-FR"/>
        </w:rPr>
        <w:t>.  En l</w:t>
      </w:r>
      <w:r w:rsidRPr="00A2551C" w:rsidR="00A2551C">
        <w:rPr>
          <w:lang w:val="fr-FR"/>
        </w:rPr>
        <w:t>’</w:t>
      </w:r>
      <w:r w:rsidRPr="00A2551C">
        <w:rPr>
          <w:lang w:val="fr-FR"/>
        </w:rPr>
        <w:t>espèce, le Gouvernement n</w:t>
      </w:r>
      <w:r w:rsidRPr="00A2551C" w:rsidR="00A2551C">
        <w:rPr>
          <w:lang w:val="fr-FR"/>
        </w:rPr>
        <w:t>’</w:t>
      </w:r>
      <w:r w:rsidRPr="00A2551C">
        <w:rPr>
          <w:lang w:val="fr-FR"/>
        </w:rPr>
        <w:t>a pas développé davantage sa thèse relative à la base légale de l</w:t>
      </w:r>
      <w:r w:rsidRPr="00A2551C" w:rsidR="00A2551C">
        <w:rPr>
          <w:lang w:val="fr-FR"/>
        </w:rPr>
        <w:t>’</w:t>
      </w:r>
      <w:r w:rsidRPr="00A2551C">
        <w:rPr>
          <w:lang w:val="fr-FR"/>
        </w:rPr>
        <w:t>ingérence dans la vie privée du requérant, notamment quant au cadre législatif ou réglementaire prévu au paragraphe 3 de l</w:t>
      </w:r>
      <w:r w:rsidRPr="00A2551C" w:rsidR="00A2551C">
        <w:rPr>
          <w:lang w:val="fr-FR"/>
        </w:rPr>
        <w:t>’</w:t>
      </w:r>
      <w:r w:rsidRPr="00A2551C">
        <w:rPr>
          <w:lang w:val="fr-FR"/>
        </w:rPr>
        <w:t>article 83 du CESP qui doit concrétiser la portée de celui-ci (paragraphe </w:t>
      </w:r>
      <w:r w:rsidRPr="00A2551C">
        <w:rPr>
          <w:lang w:val="fr-FR"/>
        </w:rPr>
        <w:fldChar w:fldCharType="begin"/>
      </w:r>
      <w:r w:rsidRPr="00A2551C">
        <w:rPr>
          <w:lang w:val="fr-FR"/>
        </w:rPr>
        <w:instrText xml:space="preserve"> REF cesp83 \h  \* MERGEFORMAT </w:instrText>
      </w:r>
      <w:r w:rsidRPr="00A2551C">
        <w:rPr>
          <w:lang w:val="fr-FR"/>
        </w:rPr>
      </w:r>
      <w:r w:rsidRPr="00A2551C">
        <w:rPr>
          <w:lang w:val="fr-FR"/>
        </w:rPr>
        <w:fldChar w:fldCharType="separate"/>
      </w:r>
      <w:r w:rsidRPr="00A2551C" w:rsidR="00A2551C">
        <w:rPr>
          <w:lang w:val="fr-FR"/>
        </w:rPr>
        <w:t>39</w:t>
      </w:r>
      <w:r w:rsidRPr="00A2551C">
        <w:rPr>
          <w:lang w:val="fr-FR"/>
        </w:rPr>
        <w:fldChar w:fldCharType="end"/>
      </w:r>
      <w:r w:rsidRPr="00A2551C">
        <w:rPr>
          <w:lang w:val="fr-FR"/>
        </w:rPr>
        <w:t xml:space="preserve"> ci</w:t>
      </w:r>
      <w:r w:rsidRPr="00A2551C">
        <w:rPr>
          <w:lang w:val="fr-FR"/>
        </w:rPr>
        <w:noBreakHyphen/>
        <w:t>dessus).</w:t>
      </w:r>
    </w:p>
    <w:p w:rsidRPr="00A2551C" w:rsidR="00BF449C" w:rsidP="00A2551C" w:rsidRDefault="00AA50DD">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126</w:t>
      </w:r>
      <w:r w:rsidRPr="00A2551C">
        <w:rPr>
          <w:lang w:val="fr-FR"/>
        </w:rPr>
        <w:fldChar w:fldCharType="end"/>
      </w:r>
      <w:r w:rsidRPr="00A2551C">
        <w:rPr>
          <w:lang w:val="fr-FR"/>
        </w:rPr>
        <w:t>.  </w:t>
      </w:r>
      <w:r w:rsidRPr="00A2551C" w:rsidR="00C80C22">
        <w:rPr>
          <w:lang w:val="fr-FR"/>
        </w:rPr>
        <w:t xml:space="preserve">La Cour </w:t>
      </w:r>
      <w:r w:rsidRPr="00A2551C" w:rsidR="00EC50AA">
        <w:rPr>
          <w:lang w:val="fr-FR"/>
        </w:rPr>
        <w:t>note que</w:t>
      </w:r>
      <w:r w:rsidRPr="00A2551C" w:rsidR="00C80C22">
        <w:rPr>
          <w:lang w:val="fr-FR"/>
        </w:rPr>
        <w:t>,</w:t>
      </w:r>
      <w:r w:rsidRPr="00A2551C" w:rsidR="00EC50AA">
        <w:rPr>
          <w:lang w:val="fr-FR"/>
        </w:rPr>
        <w:t xml:space="preserve"> </w:t>
      </w:r>
      <w:r w:rsidRPr="00A2551C" w:rsidR="00C70BCD">
        <w:rPr>
          <w:lang w:val="fr-FR"/>
        </w:rPr>
        <w:t xml:space="preserve">si </w:t>
      </w:r>
      <w:r w:rsidRPr="00A2551C" w:rsidR="00EC50AA">
        <w:rPr>
          <w:lang w:val="fr-FR"/>
        </w:rPr>
        <w:t>l</w:t>
      </w:r>
      <w:r w:rsidRPr="00A2551C" w:rsidR="00A2551C">
        <w:rPr>
          <w:lang w:val="fr-FR"/>
        </w:rPr>
        <w:t>’</w:t>
      </w:r>
      <w:r w:rsidRPr="00A2551C" w:rsidR="00EC50AA">
        <w:rPr>
          <w:lang w:val="fr-FR"/>
        </w:rPr>
        <w:t xml:space="preserve">article 83 du CESP prévoit expressément </w:t>
      </w:r>
      <w:r w:rsidRPr="00A2551C" w:rsidR="00C70BCD">
        <w:rPr>
          <w:lang w:val="fr-FR"/>
        </w:rPr>
        <w:t>l</w:t>
      </w:r>
      <w:r w:rsidRPr="00A2551C" w:rsidR="005161CD">
        <w:rPr>
          <w:lang w:val="fr-FR"/>
        </w:rPr>
        <w:t>e d</w:t>
      </w:r>
      <w:r w:rsidRPr="00A2551C" w:rsidR="00E45732">
        <w:rPr>
          <w:lang w:val="fr-FR"/>
        </w:rPr>
        <w:t>r</w:t>
      </w:r>
      <w:r w:rsidRPr="00A2551C" w:rsidR="005161CD">
        <w:rPr>
          <w:lang w:val="fr-FR"/>
        </w:rPr>
        <w:t>oit de l</w:t>
      </w:r>
      <w:r w:rsidRPr="00A2551C" w:rsidR="00A2551C">
        <w:rPr>
          <w:lang w:val="fr-FR"/>
        </w:rPr>
        <w:t>’</w:t>
      </w:r>
      <w:r w:rsidRPr="00A2551C" w:rsidR="005161CD">
        <w:rPr>
          <w:lang w:val="fr-FR"/>
        </w:rPr>
        <w:t>administration d</w:t>
      </w:r>
      <w:r w:rsidRPr="00A2551C" w:rsidR="00A2551C">
        <w:rPr>
          <w:lang w:val="fr-FR"/>
        </w:rPr>
        <w:t>’</w:t>
      </w:r>
      <w:r w:rsidRPr="00A2551C" w:rsidR="005161CD">
        <w:rPr>
          <w:lang w:val="fr-FR"/>
        </w:rPr>
        <w:t xml:space="preserve">un </w:t>
      </w:r>
      <w:r w:rsidRPr="00A2551C" w:rsidR="00C70BCD">
        <w:rPr>
          <w:lang w:val="fr-FR"/>
        </w:rPr>
        <w:t>établissement pénitentiaire d</w:t>
      </w:r>
      <w:r w:rsidRPr="00A2551C" w:rsidR="00A2551C">
        <w:rPr>
          <w:lang w:val="fr-FR"/>
        </w:rPr>
        <w:t>’</w:t>
      </w:r>
      <w:r w:rsidRPr="00A2551C" w:rsidR="00C70BCD">
        <w:rPr>
          <w:lang w:val="fr-FR"/>
        </w:rPr>
        <w:t>utiliser des moyens a</w:t>
      </w:r>
      <w:r w:rsidRPr="00A2551C" w:rsidR="005D31DE">
        <w:rPr>
          <w:lang w:val="fr-FR"/>
        </w:rPr>
        <w:t xml:space="preserve">udiovisuels, électroniques et </w:t>
      </w:r>
      <w:r w:rsidRPr="00A2551C" w:rsidR="00C80C22">
        <w:rPr>
          <w:lang w:val="fr-FR"/>
        </w:rPr>
        <w:t>d</w:t>
      </w:r>
      <w:r w:rsidRPr="00A2551C" w:rsidR="00A2551C">
        <w:rPr>
          <w:lang w:val="fr-FR"/>
        </w:rPr>
        <w:t>’</w:t>
      </w:r>
      <w:r w:rsidRPr="00A2551C" w:rsidR="00C70BCD">
        <w:rPr>
          <w:lang w:val="fr-FR"/>
        </w:rPr>
        <w:t>autres moyens techniques aux fins de la surveill</w:t>
      </w:r>
      <w:r w:rsidRPr="00A2551C" w:rsidR="00382EB7">
        <w:rPr>
          <w:lang w:val="fr-FR"/>
        </w:rPr>
        <w:t>ance de</w:t>
      </w:r>
      <w:r w:rsidRPr="00A2551C" w:rsidR="00C70BCD">
        <w:rPr>
          <w:lang w:val="fr-FR"/>
        </w:rPr>
        <w:t xml:space="preserve"> détenus</w:t>
      </w:r>
      <w:r w:rsidRPr="00A2551C" w:rsidR="00C80C22">
        <w:rPr>
          <w:lang w:val="fr-FR"/>
        </w:rPr>
        <w:t>,</w:t>
      </w:r>
      <w:r w:rsidRPr="00A2551C" w:rsidR="00C70BCD">
        <w:rPr>
          <w:lang w:val="fr-FR"/>
        </w:rPr>
        <w:t xml:space="preserve"> </w:t>
      </w:r>
      <w:r w:rsidRPr="00A2551C" w:rsidR="00C80C22">
        <w:rPr>
          <w:lang w:val="fr-FR"/>
        </w:rPr>
        <w:t xml:space="preserve">il </w:t>
      </w:r>
      <w:r w:rsidRPr="00A2551C" w:rsidR="00382EB7">
        <w:rPr>
          <w:lang w:val="fr-FR"/>
        </w:rPr>
        <w:t xml:space="preserve">ne contient pas de liste desdits moyens </w:t>
      </w:r>
      <w:r w:rsidRPr="00A2551C" w:rsidR="00C80C22">
        <w:rPr>
          <w:lang w:val="fr-FR"/>
        </w:rPr>
        <w:t xml:space="preserve">et </w:t>
      </w:r>
      <w:r w:rsidRPr="00A2551C" w:rsidR="00382EB7">
        <w:rPr>
          <w:lang w:val="fr-FR"/>
        </w:rPr>
        <w:t xml:space="preserve">ne précise </w:t>
      </w:r>
      <w:r w:rsidRPr="00A2551C" w:rsidR="00C80C22">
        <w:rPr>
          <w:lang w:val="fr-FR"/>
        </w:rPr>
        <w:t xml:space="preserve">pas non plus </w:t>
      </w:r>
      <w:r w:rsidRPr="00A2551C" w:rsidR="00382EB7">
        <w:rPr>
          <w:lang w:val="fr-FR"/>
        </w:rPr>
        <w:t>les modalités de leur utilisation</w:t>
      </w:r>
      <w:r w:rsidRPr="00A2551C" w:rsidR="00E45732">
        <w:rPr>
          <w:lang w:val="fr-FR"/>
        </w:rPr>
        <w:t xml:space="preserve"> (paragraphe </w:t>
      </w:r>
      <w:r w:rsidRPr="00A2551C" w:rsidR="00E45732">
        <w:rPr>
          <w:lang w:val="fr-FR"/>
        </w:rPr>
        <w:fldChar w:fldCharType="begin"/>
      </w:r>
      <w:r w:rsidRPr="00A2551C" w:rsidR="00E45732">
        <w:rPr>
          <w:lang w:val="fr-FR"/>
        </w:rPr>
        <w:instrText xml:space="preserve"> REF cesp83 \h </w:instrText>
      </w:r>
      <w:r w:rsidRPr="00A2551C" w:rsidR="001F5753">
        <w:rPr>
          <w:lang w:val="fr-FR"/>
        </w:rPr>
        <w:instrText xml:space="preserve"> \* MERGEFORMAT </w:instrText>
      </w:r>
      <w:r w:rsidRPr="00A2551C" w:rsidR="00E45732">
        <w:rPr>
          <w:lang w:val="fr-FR"/>
        </w:rPr>
      </w:r>
      <w:r w:rsidRPr="00A2551C" w:rsidR="00E45732">
        <w:rPr>
          <w:lang w:val="fr-FR"/>
        </w:rPr>
        <w:fldChar w:fldCharType="separate"/>
      </w:r>
      <w:r w:rsidRPr="00A2551C" w:rsidR="00A2551C">
        <w:rPr>
          <w:noProof/>
          <w:lang w:val="fr-FR"/>
        </w:rPr>
        <w:t>39</w:t>
      </w:r>
      <w:r w:rsidRPr="00A2551C" w:rsidR="00E45732">
        <w:rPr>
          <w:lang w:val="fr-FR"/>
        </w:rPr>
        <w:fldChar w:fldCharType="end"/>
      </w:r>
      <w:r w:rsidRPr="00A2551C" w:rsidR="00E45732">
        <w:rPr>
          <w:lang w:val="fr-FR"/>
        </w:rPr>
        <w:t xml:space="preserve"> ci</w:t>
      </w:r>
      <w:r w:rsidRPr="00A2551C" w:rsidR="00E45732">
        <w:rPr>
          <w:lang w:val="fr-FR"/>
        </w:rPr>
        <w:noBreakHyphen/>
        <w:t>dessus)</w:t>
      </w:r>
      <w:r w:rsidRPr="00A2551C" w:rsidR="00382EB7">
        <w:rPr>
          <w:lang w:val="fr-FR"/>
        </w:rPr>
        <w:t xml:space="preserve">. </w:t>
      </w:r>
      <w:r w:rsidRPr="00A2551C" w:rsidR="00DB6BC5">
        <w:rPr>
          <w:lang w:val="fr-FR"/>
        </w:rPr>
        <w:t xml:space="preserve">La seule </w:t>
      </w:r>
      <w:r w:rsidRPr="00A2551C" w:rsidR="00E45732">
        <w:rPr>
          <w:lang w:val="fr-FR"/>
        </w:rPr>
        <w:t>modalité de l</w:t>
      </w:r>
      <w:r w:rsidRPr="00A2551C" w:rsidR="00A2551C">
        <w:rPr>
          <w:lang w:val="fr-FR"/>
        </w:rPr>
        <w:t>’</w:t>
      </w:r>
      <w:r w:rsidRPr="00A2551C" w:rsidR="00E45732">
        <w:rPr>
          <w:lang w:val="fr-FR"/>
        </w:rPr>
        <w:t xml:space="preserve">exercice du droit </w:t>
      </w:r>
      <w:r w:rsidRPr="00A2551C" w:rsidR="008F2403">
        <w:rPr>
          <w:lang w:val="fr-FR"/>
        </w:rPr>
        <w:t xml:space="preserve">précité </w:t>
      </w:r>
      <w:r w:rsidRPr="00A2551C" w:rsidR="00E45732">
        <w:rPr>
          <w:lang w:val="fr-FR"/>
        </w:rPr>
        <w:t>don</w:t>
      </w:r>
      <w:r w:rsidRPr="00A2551C" w:rsidR="005D31DE">
        <w:rPr>
          <w:lang w:val="fr-FR"/>
        </w:rPr>
        <w:t>t</w:t>
      </w:r>
      <w:r w:rsidRPr="00A2551C" w:rsidR="00E45732">
        <w:rPr>
          <w:lang w:val="fr-FR"/>
        </w:rPr>
        <w:t xml:space="preserve"> le</w:t>
      </w:r>
      <w:r w:rsidRPr="00A2551C" w:rsidR="00EB14CB">
        <w:rPr>
          <w:lang w:val="fr-FR"/>
        </w:rPr>
        <w:t xml:space="preserve"> paragraphe 2 du</w:t>
      </w:r>
      <w:r w:rsidRPr="00A2551C" w:rsidR="00E45732">
        <w:rPr>
          <w:lang w:val="fr-FR"/>
        </w:rPr>
        <w:t>dit article investit l</w:t>
      </w:r>
      <w:r w:rsidRPr="00A2551C" w:rsidR="00A2551C">
        <w:rPr>
          <w:lang w:val="fr-FR"/>
        </w:rPr>
        <w:t>’</w:t>
      </w:r>
      <w:r w:rsidRPr="00A2551C" w:rsidR="00E45732">
        <w:rPr>
          <w:lang w:val="fr-FR"/>
        </w:rPr>
        <w:t>administration pénitentiaire concerne l</w:t>
      </w:r>
      <w:r w:rsidRPr="00A2551C" w:rsidR="00A2551C">
        <w:rPr>
          <w:lang w:val="fr-FR"/>
        </w:rPr>
        <w:t>’</w:t>
      </w:r>
      <w:r w:rsidRPr="00A2551C" w:rsidR="00E45732">
        <w:rPr>
          <w:lang w:val="fr-FR"/>
        </w:rPr>
        <w:t>obligation de celle</w:t>
      </w:r>
      <w:r w:rsidRPr="00A2551C" w:rsidR="00E45732">
        <w:rPr>
          <w:lang w:val="fr-FR"/>
        </w:rPr>
        <w:noBreakHyphen/>
        <w:t>ci</w:t>
      </w:r>
      <w:r w:rsidRPr="00A2551C" w:rsidR="00DB6BC5">
        <w:rPr>
          <w:lang w:val="fr-FR"/>
        </w:rPr>
        <w:t xml:space="preserve"> d</w:t>
      </w:r>
      <w:r w:rsidRPr="00A2551C" w:rsidR="00A2551C">
        <w:rPr>
          <w:lang w:val="fr-FR"/>
        </w:rPr>
        <w:t>’</w:t>
      </w:r>
      <w:r w:rsidRPr="00A2551C" w:rsidR="00DB6BC5">
        <w:rPr>
          <w:lang w:val="fr-FR"/>
        </w:rPr>
        <w:t xml:space="preserve">informer la personne concernée </w:t>
      </w:r>
      <w:r w:rsidRPr="00A2551C" w:rsidR="00E45732">
        <w:rPr>
          <w:lang w:val="fr-FR"/>
        </w:rPr>
        <w:t xml:space="preserve">de </w:t>
      </w:r>
      <w:r w:rsidRPr="00A2551C" w:rsidR="00DB6BC5">
        <w:rPr>
          <w:lang w:val="fr-FR"/>
        </w:rPr>
        <w:t>sa mise sous surveillance.</w:t>
      </w:r>
      <w:r w:rsidRPr="00A2551C" w:rsidR="00215C75">
        <w:rPr>
          <w:lang w:val="fr-FR"/>
        </w:rPr>
        <w:t xml:space="preserve"> </w:t>
      </w:r>
      <w:r w:rsidRPr="00A2551C" w:rsidR="00F91587">
        <w:rPr>
          <w:lang w:val="fr-FR"/>
        </w:rPr>
        <w:t>Or, e</w:t>
      </w:r>
      <w:r w:rsidRPr="00A2551C" w:rsidR="00650436">
        <w:rPr>
          <w:lang w:val="fr-FR"/>
        </w:rPr>
        <w:t>n l</w:t>
      </w:r>
      <w:r w:rsidRPr="00A2551C" w:rsidR="00A2551C">
        <w:rPr>
          <w:lang w:val="fr-FR"/>
        </w:rPr>
        <w:t>’</w:t>
      </w:r>
      <w:r w:rsidRPr="00A2551C" w:rsidR="00650436">
        <w:rPr>
          <w:lang w:val="fr-FR"/>
        </w:rPr>
        <w:t>espèce, le Gouvernement n</w:t>
      </w:r>
      <w:r w:rsidRPr="00A2551C" w:rsidR="00A2551C">
        <w:rPr>
          <w:lang w:val="fr-FR"/>
        </w:rPr>
        <w:t>’</w:t>
      </w:r>
      <w:r w:rsidRPr="00A2551C" w:rsidR="00650436">
        <w:rPr>
          <w:lang w:val="fr-FR"/>
        </w:rPr>
        <w:t>a pas allégué que l</w:t>
      </w:r>
      <w:r w:rsidRPr="00A2551C" w:rsidR="00B33F0C">
        <w:rPr>
          <w:lang w:val="fr-FR"/>
        </w:rPr>
        <w:t xml:space="preserve">e requérant </w:t>
      </w:r>
      <w:r w:rsidRPr="00A2551C" w:rsidR="00B464B0">
        <w:rPr>
          <w:lang w:val="fr-FR"/>
        </w:rPr>
        <w:t>s</w:t>
      </w:r>
      <w:r w:rsidRPr="00A2551C" w:rsidR="00A2551C">
        <w:rPr>
          <w:lang w:val="fr-FR"/>
        </w:rPr>
        <w:t>’</w:t>
      </w:r>
      <w:r w:rsidRPr="00A2551C" w:rsidR="00B464B0">
        <w:rPr>
          <w:lang w:val="fr-FR"/>
        </w:rPr>
        <w:t xml:space="preserve">était </w:t>
      </w:r>
      <w:r w:rsidRPr="00A2551C" w:rsidR="00B33F0C">
        <w:rPr>
          <w:lang w:val="fr-FR"/>
        </w:rPr>
        <w:t xml:space="preserve">vu notifier une instruction quelconque </w:t>
      </w:r>
      <w:r w:rsidRPr="00A2551C" w:rsidR="00650436">
        <w:rPr>
          <w:lang w:val="fr-FR"/>
        </w:rPr>
        <w:t xml:space="preserve">relative à la </w:t>
      </w:r>
      <w:r w:rsidRPr="00A2551C" w:rsidR="00B33F0C">
        <w:rPr>
          <w:lang w:val="fr-FR"/>
        </w:rPr>
        <w:t>vidéo</w:t>
      </w:r>
      <w:r w:rsidRPr="00A2551C" w:rsidR="00650436">
        <w:rPr>
          <w:lang w:val="fr-FR"/>
        </w:rPr>
        <w:t>surveillance des personnes condamnée</w:t>
      </w:r>
      <w:r w:rsidRPr="00A2551C" w:rsidR="005D31DE">
        <w:rPr>
          <w:lang w:val="fr-FR"/>
        </w:rPr>
        <w:t>s</w:t>
      </w:r>
      <w:r w:rsidRPr="00A2551C" w:rsidR="00650436">
        <w:rPr>
          <w:lang w:val="fr-FR"/>
        </w:rPr>
        <w:t xml:space="preserve"> à la réclusion à perpétuité.</w:t>
      </w:r>
    </w:p>
    <w:p w:rsidRPr="00A2551C" w:rsidR="0076324D" w:rsidP="00A2551C" w:rsidRDefault="00650436">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127</w:t>
      </w:r>
      <w:r w:rsidRPr="00A2551C">
        <w:rPr>
          <w:lang w:val="fr-FR"/>
        </w:rPr>
        <w:fldChar w:fldCharType="end"/>
      </w:r>
      <w:r w:rsidRPr="00A2551C">
        <w:rPr>
          <w:lang w:val="fr-FR"/>
        </w:rPr>
        <w:t>.  </w:t>
      </w:r>
      <w:r w:rsidRPr="00A2551C" w:rsidR="00F91587">
        <w:rPr>
          <w:lang w:val="fr-FR"/>
        </w:rPr>
        <w:t>Eu égard aux arguments des parties et aux éléments du dossier dont elle dispose, l</w:t>
      </w:r>
      <w:r w:rsidRPr="00A2551C" w:rsidR="00DB6870">
        <w:rPr>
          <w:lang w:val="fr-FR"/>
        </w:rPr>
        <w:t xml:space="preserve">a Cour </w:t>
      </w:r>
      <w:r w:rsidRPr="00A2551C" w:rsidR="009A2498">
        <w:rPr>
          <w:lang w:val="fr-FR"/>
        </w:rPr>
        <w:t>estime</w:t>
      </w:r>
      <w:r w:rsidRPr="00A2551C" w:rsidR="00DB6870">
        <w:rPr>
          <w:lang w:val="fr-FR"/>
        </w:rPr>
        <w:t xml:space="preserve"> que la loi nationale</w:t>
      </w:r>
      <w:r w:rsidRPr="00A2551C" w:rsidR="00F91587">
        <w:rPr>
          <w:lang w:val="fr-FR"/>
        </w:rPr>
        <w:t xml:space="preserve"> </w:t>
      </w:r>
      <w:r w:rsidRPr="00A2551C" w:rsidR="00510330">
        <w:rPr>
          <w:lang w:val="fr-FR"/>
        </w:rPr>
        <w:t>invoqu</w:t>
      </w:r>
      <w:r w:rsidRPr="00A2551C" w:rsidR="00F91587">
        <w:rPr>
          <w:lang w:val="fr-FR"/>
        </w:rPr>
        <w:t xml:space="preserve">ée par le Gouvernement en tant que base légale </w:t>
      </w:r>
      <w:r w:rsidRPr="00A2551C" w:rsidR="001F5384">
        <w:rPr>
          <w:lang w:val="fr-FR"/>
        </w:rPr>
        <w:t>de l</w:t>
      </w:r>
      <w:r w:rsidRPr="00A2551C" w:rsidR="00A2551C">
        <w:rPr>
          <w:lang w:val="fr-FR"/>
        </w:rPr>
        <w:t>’</w:t>
      </w:r>
      <w:r w:rsidRPr="00A2551C" w:rsidR="001F5384">
        <w:rPr>
          <w:lang w:val="fr-FR"/>
        </w:rPr>
        <w:t>ingérence</w:t>
      </w:r>
      <w:r w:rsidRPr="00A2551C" w:rsidR="00DB6870">
        <w:rPr>
          <w:lang w:val="fr-FR"/>
        </w:rPr>
        <w:t xml:space="preserve">, </w:t>
      </w:r>
      <w:r w:rsidRPr="00A2551C" w:rsidR="00B464B0">
        <w:rPr>
          <w:lang w:val="fr-FR"/>
        </w:rPr>
        <w:t xml:space="preserve">et </w:t>
      </w:r>
      <w:r w:rsidRPr="00A2551C" w:rsidR="00DB6870">
        <w:rPr>
          <w:lang w:val="fr-FR"/>
        </w:rPr>
        <w:t>notamment l</w:t>
      </w:r>
      <w:r w:rsidRPr="00A2551C" w:rsidR="00A2551C">
        <w:rPr>
          <w:lang w:val="fr-FR"/>
        </w:rPr>
        <w:t>’</w:t>
      </w:r>
      <w:r w:rsidRPr="00A2551C" w:rsidR="00DB6870">
        <w:rPr>
          <w:lang w:val="fr-FR"/>
        </w:rPr>
        <w:t>article 83 du CESP</w:t>
      </w:r>
      <w:r w:rsidRPr="00A2551C" w:rsidR="00CC26CC">
        <w:rPr>
          <w:lang w:val="fr-FR"/>
        </w:rPr>
        <w:t>,</w:t>
      </w:r>
      <w:r w:rsidRPr="00A2551C" w:rsidR="00DB6870">
        <w:rPr>
          <w:lang w:val="fr-FR"/>
        </w:rPr>
        <w:t xml:space="preserve"> </w:t>
      </w:r>
      <w:r w:rsidRPr="00A2551C" w:rsidR="000649B8">
        <w:rPr>
          <w:lang w:val="fr-FR"/>
        </w:rPr>
        <w:t xml:space="preserve">manque de clarté quant aux </w:t>
      </w:r>
      <w:r w:rsidRPr="00A2551C" w:rsidR="005161CD">
        <w:rPr>
          <w:lang w:val="fr-FR"/>
        </w:rPr>
        <w:t xml:space="preserve">pouvoirs </w:t>
      </w:r>
      <w:r w:rsidRPr="00A2551C" w:rsidR="000649B8">
        <w:rPr>
          <w:lang w:val="fr-FR"/>
        </w:rPr>
        <w:t xml:space="preserve">dont </w:t>
      </w:r>
      <w:r w:rsidRPr="00A2551C" w:rsidR="00CC26CC">
        <w:rPr>
          <w:lang w:val="fr-FR"/>
        </w:rPr>
        <w:t xml:space="preserve">elle </w:t>
      </w:r>
      <w:r w:rsidRPr="00A2551C" w:rsidR="00FF5E89">
        <w:rPr>
          <w:lang w:val="fr-FR"/>
        </w:rPr>
        <w:t>investit l</w:t>
      </w:r>
      <w:r w:rsidRPr="00A2551C" w:rsidR="005161CD">
        <w:rPr>
          <w:lang w:val="fr-FR"/>
        </w:rPr>
        <w:t>es autorités pénitentiaires en matière</w:t>
      </w:r>
      <w:r w:rsidRPr="00A2551C" w:rsidR="00180633">
        <w:rPr>
          <w:lang w:val="fr-FR"/>
        </w:rPr>
        <w:t xml:space="preserve"> de </w:t>
      </w:r>
      <w:r w:rsidRPr="00A2551C" w:rsidR="00090737">
        <w:rPr>
          <w:lang w:val="fr-FR"/>
        </w:rPr>
        <w:t>vidéo</w:t>
      </w:r>
      <w:r w:rsidRPr="00A2551C" w:rsidR="00180633">
        <w:rPr>
          <w:lang w:val="fr-FR"/>
        </w:rPr>
        <w:t>surveillance de détenus</w:t>
      </w:r>
      <w:r w:rsidRPr="00A2551C" w:rsidR="00090737">
        <w:rPr>
          <w:lang w:val="fr-FR"/>
        </w:rPr>
        <w:t>.</w:t>
      </w:r>
      <w:r w:rsidRPr="00A2551C" w:rsidR="00E05B4A">
        <w:rPr>
          <w:lang w:val="fr-FR"/>
        </w:rPr>
        <w:t xml:space="preserve"> Elle note que le Gouvernement n</w:t>
      </w:r>
      <w:r w:rsidRPr="00A2551C" w:rsidR="00A2551C">
        <w:rPr>
          <w:lang w:val="fr-FR"/>
        </w:rPr>
        <w:t>’</w:t>
      </w:r>
      <w:r w:rsidRPr="00A2551C" w:rsidR="00E05B4A">
        <w:rPr>
          <w:lang w:val="fr-FR"/>
        </w:rPr>
        <w:t>a pas démontré que d</w:t>
      </w:r>
      <w:r w:rsidRPr="00A2551C" w:rsidR="00A2551C">
        <w:rPr>
          <w:lang w:val="fr-FR"/>
        </w:rPr>
        <w:t>’</w:t>
      </w:r>
      <w:r w:rsidRPr="00A2551C" w:rsidR="00E05B4A">
        <w:rPr>
          <w:lang w:val="fr-FR"/>
        </w:rPr>
        <w:t>autres dispositions du droit interne, par exemple, les arrêtés n</w:t>
      </w:r>
      <w:r w:rsidRPr="00A2551C" w:rsidR="00E05B4A">
        <w:rPr>
          <w:vertAlign w:val="superscript"/>
          <w:lang w:val="fr-FR"/>
        </w:rPr>
        <w:t>os</w:t>
      </w:r>
      <w:r w:rsidRPr="00A2551C" w:rsidR="00E05B4A">
        <w:rPr>
          <w:lang w:val="fr-FR"/>
        </w:rPr>
        <w:t> 166 (</w:t>
      </w:r>
      <w:proofErr w:type="spellStart"/>
      <w:r w:rsidRPr="00A2551C" w:rsidR="00E05B4A">
        <w:rPr>
          <w:lang w:val="fr-FR"/>
        </w:rPr>
        <w:t>dsp</w:t>
      </w:r>
      <w:proofErr w:type="spellEnd"/>
      <w:r w:rsidRPr="00A2551C" w:rsidR="00E05B4A">
        <w:rPr>
          <w:lang w:val="fr-FR"/>
        </w:rPr>
        <w:t>), 204 (</w:t>
      </w:r>
      <w:proofErr w:type="spellStart"/>
      <w:r w:rsidRPr="00A2551C" w:rsidR="00E05B4A">
        <w:rPr>
          <w:lang w:val="fr-FR"/>
        </w:rPr>
        <w:t>dsp</w:t>
      </w:r>
      <w:proofErr w:type="spellEnd"/>
      <w:r w:rsidRPr="00A2551C" w:rsidR="00E05B4A">
        <w:rPr>
          <w:lang w:val="fr-FR"/>
        </w:rPr>
        <w:t xml:space="preserve">) </w:t>
      </w:r>
      <w:r w:rsidRPr="00A2551C" w:rsidR="007A49CC">
        <w:rPr>
          <w:lang w:val="fr-FR"/>
        </w:rPr>
        <w:t>ou</w:t>
      </w:r>
      <w:r w:rsidRPr="00A2551C" w:rsidR="00E05B4A">
        <w:rPr>
          <w:lang w:val="fr-FR"/>
        </w:rPr>
        <w:t> 252 (</w:t>
      </w:r>
      <w:proofErr w:type="spellStart"/>
      <w:r w:rsidRPr="00A2551C" w:rsidR="00E05B4A">
        <w:rPr>
          <w:lang w:val="fr-FR"/>
        </w:rPr>
        <w:t>dsp</w:t>
      </w:r>
      <w:proofErr w:type="spellEnd"/>
      <w:r w:rsidRPr="00A2551C" w:rsidR="00E05B4A">
        <w:rPr>
          <w:lang w:val="fr-FR"/>
        </w:rPr>
        <w:t xml:space="preserve">) adoptés par le ministère de la Justice, comblent ce manque de clarté. </w:t>
      </w:r>
      <w:r w:rsidRPr="00A2551C" w:rsidR="009A2498">
        <w:rPr>
          <w:lang w:val="fr-FR"/>
        </w:rPr>
        <w:t>Par ailleurs, la Cour relève que, d</w:t>
      </w:r>
      <w:r w:rsidRPr="00A2551C" w:rsidR="00A2551C">
        <w:rPr>
          <w:lang w:val="fr-FR"/>
        </w:rPr>
        <w:t>’</w:t>
      </w:r>
      <w:r w:rsidRPr="00A2551C" w:rsidR="009A2498">
        <w:rPr>
          <w:lang w:val="fr-FR"/>
        </w:rPr>
        <w:t>après la jurisprudence de la Cour suprême, l</w:t>
      </w:r>
      <w:r w:rsidRPr="00A2551C" w:rsidR="00A2551C">
        <w:rPr>
          <w:lang w:val="fr-FR"/>
        </w:rPr>
        <w:t>’</w:t>
      </w:r>
      <w:r w:rsidRPr="00A2551C" w:rsidR="009A2498">
        <w:rPr>
          <w:lang w:val="fr-FR"/>
        </w:rPr>
        <w:t>arrêté n</w:t>
      </w:r>
      <w:r w:rsidRPr="00A2551C" w:rsidR="009A2498">
        <w:rPr>
          <w:vertAlign w:val="superscript"/>
          <w:lang w:val="fr-FR"/>
        </w:rPr>
        <w:t>o</w:t>
      </w:r>
      <w:r w:rsidRPr="00A2551C" w:rsidR="009A2498">
        <w:rPr>
          <w:lang w:val="fr-FR"/>
        </w:rPr>
        <w:t> 166 (</w:t>
      </w:r>
      <w:proofErr w:type="spellStart"/>
      <w:r w:rsidRPr="00A2551C" w:rsidR="009A2498">
        <w:rPr>
          <w:lang w:val="fr-FR"/>
        </w:rPr>
        <w:t>dsp</w:t>
      </w:r>
      <w:proofErr w:type="spellEnd"/>
      <w:r w:rsidRPr="00A2551C" w:rsidR="009A2498">
        <w:rPr>
          <w:lang w:val="fr-FR"/>
        </w:rPr>
        <w:t>), modifiant l</w:t>
      </w:r>
      <w:r w:rsidRPr="00A2551C" w:rsidR="00A2551C">
        <w:rPr>
          <w:lang w:val="fr-FR"/>
        </w:rPr>
        <w:t>’</w:t>
      </w:r>
      <w:r w:rsidRPr="00A2551C" w:rsidR="009A2498">
        <w:rPr>
          <w:lang w:val="fr-FR"/>
        </w:rPr>
        <w:t>arrêté n</w:t>
      </w:r>
      <w:r w:rsidRPr="00A2551C" w:rsidR="009A2498">
        <w:rPr>
          <w:vertAlign w:val="superscript"/>
          <w:lang w:val="fr-FR"/>
        </w:rPr>
        <w:t>o</w:t>
      </w:r>
      <w:r w:rsidRPr="00A2551C" w:rsidR="009A2498">
        <w:rPr>
          <w:lang w:val="fr-FR"/>
        </w:rPr>
        <w:t> 204 (</w:t>
      </w:r>
      <w:proofErr w:type="spellStart"/>
      <w:r w:rsidRPr="00A2551C" w:rsidR="009A2498">
        <w:rPr>
          <w:lang w:val="fr-FR"/>
        </w:rPr>
        <w:t>dsp</w:t>
      </w:r>
      <w:proofErr w:type="spellEnd"/>
      <w:r w:rsidRPr="00A2551C" w:rsidR="009A2498">
        <w:rPr>
          <w:lang w:val="fr-FR"/>
        </w:rPr>
        <w:t>), consacrait des règles générales qui visaient le contrôle du régime carcéral dans les maisons d</w:t>
      </w:r>
      <w:r w:rsidRPr="00A2551C" w:rsidR="00A2551C">
        <w:rPr>
          <w:lang w:val="fr-FR"/>
        </w:rPr>
        <w:t>’</w:t>
      </w:r>
      <w:r w:rsidRPr="00A2551C" w:rsidR="009A2498">
        <w:rPr>
          <w:lang w:val="fr-FR"/>
        </w:rPr>
        <w:t>arrêt et dans les prisons mais « ne régissait pas les modalités de l</w:t>
      </w:r>
      <w:r w:rsidRPr="00A2551C" w:rsidR="00A2551C">
        <w:rPr>
          <w:lang w:val="fr-FR"/>
        </w:rPr>
        <w:t>’</w:t>
      </w:r>
      <w:r w:rsidRPr="00A2551C" w:rsidR="009A2498">
        <w:rPr>
          <w:lang w:val="fr-FR"/>
        </w:rPr>
        <w:t>utilisation de caméras vidéo dans la zone soumise au régime pénitentiaire, y compris en ce qui concerne la vidéosurveillance du comportement de</w:t>
      </w:r>
      <w:r w:rsidRPr="00A2551C" w:rsidR="00B464B0">
        <w:rPr>
          <w:lang w:val="fr-FR"/>
        </w:rPr>
        <w:t>s</w:t>
      </w:r>
      <w:r w:rsidRPr="00A2551C" w:rsidR="009A2498">
        <w:rPr>
          <w:lang w:val="fr-FR"/>
        </w:rPr>
        <w:t xml:space="preserve"> détenus dans les cellules » (paragraphes </w:t>
      </w:r>
      <w:r w:rsidRPr="00A2551C" w:rsidR="009A2498">
        <w:rPr>
          <w:lang w:val="fr-FR"/>
        </w:rPr>
        <w:fldChar w:fldCharType="begin"/>
      </w:r>
      <w:r w:rsidRPr="00A2551C" w:rsidR="009A2498">
        <w:rPr>
          <w:lang w:val="fr-FR"/>
        </w:rPr>
        <w:instrText xml:space="preserve"> REF coursup2 \h </w:instrText>
      </w:r>
      <w:r w:rsidRPr="00A2551C" w:rsidR="002506BF">
        <w:rPr>
          <w:lang w:val="fr-FR"/>
        </w:rPr>
        <w:instrText xml:space="preserve"> \* MERGEFORMAT </w:instrText>
      </w:r>
      <w:r w:rsidRPr="00A2551C" w:rsidR="009A2498">
        <w:rPr>
          <w:lang w:val="fr-FR"/>
        </w:rPr>
      </w:r>
      <w:r w:rsidRPr="00A2551C" w:rsidR="009A2498">
        <w:rPr>
          <w:lang w:val="fr-FR"/>
        </w:rPr>
        <w:fldChar w:fldCharType="separate"/>
      </w:r>
      <w:r w:rsidRPr="00A2551C" w:rsidR="00A2551C">
        <w:rPr>
          <w:noProof/>
          <w:lang w:val="fr-FR"/>
        </w:rPr>
        <w:t>45</w:t>
      </w:r>
      <w:r w:rsidRPr="00A2551C" w:rsidR="009A2498">
        <w:rPr>
          <w:lang w:val="fr-FR"/>
        </w:rPr>
        <w:fldChar w:fldCharType="end"/>
      </w:r>
      <w:r w:rsidRPr="00A2551C" w:rsidR="009A2498">
        <w:rPr>
          <w:lang w:val="fr-FR"/>
        </w:rPr>
        <w:noBreakHyphen/>
      </w:r>
      <w:r w:rsidRPr="00A2551C" w:rsidR="009A2498">
        <w:rPr>
          <w:lang w:val="fr-FR"/>
        </w:rPr>
        <w:fldChar w:fldCharType="begin"/>
      </w:r>
      <w:r w:rsidRPr="00A2551C" w:rsidR="009A2498">
        <w:rPr>
          <w:lang w:val="fr-FR"/>
        </w:rPr>
        <w:instrText xml:space="preserve"> REF coursup3 \h </w:instrText>
      </w:r>
      <w:r w:rsidRPr="00A2551C" w:rsidR="002506BF">
        <w:rPr>
          <w:lang w:val="fr-FR"/>
        </w:rPr>
        <w:instrText xml:space="preserve"> \* MERGEFORMAT </w:instrText>
      </w:r>
      <w:r w:rsidRPr="00A2551C" w:rsidR="009A2498">
        <w:rPr>
          <w:lang w:val="fr-FR"/>
        </w:rPr>
      </w:r>
      <w:r w:rsidRPr="00A2551C" w:rsidR="009A2498">
        <w:rPr>
          <w:lang w:val="fr-FR"/>
        </w:rPr>
        <w:fldChar w:fldCharType="separate"/>
      </w:r>
      <w:r w:rsidRPr="00A2551C" w:rsidR="00A2551C">
        <w:rPr>
          <w:noProof/>
          <w:lang w:val="fr-FR"/>
        </w:rPr>
        <w:t>46</w:t>
      </w:r>
      <w:r w:rsidRPr="00A2551C" w:rsidR="009A2498">
        <w:rPr>
          <w:lang w:val="fr-FR"/>
        </w:rPr>
        <w:fldChar w:fldCharType="end"/>
      </w:r>
      <w:r w:rsidRPr="00A2551C" w:rsidR="009A2498">
        <w:rPr>
          <w:lang w:val="fr-FR"/>
        </w:rPr>
        <w:t xml:space="preserve"> ci</w:t>
      </w:r>
      <w:r w:rsidRPr="00A2551C" w:rsidR="009A2498">
        <w:rPr>
          <w:lang w:val="fr-FR"/>
        </w:rPr>
        <w:noBreakHyphen/>
        <w:t>dessus).</w:t>
      </w:r>
    </w:p>
    <w:p w:rsidRPr="00A2551C" w:rsidR="0076324D" w:rsidP="00A2551C" w:rsidRDefault="009A2498">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128</w:t>
      </w:r>
      <w:r w:rsidRPr="00A2551C">
        <w:rPr>
          <w:lang w:val="fr-FR"/>
        </w:rPr>
        <w:fldChar w:fldCharType="end"/>
      </w:r>
      <w:r w:rsidRPr="00A2551C">
        <w:rPr>
          <w:lang w:val="fr-FR"/>
        </w:rPr>
        <w:t>.  </w:t>
      </w:r>
      <w:r w:rsidRPr="00A2551C" w:rsidR="00510330">
        <w:rPr>
          <w:lang w:val="fr-FR"/>
        </w:rPr>
        <w:t xml:space="preserve"> À la lumière de</w:t>
      </w:r>
      <w:r w:rsidRPr="00A2551C" w:rsidR="00E05B4A">
        <w:rPr>
          <w:lang w:val="fr-FR"/>
        </w:rPr>
        <w:t xml:space="preserve"> ce qui précède, la Cour</w:t>
      </w:r>
      <w:r w:rsidRPr="00A2551C" w:rsidR="00433C27">
        <w:rPr>
          <w:lang w:val="fr-FR"/>
        </w:rPr>
        <w:t xml:space="preserve"> estime </w:t>
      </w:r>
      <w:r w:rsidRPr="00A2551C" w:rsidR="00650436">
        <w:rPr>
          <w:lang w:val="fr-FR"/>
        </w:rPr>
        <w:t xml:space="preserve">que </w:t>
      </w:r>
      <w:r w:rsidRPr="00A2551C" w:rsidR="001053DB">
        <w:rPr>
          <w:lang w:val="fr-FR"/>
        </w:rPr>
        <w:t xml:space="preserve">le droit interne </w:t>
      </w:r>
      <w:r w:rsidRPr="00A2551C" w:rsidR="00650436">
        <w:rPr>
          <w:lang w:val="fr-FR"/>
        </w:rPr>
        <w:t>ne définit</w:t>
      </w:r>
      <w:r w:rsidRPr="00A2551C" w:rsidR="00AA50DD">
        <w:rPr>
          <w:lang w:val="fr-FR"/>
        </w:rPr>
        <w:t xml:space="preserve"> </w:t>
      </w:r>
      <w:r w:rsidRPr="00A2551C" w:rsidR="001B1252">
        <w:rPr>
          <w:lang w:val="fr-FR"/>
        </w:rPr>
        <w:t xml:space="preserve">pas </w:t>
      </w:r>
      <w:r w:rsidRPr="00A2551C" w:rsidR="00AA50DD">
        <w:rPr>
          <w:lang w:val="fr-FR"/>
        </w:rPr>
        <w:t>l</w:t>
      </w:r>
      <w:r w:rsidRPr="00A2551C" w:rsidR="00A2551C">
        <w:rPr>
          <w:lang w:val="fr-FR"/>
        </w:rPr>
        <w:t>’</w:t>
      </w:r>
      <w:r w:rsidRPr="00A2551C" w:rsidR="00AA50DD">
        <w:rPr>
          <w:lang w:val="fr-FR"/>
        </w:rPr>
        <w:t>étendue et les modalités d</w:t>
      </w:r>
      <w:r w:rsidRPr="00A2551C" w:rsidR="00A2551C">
        <w:rPr>
          <w:lang w:val="fr-FR"/>
        </w:rPr>
        <w:t>’</w:t>
      </w:r>
      <w:r w:rsidRPr="00A2551C" w:rsidR="00AA50DD">
        <w:rPr>
          <w:lang w:val="fr-FR"/>
        </w:rPr>
        <w:t xml:space="preserve">exercice </w:t>
      </w:r>
      <w:r w:rsidRPr="00A2551C" w:rsidR="00650436">
        <w:rPr>
          <w:lang w:val="fr-FR"/>
        </w:rPr>
        <w:t>du</w:t>
      </w:r>
      <w:r w:rsidRPr="00A2551C" w:rsidR="00AA50DD">
        <w:rPr>
          <w:lang w:val="fr-FR"/>
        </w:rPr>
        <w:t xml:space="preserve"> pouvoir </w:t>
      </w:r>
      <w:r w:rsidRPr="00A2551C" w:rsidR="00650436">
        <w:rPr>
          <w:lang w:val="fr-FR"/>
        </w:rPr>
        <w:t xml:space="preserve">discrétionnaire des autorités </w:t>
      </w:r>
      <w:r w:rsidRPr="00A2551C" w:rsidR="00BE7FE1">
        <w:rPr>
          <w:lang w:val="fr-FR"/>
        </w:rPr>
        <w:t>internes</w:t>
      </w:r>
      <w:r w:rsidRPr="00A2551C" w:rsidR="00650436">
        <w:rPr>
          <w:lang w:val="fr-FR"/>
        </w:rPr>
        <w:t xml:space="preserve"> </w:t>
      </w:r>
      <w:r w:rsidRPr="00A2551C" w:rsidR="00AA50DD">
        <w:rPr>
          <w:lang w:val="fr-FR"/>
        </w:rPr>
        <w:t>avec une clarté suffisante pour fournir à l</w:t>
      </w:r>
      <w:r w:rsidRPr="00A2551C" w:rsidR="00A2551C">
        <w:rPr>
          <w:lang w:val="fr-FR"/>
        </w:rPr>
        <w:t>’</w:t>
      </w:r>
      <w:r w:rsidRPr="00A2551C" w:rsidR="00AA50DD">
        <w:rPr>
          <w:lang w:val="fr-FR"/>
        </w:rPr>
        <w:t>individu une protecti</w:t>
      </w:r>
      <w:r w:rsidRPr="00A2551C" w:rsidR="00E56571">
        <w:rPr>
          <w:lang w:val="fr-FR"/>
        </w:rPr>
        <w:t>on adéquate contre l</w:t>
      </w:r>
      <w:r w:rsidRPr="00A2551C" w:rsidR="00A2551C">
        <w:rPr>
          <w:lang w:val="fr-FR"/>
        </w:rPr>
        <w:t>’</w:t>
      </w:r>
      <w:r w:rsidRPr="00A2551C" w:rsidR="00E56571">
        <w:rPr>
          <w:lang w:val="fr-FR"/>
        </w:rPr>
        <w:t>arbitraire.</w:t>
      </w:r>
      <w:r w:rsidRPr="00A2551C" w:rsidR="00CD1C06">
        <w:rPr>
          <w:lang w:val="fr-FR"/>
        </w:rPr>
        <w:t xml:space="preserve"> </w:t>
      </w:r>
      <w:r w:rsidRPr="00A2551C" w:rsidR="00140BAE">
        <w:rPr>
          <w:lang w:val="fr-FR"/>
        </w:rPr>
        <w:t xml:space="preserve">En effet, </w:t>
      </w:r>
      <w:r w:rsidRPr="00A2551C" w:rsidR="00E45732">
        <w:rPr>
          <w:lang w:val="fr-FR"/>
        </w:rPr>
        <w:t>il</w:t>
      </w:r>
      <w:r w:rsidRPr="00A2551C" w:rsidR="00CD1C06">
        <w:rPr>
          <w:lang w:val="fr-FR"/>
        </w:rPr>
        <w:t xml:space="preserve"> ne permet pas </w:t>
      </w:r>
      <w:r w:rsidRPr="00A2551C" w:rsidR="006D1C58">
        <w:rPr>
          <w:lang w:val="fr-FR"/>
        </w:rPr>
        <w:t>de déterminer si la marge d</w:t>
      </w:r>
      <w:r w:rsidRPr="00A2551C" w:rsidR="00A2551C">
        <w:rPr>
          <w:lang w:val="fr-FR"/>
        </w:rPr>
        <w:t>’</w:t>
      </w:r>
      <w:r w:rsidRPr="00A2551C" w:rsidR="006D1C58">
        <w:rPr>
          <w:lang w:val="fr-FR"/>
        </w:rPr>
        <w:t xml:space="preserve">appréciation des autorités internes quant aux procédures </w:t>
      </w:r>
      <w:r w:rsidRPr="00A2551C" w:rsidR="001B1252">
        <w:rPr>
          <w:lang w:val="fr-FR"/>
        </w:rPr>
        <w:t>de</w:t>
      </w:r>
      <w:r w:rsidRPr="00A2551C" w:rsidR="006D1C58">
        <w:rPr>
          <w:lang w:val="fr-FR"/>
        </w:rPr>
        <w:t xml:space="preserve"> déclenchement et</w:t>
      </w:r>
      <w:r w:rsidRPr="00A2551C" w:rsidR="00CD1C06">
        <w:rPr>
          <w:lang w:val="fr-FR"/>
        </w:rPr>
        <w:t xml:space="preserve"> de contrôle</w:t>
      </w:r>
      <w:r w:rsidRPr="00A2551C" w:rsidR="006D1C58">
        <w:rPr>
          <w:lang w:val="fr-FR"/>
        </w:rPr>
        <w:t xml:space="preserve"> de la mise en œuvre de </w:t>
      </w:r>
      <w:r w:rsidRPr="00A2551C" w:rsidR="00BE7221">
        <w:rPr>
          <w:lang w:val="fr-FR"/>
        </w:rPr>
        <w:t>la</w:t>
      </w:r>
      <w:r w:rsidRPr="00A2551C" w:rsidR="001B1252">
        <w:rPr>
          <w:lang w:val="fr-FR"/>
        </w:rPr>
        <w:t xml:space="preserve"> </w:t>
      </w:r>
      <w:r w:rsidRPr="00A2551C" w:rsidR="00BE7221">
        <w:rPr>
          <w:lang w:val="fr-FR"/>
        </w:rPr>
        <w:t>vidéosurveillance</w:t>
      </w:r>
      <w:r w:rsidRPr="00A2551C" w:rsidR="001B1252">
        <w:rPr>
          <w:lang w:val="fr-FR"/>
        </w:rPr>
        <w:t xml:space="preserve"> </w:t>
      </w:r>
      <w:r w:rsidRPr="00A2551C" w:rsidR="00DC79B0">
        <w:rPr>
          <w:lang w:val="fr-FR"/>
        </w:rPr>
        <w:t xml:space="preserve">est circonscrite </w:t>
      </w:r>
      <w:r w:rsidRPr="00A2551C" w:rsidR="006D1C58">
        <w:rPr>
          <w:lang w:val="fr-FR"/>
        </w:rPr>
        <w:t xml:space="preserve">à ce qui est </w:t>
      </w:r>
      <w:r w:rsidRPr="00A2551C" w:rsidR="00DC79B0">
        <w:rPr>
          <w:lang w:val="fr-FR"/>
        </w:rPr>
        <w:t>« </w:t>
      </w:r>
      <w:r w:rsidRPr="00A2551C" w:rsidR="006D1C58">
        <w:rPr>
          <w:lang w:val="fr-FR"/>
        </w:rPr>
        <w:t>nécessaire dans une société démocratique</w:t>
      </w:r>
      <w:r w:rsidRPr="00A2551C" w:rsidR="00DC79B0">
        <w:rPr>
          <w:lang w:val="fr-FR"/>
        </w:rPr>
        <w:t> »</w:t>
      </w:r>
      <w:r w:rsidRPr="00A2551C" w:rsidR="00140BAE">
        <w:rPr>
          <w:lang w:val="fr-FR"/>
        </w:rPr>
        <w:t xml:space="preserve">. </w:t>
      </w:r>
      <w:r w:rsidRPr="00A2551C" w:rsidR="0057155E">
        <w:rPr>
          <w:lang w:val="fr-FR"/>
        </w:rPr>
        <w:t>À cet égard, l</w:t>
      </w:r>
      <w:r w:rsidRPr="00A2551C" w:rsidR="00445F2A">
        <w:rPr>
          <w:lang w:val="fr-FR"/>
        </w:rPr>
        <w:t xml:space="preserve">a Cour </w:t>
      </w:r>
      <w:r w:rsidRPr="00A2551C" w:rsidR="0057155E">
        <w:rPr>
          <w:lang w:val="fr-FR"/>
        </w:rPr>
        <w:t>tient compte de l</w:t>
      </w:r>
      <w:r w:rsidRPr="00A2551C" w:rsidR="00A2551C">
        <w:rPr>
          <w:lang w:val="fr-FR"/>
        </w:rPr>
        <w:t>’</w:t>
      </w:r>
      <w:r w:rsidRPr="00A2551C" w:rsidR="0057155E">
        <w:rPr>
          <w:lang w:val="fr-FR"/>
        </w:rPr>
        <w:t>interprétation du droit interne faite par</w:t>
      </w:r>
      <w:r w:rsidRPr="00A2551C" w:rsidR="00445F2A">
        <w:rPr>
          <w:lang w:val="fr-FR"/>
        </w:rPr>
        <w:t xml:space="preserve"> l</w:t>
      </w:r>
      <w:r w:rsidRPr="00A2551C" w:rsidR="000F6996">
        <w:rPr>
          <w:lang w:val="fr-FR"/>
        </w:rPr>
        <w:t xml:space="preserve">es juridictions suprêmes russes. </w:t>
      </w:r>
      <w:r w:rsidRPr="00A2551C" w:rsidR="001D1C69">
        <w:rPr>
          <w:lang w:val="fr-FR"/>
        </w:rPr>
        <w:t>Elle</w:t>
      </w:r>
      <w:r w:rsidRPr="00A2551C" w:rsidR="005C77A7">
        <w:rPr>
          <w:lang w:val="fr-FR"/>
        </w:rPr>
        <w:t xml:space="preserve"> relève </w:t>
      </w:r>
      <w:r w:rsidRPr="00A2551C" w:rsidR="001D1C69">
        <w:rPr>
          <w:lang w:val="fr-FR"/>
        </w:rPr>
        <w:t xml:space="preserve">notamment </w:t>
      </w:r>
      <w:r w:rsidRPr="00A2551C" w:rsidR="005C77A7">
        <w:rPr>
          <w:lang w:val="fr-FR"/>
        </w:rPr>
        <w:t xml:space="preserve">que la Cour constitutionnelle </w:t>
      </w:r>
      <w:r w:rsidRPr="00A2551C" w:rsidR="00FB4AB4">
        <w:rPr>
          <w:lang w:val="fr-FR"/>
        </w:rPr>
        <w:t xml:space="preserve">a </w:t>
      </w:r>
      <w:r w:rsidRPr="00A2551C" w:rsidR="005C77A7">
        <w:rPr>
          <w:lang w:val="fr-FR"/>
        </w:rPr>
        <w:t>consid</w:t>
      </w:r>
      <w:r w:rsidRPr="00A2551C" w:rsidR="00FB4AB4">
        <w:rPr>
          <w:lang w:val="fr-FR"/>
        </w:rPr>
        <w:t>é</w:t>
      </w:r>
      <w:r w:rsidRPr="00A2551C" w:rsidR="005C77A7">
        <w:rPr>
          <w:lang w:val="fr-FR"/>
        </w:rPr>
        <w:t>r</w:t>
      </w:r>
      <w:r w:rsidRPr="00A2551C" w:rsidR="00FB4AB4">
        <w:rPr>
          <w:lang w:val="fr-FR"/>
        </w:rPr>
        <w:t>é</w:t>
      </w:r>
      <w:r w:rsidRPr="00A2551C" w:rsidR="005C77A7">
        <w:rPr>
          <w:lang w:val="fr-FR"/>
        </w:rPr>
        <w:t xml:space="preserve"> que le placement d</w:t>
      </w:r>
      <w:r w:rsidRPr="00A2551C" w:rsidR="00A2551C">
        <w:rPr>
          <w:lang w:val="fr-FR"/>
        </w:rPr>
        <w:t>’</w:t>
      </w:r>
      <w:r w:rsidRPr="00A2551C" w:rsidR="005C77A7">
        <w:rPr>
          <w:lang w:val="fr-FR"/>
        </w:rPr>
        <w:t xml:space="preserve">un condamné sous vidéosurveillance </w:t>
      </w:r>
      <w:r w:rsidRPr="00A2551C" w:rsidR="00FB4AB4">
        <w:rPr>
          <w:lang w:val="fr-FR"/>
        </w:rPr>
        <w:t>était</w:t>
      </w:r>
      <w:r w:rsidRPr="00A2551C" w:rsidR="005C77A7">
        <w:rPr>
          <w:lang w:val="fr-FR"/>
        </w:rPr>
        <w:t xml:space="preserve"> une conséquence de la condamnation d</w:t>
      </w:r>
      <w:r w:rsidRPr="00A2551C" w:rsidR="00A2551C">
        <w:rPr>
          <w:lang w:val="fr-FR"/>
        </w:rPr>
        <w:t>’</w:t>
      </w:r>
      <w:r w:rsidRPr="00A2551C" w:rsidR="005C77A7">
        <w:rPr>
          <w:lang w:val="fr-FR"/>
        </w:rPr>
        <w:t>une personne à une peine d</w:t>
      </w:r>
      <w:r w:rsidRPr="00A2551C" w:rsidR="00A2551C">
        <w:rPr>
          <w:lang w:val="fr-FR"/>
        </w:rPr>
        <w:t>’</w:t>
      </w:r>
      <w:r w:rsidRPr="00A2551C" w:rsidR="005C77A7">
        <w:rPr>
          <w:lang w:val="fr-FR"/>
        </w:rPr>
        <w:t xml:space="preserve">emprisonnement et </w:t>
      </w:r>
      <w:r w:rsidRPr="00A2551C" w:rsidR="001D1C69">
        <w:rPr>
          <w:lang w:val="fr-FR"/>
        </w:rPr>
        <w:t xml:space="preserve">que cette mesure </w:t>
      </w:r>
      <w:r w:rsidRPr="00A2551C" w:rsidR="005C77A7">
        <w:rPr>
          <w:lang w:val="fr-FR"/>
        </w:rPr>
        <w:t>fai</w:t>
      </w:r>
      <w:r w:rsidRPr="00A2551C" w:rsidR="00FB4AB4">
        <w:rPr>
          <w:lang w:val="fr-FR"/>
        </w:rPr>
        <w:t>sait</w:t>
      </w:r>
      <w:r w:rsidRPr="00A2551C" w:rsidR="005C77A7">
        <w:rPr>
          <w:lang w:val="fr-FR"/>
        </w:rPr>
        <w:t xml:space="preserve"> partie des restrictions auxquelles </w:t>
      </w:r>
      <w:r w:rsidRPr="00A2551C" w:rsidR="001D1C69">
        <w:rPr>
          <w:lang w:val="fr-FR"/>
        </w:rPr>
        <w:t xml:space="preserve">une </w:t>
      </w:r>
      <w:r w:rsidRPr="00A2551C" w:rsidR="005C77A7">
        <w:rPr>
          <w:lang w:val="fr-FR"/>
        </w:rPr>
        <w:t>personne d</w:t>
      </w:r>
      <w:r w:rsidRPr="00A2551C" w:rsidR="00FB4AB4">
        <w:rPr>
          <w:lang w:val="fr-FR"/>
        </w:rPr>
        <w:t>evait</w:t>
      </w:r>
      <w:r w:rsidRPr="00A2551C" w:rsidR="005C77A7">
        <w:rPr>
          <w:lang w:val="fr-FR"/>
        </w:rPr>
        <w:t xml:space="preserve"> s</w:t>
      </w:r>
      <w:r w:rsidRPr="00A2551C" w:rsidR="00A2551C">
        <w:rPr>
          <w:lang w:val="fr-FR"/>
        </w:rPr>
        <w:t>’</w:t>
      </w:r>
      <w:r w:rsidRPr="00A2551C" w:rsidR="005C77A7">
        <w:rPr>
          <w:lang w:val="fr-FR"/>
        </w:rPr>
        <w:t>attendre si elle commet</w:t>
      </w:r>
      <w:r w:rsidRPr="00A2551C" w:rsidR="00FB4AB4">
        <w:rPr>
          <w:lang w:val="fr-FR"/>
        </w:rPr>
        <w:t>tait</w:t>
      </w:r>
      <w:r w:rsidRPr="00A2551C" w:rsidR="00E76BA9">
        <w:rPr>
          <w:lang w:val="fr-FR"/>
        </w:rPr>
        <w:t xml:space="preserve"> </w:t>
      </w:r>
      <w:r w:rsidRPr="00A2551C" w:rsidR="00024804">
        <w:rPr>
          <w:lang w:val="fr-FR"/>
        </w:rPr>
        <w:t xml:space="preserve">sciemment </w:t>
      </w:r>
      <w:r w:rsidRPr="00A2551C" w:rsidR="00E76BA9">
        <w:rPr>
          <w:lang w:val="fr-FR"/>
        </w:rPr>
        <w:t xml:space="preserve">une infraction </w:t>
      </w:r>
      <w:r w:rsidRPr="00A2551C" w:rsidR="00FB4AB4">
        <w:rPr>
          <w:lang w:val="fr-FR"/>
        </w:rPr>
        <w:t xml:space="preserve">pénale </w:t>
      </w:r>
      <w:r w:rsidRPr="00A2551C" w:rsidR="005C77A7">
        <w:rPr>
          <w:lang w:val="fr-FR"/>
        </w:rPr>
        <w:t xml:space="preserve">(paragraphe </w:t>
      </w:r>
      <w:r w:rsidRPr="00A2551C" w:rsidR="005C77A7">
        <w:rPr>
          <w:lang w:val="fr-FR"/>
        </w:rPr>
        <w:fldChar w:fldCharType="begin"/>
      </w:r>
      <w:r w:rsidRPr="00A2551C" w:rsidR="005C77A7">
        <w:rPr>
          <w:lang w:val="fr-FR"/>
        </w:rPr>
        <w:instrText xml:space="preserve"> REF jurcons \h </w:instrText>
      </w:r>
      <w:r w:rsidRPr="00A2551C" w:rsidR="002506BF">
        <w:rPr>
          <w:lang w:val="fr-FR"/>
        </w:rPr>
        <w:instrText xml:space="preserve"> \* MERGEFORMAT </w:instrText>
      </w:r>
      <w:r w:rsidRPr="00A2551C" w:rsidR="005C77A7">
        <w:rPr>
          <w:lang w:val="fr-FR"/>
        </w:rPr>
      </w:r>
      <w:r w:rsidRPr="00A2551C" w:rsidR="005C77A7">
        <w:rPr>
          <w:lang w:val="fr-FR"/>
        </w:rPr>
        <w:fldChar w:fldCharType="separate"/>
      </w:r>
      <w:r w:rsidRPr="00A2551C" w:rsidR="00A2551C">
        <w:rPr>
          <w:noProof/>
          <w:lang w:val="fr-FR"/>
        </w:rPr>
        <w:t>43</w:t>
      </w:r>
      <w:r w:rsidRPr="00A2551C" w:rsidR="005C77A7">
        <w:rPr>
          <w:lang w:val="fr-FR"/>
        </w:rPr>
        <w:fldChar w:fldCharType="end"/>
      </w:r>
      <w:r w:rsidRPr="00A2551C" w:rsidR="005C77A7">
        <w:rPr>
          <w:lang w:val="fr-FR"/>
        </w:rPr>
        <w:t xml:space="preserve"> ci</w:t>
      </w:r>
      <w:r w:rsidRPr="00A2551C" w:rsidR="005C77A7">
        <w:rPr>
          <w:lang w:val="fr-FR"/>
        </w:rPr>
        <w:noBreakHyphen/>
        <w:t>dessus). L</w:t>
      </w:r>
      <w:r w:rsidRPr="00A2551C" w:rsidR="000F6996">
        <w:rPr>
          <w:lang w:val="fr-FR"/>
        </w:rPr>
        <w:t xml:space="preserve">a </w:t>
      </w:r>
      <w:r w:rsidRPr="00A2551C" w:rsidR="00445F2A">
        <w:rPr>
          <w:lang w:val="fr-FR"/>
        </w:rPr>
        <w:t>Cour supr</w:t>
      </w:r>
      <w:r w:rsidRPr="00A2551C" w:rsidR="0057155E">
        <w:rPr>
          <w:lang w:val="fr-FR"/>
        </w:rPr>
        <w:t>ême</w:t>
      </w:r>
      <w:r w:rsidRPr="00A2551C" w:rsidR="005C77A7">
        <w:rPr>
          <w:lang w:val="fr-FR"/>
        </w:rPr>
        <w:t xml:space="preserve">, quant à elle, a </w:t>
      </w:r>
      <w:r w:rsidRPr="00A2551C" w:rsidR="000F6996">
        <w:rPr>
          <w:lang w:val="fr-FR"/>
        </w:rPr>
        <w:t xml:space="preserve">indiqué que </w:t>
      </w:r>
      <w:r w:rsidRPr="00A2551C" w:rsidR="00445F2A">
        <w:rPr>
          <w:lang w:val="fr-FR"/>
        </w:rPr>
        <w:t>le placement d</w:t>
      </w:r>
      <w:r w:rsidRPr="00A2551C" w:rsidR="00A2551C">
        <w:rPr>
          <w:lang w:val="fr-FR"/>
        </w:rPr>
        <w:t>’</w:t>
      </w:r>
      <w:r w:rsidRPr="00A2551C" w:rsidR="00445F2A">
        <w:rPr>
          <w:lang w:val="fr-FR"/>
        </w:rPr>
        <w:t>un détenu sous vidéosurveillance n</w:t>
      </w:r>
      <w:r w:rsidRPr="00A2551C" w:rsidR="00A2551C">
        <w:rPr>
          <w:lang w:val="fr-FR"/>
        </w:rPr>
        <w:t>’</w:t>
      </w:r>
      <w:r w:rsidRPr="00A2551C" w:rsidR="00445F2A">
        <w:rPr>
          <w:lang w:val="fr-FR"/>
        </w:rPr>
        <w:t>était pas conditionné par l</w:t>
      </w:r>
      <w:r w:rsidRPr="00A2551C" w:rsidR="00A2551C">
        <w:rPr>
          <w:lang w:val="fr-FR"/>
        </w:rPr>
        <w:t>’</w:t>
      </w:r>
      <w:r w:rsidRPr="00A2551C" w:rsidR="00445F2A">
        <w:rPr>
          <w:lang w:val="fr-FR"/>
        </w:rPr>
        <w:t>adoption préalable d</w:t>
      </w:r>
      <w:r w:rsidRPr="00A2551C" w:rsidR="00A2551C">
        <w:rPr>
          <w:lang w:val="fr-FR"/>
        </w:rPr>
        <w:t>’</w:t>
      </w:r>
      <w:r w:rsidRPr="00A2551C" w:rsidR="00445F2A">
        <w:rPr>
          <w:lang w:val="fr-FR"/>
        </w:rPr>
        <w:t xml:space="preserve">une décision quelconque et que seule la notification </w:t>
      </w:r>
      <w:r w:rsidRPr="00A2551C" w:rsidR="000634C4">
        <w:rPr>
          <w:lang w:val="fr-FR"/>
        </w:rPr>
        <w:t>de cette mesure au</w:t>
      </w:r>
      <w:r w:rsidRPr="00A2551C" w:rsidR="00445F2A">
        <w:rPr>
          <w:lang w:val="fr-FR"/>
        </w:rPr>
        <w:t xml:space="preserve"> détenu concerné était nécessaire (paragraphe </w:t>
      </w:r>
      <w:r w:rsidRPr="00A2551C" w:rsidR="007A49CC">
        <w:rPr>
          <w:lang w:val="fr-FR"/>
        </w:rPr>
        <w:fldChar w:fldCharType="begin"/>
      </w:r>
      <w:r w:rsidRPr="00A2551C" w:rsidR="007A49CC">
        <w:rPr>
          <w:lang w:val="fr-FR"/>
        </w:rPr>
        <w:instrText xml:space="preserve"> REF coursup2 \h </w:instrText>
      </w:r>
      <w:r w:rsidRPr="00A2551C" w:rsidR="002506BF">
        <w:rPr>
          <w:lang w:val="fr-FR"/>
        </w:rPr>
        <w:instrText xml:space="preserve"> \* MERGEFORMAT </w:instrText>
      </w:r>
      <w:r w:rsidRPr="00A2551C" w:rsidR="007A49CC">
        <w:rPr>
          <w:lang w:val="fr-FR"/>
        </w:rPr>
      </w:r>
      <w:r w:rsidRPr="00A2551C" w:rsidR="007A49CC">
        <w:rPr>
          <w:lang w:val="fr-FR"/>
        </w:rPr>
        <w:fldChar w:fldCharType="separate"/>
      </w:r>
      <w:r w:rsidRPr="00A2551C" w:rsidR="00A2551C">
        <w:rPr>
          <w:noProof/>
          <w:lang w:val="fr-FR"/>
        </w:rPr>
        <w:t>45</w:t>
      </w:r>
      <w:r w:rsidRPr="00A2551C" w:rsidR="007A49CC">
        <w:rPr>
          <w:lang w:val="fr-FR"/>
        </w:rPr>
        <w:fldChar w:fldCharType="end"/>
      </w:r>
      <w:r w:rsidRPr="00A2551C" w:rsidR="00445F2A">
        <w:rPr>
          <w:lang w:val="fr-FR"/>
        </w:rPr>
        <w:t xml:space="preserve"> ci</w:t>
      </w:r>
      <w:r w:rsidRPr="00A2551C" w:rsidR="00445F2A">
        <w:rPr>
          <w:lang w:val="fr-FR"/>
        </w:rPr>
        <w:noBreakHyphen/>
        <w:t>dessus).</w:t>
      </w:r>
    </w:p>
    <w:p w:rsidRPr="00A2551C" w:rsidR="0076324D" w:rsidP="00A2551C" w:rsidRDefault="00CD1C06">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129</w:t>
      </w:r>
      <w:r w:rsidRPr="00A2551C">
        <w:rPr>
          <w:lang w:val="fr-FR"/>
        </w:rPr>
        <w:fldChar w:fldCharType="end"/>
      </w:r>
      <w:r w:rsidRPr="00A2551C">
        <w:rPr>
          <w:lang w:val="fr-FR"/>
        </w:rPr>
        <w:t>.  </w:t>
      </w:r>
      <w:r w:rsidRPr="00A2551C" w:rsidR="00AA46C8">
        <w:rPr>
          <w:lang w:val="fr-FR"/>
        </w:rPr>
        <w:t>L</w:t>
      </w:r>
      <w:r w:rsidRPr="00A2551C" w:rsidR="00D96B0C">
        <w:rPr>
          <w:lang w:val="fr-FR"/>
        </w:rPr>
        <w:t>a Cour estime que le</w:t>
      </w:r>
      <w:r w:rsidRPr="00A2551C" w:rsidR="00AA46C8">
        <w:rPr>
          <w:lang w:val="fr-FR"/>
        </w:rPr>
        <w:t xml:space="preserve"> cas du requérant en est l</w:t>
      </w:r>
      <w:r w:rsidRPr="00A2551C" w:rsidR="00A2551C">
        <w:rPr>
          <w:lang w:val="fr-FR"/>
        </w:rPr>
        <w:t>’</w:t>
      </w:r>
      <w:r w:rsidRPr="00A2551C" w:rsidR="00AA46C8">
        <w:rPr>
          <w:lang w:val="fr-FR"/>
        </w:rPr>
        <w:t xml:space="preserve">exemple. </w:t>
      </w:r>
      <w:r w:rsidRPr="00A2551C" w:rsidR="00D96B0C">
        <w:rPr>
          <w:lang w:val="fr-FR"/>
        </w:rPr>
        <w:t xml:space="preserve">Elle </w:t>
      </w:r>
      <w:r w:rsidRPr="00A2551C" w:rsidR="00D01C22">
        <w:rPr>
          <w:lang w:val="fr-FR"/>
        </w:rPr>
        <w:t>relève</w:t>
      </w:r>
      <w:r w:rsidRPr="00A2551C" w:rsidR="00D96B0C">
        <w:rPr>
          <w:lang w:val="fr-FR"/>
        </w:rPr>
        <w:t xml:space="preserve"> en effet que l</w:t>
      </w:r>
      <w:r w:rsidRPr="00A2551C" w:rsidR="00AA46C8">
        <w:rPr>
          <w:lang w:val="fr-FR"/>
        </w:rPr>
        <w:t>e Gouvernement n</w:t>
      </w:r>
      <w:r w:rsidRPr="00A2551C" w:rsidR="00A2551C">
        <w:rPr>
          <w:lang w:val="fr-FR"/>
        </w:rPr>
        <w:t>’</w:t>
      </w:r>
      <w:r w:rsidRPr="00A2551C" w:rsidR="00AA46C8">
        <w:rPr>
          <w:lang w:val="fr-FR"/>
        </w:rPr>
        <w:t xml:space="preserve">a pas démontré </w:t>
      </w:r>
      <w:r w:rsidRPr="00A2551C" w:rsidR="00366697">
        <w:rPr>
          <w:lang w:val="fr-FR"/>
        </w:rPr>
        <w:t>à l</w:t>
      </w:r>
      <w:r w:rsidRPr="00A2551C" w:rsidR="00A2551C">
        <w:rPr>
          <w:lang w:val="fr-FR"/>
        </w:rPr>
        <w:t>’</w:t>
      </w:r>
      <w:r w:rsidRPr="00A2551C" w:rsidR="00366697">
        <w:rPr>
          <w:lang w:val="fr-FR"/>
        </w:rPr>
        <w:t>aide</w:t>
      </w:r>
      <w:r w:rsidRPr="00A2551C" w:rsidR="00244CE4">
        <w:rPr>
          <w:lang w:val="fr-FR"/>
        </w:rPr>
        <w:t xml:space="preserve"> de documents pertinents </w:t>
      </w:r>
      <w:r w:rsidRPr="00A2551C" w:rsidR="00AA46C8">
        <w:rPr>
          <w:lang w:val="fr-FR"/>
        </w:rPr>
        <w:t xml:space="preserve">que </w:t>
      </w:r>
      <w:r w:rsidRPr="00A2551C" w:rsidR="001874E5">
        <w:rPr>
          <w:lang w:val="fr-FR"/>
        </w:rPr>
        <w:t>le</w:t>
      </w:r>
      <w:r w:rsidRPr="00A2551C" w:rsidR="00AB2793">
        <w:rPr>
          <w:lang w:val="fr-FR"/>
        </w:rPr>
        <w:t>s dispositions du</w:t>
      </w:r>
      <w:r w:rsidRPr="00A2551C" w:rsidR="001874E5">
        <w:rPr>
          <w:lang w:val="fr-FR"/>
        </w:rPr>
        <w:t xml:space="preserve"> </w:t>
      </w:r>
      <w:r w:rsidRPr="00A2551C" w:rsidR="00AB2793">
        <w:rPr>
          <w:lang w:val="fr-FR"/>
        </w:rPr>
        <w:t xml:space="preserve">droit interne exigeaient que le </w:t>
      </w:r>
      <w:r w:rsidRPr="00A2551C" w:rsidR="001874E5">
        <w:rPr>
          <w:lang w:val="fr-FR"/>
        </w:rPr>
        <w:t xml:space="preserve">placement de </w:t>
      </w:r>
      <w:r w:rsidRPr="00A2551C" w:rsidR="00AA46C8">
        <w:rPr>
          <w:lang w:val="fr-FR"/>
        </w:rPr>
        <w:t>l</w:t>
      </w:r>
      <w:r w:rsidRPr="00A2551C" w:rsidR="00A2551C">
        <w:rPr>
          <w:lang w:val="fr-FR"/>
        </w:rPr>
        <w:t>’</w:t>
      </w:r>
      <w:r w:rsidRPr="00A2551C" w:rsidR="00AA46C8">
        <w:rPr>
          <w:lang w:val="fr-FR"/>
        </w:rPr>
        <w:t xml:space="preserve">intéressé </w:t>
      </w:r>
      <w:r w:rsidRPr="00A2551C" w:rsidR="00244CE4">
        <w:rPr>
          <w:lang w:val="fr-FR"/>
        </w:rPr>
        <w:t xml:space="preserve">sous vidéosurveillance </w:t>
      </w:r>
      <w:r w:rsidRPr="00A2551C" w:rsidR="005B0078">
        <w:rPr>
          <w:lang w:val="fr-FR"/>
        </w:rPr>
        <w:t>soit</w:t>
      </w:r>
      <w:r w:rsidRPr="00A2551C" w:rsidR="00244CE4">
        <w:rPr>
          <w:lang w:val="fr-FR"/>
        </w:rPr>
        <w:t xml:space="preserve"> </w:t>
      </w:r>
      <w:r w:rsidRPr="00A2551C" w:rsidR="001874E5">
        <w:rPr>
          <w:lang w:val="fr-FR"/>
        </w:rPr>
        <w:t xml:space="preserve">effectué </w:t>
      </w:r>
      <w:r w:rsidRPr="00A2551C">
        <w:rPr>
          <w:lang w:val="fr-FR"/>
        </w:rPr>
        <w:t>sur la base d</w:t>
      </w:r>
      <w:r w:rsidRPr="00A2551C" w:rsidR="00A2551C">
        <w:rPr>
          <w:lang w:val="fr-FR"/>
        </w:rPr>
        <w:t>’</w:t>
      </w:r>
      <w:r w:rsidRPr="00A2551C" w:rsidR="001874E5">
        <w:rPr>
          <w:lang w:val="fr-FR"/>
        </w:rPr>
        <w:t xml:space="preserve">une décision </w:t>
      </w:r>
      <w:r w:rsidRPr="00A2551C" w:rsidR="00D01C22">
        <w:rPr>
          <w:lang w:val="fr-FR"/>
        </w:rPr>
        <w:t xml:space="preserve">accompagnée </w:t>
      </w:r>
      <w:r w:rsidRPr="00A2551C" w:rsidR="001874E5">
        <w:rPr>
          <w:lang w:val="fr-FR"/>
        </w:rPr>
        <w:t>d</w:t>
      </w:r>
      <w:r w:rsidRPr="00A2551C" w:rsidR="00A2551C">
        <w:rPr>
          <w:lang w:val="fr-FR"/>
        </w:rPr>
        <w:t>’</w:t>
      </w:r>
      <w:r w:rsidRPr="00A2551C" w:rsidR="001874E5">
        <w:rPr>
          <w:lang w:val="fr-FR"/>
        </w:rPr>
        <w:t>une motivation explicite, c</w:t>
      </w:r>
      <w:r w:rsidRPr="00A2551C" w:rsidR="00A2551C">
        <w:rPr>
          <w:lang w:val="fr-FR"/>
        </w:rPr>
        <w:t>’</w:t>
      </w:r>
      <w:r w:rsidRPr="00A2551C" w:rsidR="001874E5">
        <w:rPr>
          <w:lang w:val="fr-FR"/>
        </w:rPr>
        <w:t xml:space="preserve">est-à-dire </w:t>
      </w:r>
      <w:r w:rsidRPr="00A2551C" w:rsidR="00D01C22">
        <w:rPr>
          <w:lang w:val="fr-FR"/>
        </w:rPr>
        <w:t xml:space="preserve">analysant </w:t>
      </w:r>
      <w:r w:rsidRPr="00A2551C" w:rsidR="001874E5">
        <w:rPr>
          <w:lang w:val="fr-FR"/>
        </w:rPr>
        <w:t>les raisons de fait justifi</w:t>
      </w:r>
      <w:r w:rsidRPr="00A2551C" w:rsidR="00AB2793">
        <w:rPr>
          <w:lang w:val="fr-FR"/>
        </w:rPr>
        <w:t>a</w:t>
      </w:r>
      <w:r w:rsidRPr="00A2551C" w:rsidR="001874E5">
        <w:rPr>
          <w:lang w:val="fr-FR"/>
        </w:rPr>
        <w:t>nt</w:t>
      </w:r>
      <w:r w:rsidRPr="00A2551C" w:rsidR="001B1252">
        <w:rPr>
          <w:lang w:val="fr-FR"/>
        </w:rPr>
        <w:t xml:space="preserve"> </w:t>
      </w:r>
      <w:r w:rsidRPr="00A2551C" w:rsidR="00D01C22">
        <w:rPr>
          <w:lang w:val="fr-FR"/>
        </w:rPr>
        <w:t xml:space="preserve">cette décision </w:t>
      </w:r>
      <w:r w:rsidRPr="00A2551C" w:rsidR="00055D55">
        <w:rPr>
          <w:lang w:val="fr-FR"/>
        </w:rPr>
        <w:t>eu ég</w:t>
      </w:r>
      <w:r w:rsidRPr="00A2551C" w:rsidR="001B1252">
        <w:rPr>
          <w:lang w:val="fr-FR"/>
        </w:rPr>
        <w:t xml:space="preserve">ard </w:t>
      </w:r>
      <w:r w:rsidRPr="00A2551C" w:rsidR="00055D55">
        <w:rPr>
          <w:lang w:val="fr-FR"/>
        </w:rPr>
        <w:t>au</w:t>
      </w:r>
      <w:r w:rsidRPr="00A2551C" w:rsidR="001B1252">
        <w:rPr>
          <w:lang w:val="fr-FR"/>
        </w:rPr>
        <w:t xml:space="preserve"> but poursuivi</w:t>
      </w:r>
      <w:r w:rsidRPr="00A2551C" w:rsidR="00027B1B">
        <w:rPr>
          <w:lang w:val="fr-FR"/>
        </w:rPr>
        <w:t xml:space="preserve">, que la mesure </w:t>
      </w:r>
      <w:r w:rsidRPr="00A2551C" w:rsidR="00AB2793">
        <w:rPr>
          <w:lang w:val="fr-FR"/>
        </w:rPr>
        <w:t xml:space="preserve">soit </w:t>
      </w:r>
      <w:r w:rsidRPr="00A2551C" w:rsidR="00027B1B">
        <w:rPr>
          <w:lang w:val="fr-FR"/>
        </w:rPr>
        <w:t>limitée dans le temps</w:t>
      </w:r>
      <w:r w:rsidRPr="00A2551C" w:rsidR="002F0263">
        <w:rPr>
          <w:lang w:val="fr-FR"/>
        </w:rPr>
        <w:t xml:space="preserve"> </w:t>
      </w:r>
      <w:r w:rsidRPr="00A2551C" w:rsidR="001874E5">
        <w:rPr>
          <w:lang w:val="fr-FR"/>
        </w:rPr>
        <w:t>ou que</w:t>
      </w:r>
      <w:r w:rsidRPr="00A2551C" w:rsidR="001B1252">
        <w:rPr>
          <w:lang w:val="fr-FR"/>
        </w:rPr>
        <w:t xml:space="preserve"> </w:t>
      </w:r>
      <w:r w:rsidRPr="00A2551C" w:rsidR="001874E5">
        <w:rPr>
          <w:lang w:val="fr-FR"/>
        </w:rPr>
        <w:t>les autorités pénitentiaires aient l</w:t>
      </w:r>
      <w:r w:rsidRPr="00A2551C" w:rsidR="00A2551C">
        <w:rPr>
          <w:lang w:val="fr-FR"/>
        </w:rPr>
        <w:t>’</w:t>
      </w:r>
      <w:r w:rsidRPr="00A2551C" w:rsidR="001874E5">
        <w:rPr>
          <w:lang w:val="fr-FR"/>
        </w:rPr>
        <w:t>obligation d</w:t>
      </w:r>
      <w:r w:rsidRPr="00A2551C" w:rsidR="00A2551C">
        <w:rPr>
          <w:lang w:val="fr-FR"/>
        </w:rPr>
        <w:t>’</w:t>
      </w:r>
      <w:r w:rsidRPr="00A2551C" w:rsidR="00027B1B">
        <w:rPr>
          <w:lang w:val="fr-FR"/>
        </w:rPr>
        <w:t>en r</w:t>
      </w:r>
      <w:r w:rsidRPr="00A2551C" w:rsidR="00C660C3">
        <w:rPr>
          <w:lang w:val="fr-FR"/>
        </w:rPr>
        <w:t>éexaminer régulièrement le bien</w:t>
      </w:r>
      <w:r w:rsidRPr="00A2551C" w:rsidR="00C660C3">
        <w:rPr>
          <w:lang w:val="fr-FR"/>
        </w:rPr>
        <w:noBreakHyphen/>
      </w:r>
      <w:r w:rsidRPr="00A2551C" w:rsidR="00027B1B">
        <w:rPr>
          <w:lang w:val="fr-FR"/>
        </w:rPr>
        <w:t>fondé</w:t>
      </w:r>
      <w:r w:rsidRPr="00A2551C" w:rsidR="001B1252">
        <w:rPr>
          <w:lang w:val="fr-FR"/>
        </w:rPr>
        <w:t xml:space="preserve">. </w:t>
      </w:r>
      <w:r w:rsidRPr="00A2551C" w:rsidR="00D01C22">
        <w:rPr>
          <w:lang w:val="fr-FR"/>
        </w:rPr>
        <w:t>Elle note</w:t>
      </w:r>
      <w:r w:rsidRPr="00A2551C" w:rsidR="001B1252">
        <w:rPr>
          <w:lang w:val="fr-FR"/>
        </w:rPr>
        <w:t xml:space="preserve"> dans ce contexte que </w:t>
      </w:r>
      <w:r w:rsidRPr="00A2551C">
        <w:rPr>
          <w:lang w:val="fr-FR"/>
        </w:rPr>
        <w:t>l</w:t>
      </w:r>
      <w:r w:rsidRPr="00A2551C" w:rsidR="00A2551C">
        <w:rPr>
          <w:lang w:val="fr-FR"/>
        </w:rPr>
        <w:t>’</w:t>
      </w:r>
      <w:r w:rsidRPr="00A2551C">
        <w:rPr>
          <w:lang w:val="fr-FR"/>
        </w:rPr>
        <w:t xml:space="preserve">affaire </w:t>
      </w:r>
      <w:r w:rsidRPr="00A2551C">
        <w:rPr>
          <w:i/>
          <w:iCs/>
          <w:lang w:val="fr-FR"/>
        </w:rPr>
        <w:t>Van der Graaf</w:t>
      </w:r>
      <w:r w:rsidRPr="00A2551C">
        <w:rPr>
          <w:lang w:val="fr-FR"/>
        </w:rPr>
        <w:t xml:space="preserve"> </w:t>
      </w:r>
      <w:r w:rsidRPr="00A2551C" w:rsidR="001B1252">
        <w:rPr>
          <w:lang w:val="fr-FR"/>
        </w:rPr>
        <w:t>cité</w:t>
      </w:r>
      <w:r w:rsidRPr="00A2551C" w:rsidR="005C04FA">
        <w:rPr>
          <w:lang w:val="fr-FR"/>
        </w:rPr>
        <w:t>e</w:t>
      </w:r>
      <w:r w:rsidRPr="00A2551C" w:rsidR="001B1252">
        <w:rPr>
          <w:lang w:val="fr-FR"/>
        </w:rPr>
        <w:t xml:space="preserve"> par le Gouvernement se distingue du cas d</w:t>
      </w:r>
      <w:r w:rsidRPr="00A2551C" w:rsidR="00A2551C">
        <w:rPr>
          <w:lang w:val="fr-FR"/>
        </w:rPr>
        <w:t>’</w:t>
      </w:r>
      <w:r w:rsidRPr="00A2551C" w:rsidR="001B1252">
        <w:rPr>
          <w:lang w:val="fr-FR"/>
        </w:rPr>
        <w:t xml:space="preserve">espèce </w:t>
      </w:r>
      <w:r w:rsidRPr="00A2551C" w:rsidR="00BE7FE1">
        <w:rPr>
          <w:lang w:val="fr-FR"/>
        </w:rPr>
        <w:t xml:space="preserve">puisque, </w:t>
      </w:r>
      <w:r w:rsidRPr="00A2551C" w:rsidR="001B1252">
        <w:rPr>
          <w:lang w:val="fr-FR"/>
        </w:rPr>
        <w:t>dans la mesure où</w:t>
      </w:r>
      <w:r w:rsidRPr="00A2551C" w:rsidR="00BE7FE1">
        <w:rPr>
          <w:lang w:val="fr-FR"/>
        </w:rPr>
        <w:t xml:space="preserve"> il s</w:t>
      </w:r>
      <w:r w:rsidRPr="00A2551C" w:rsidR="00A2551C">
        <w:rPr>
          <w:lang w:val="fr-FR"/>
        </w:rPr>
        <w:t>’</w:t>
      </w:r>
      <w:r w:rsidRPr="00A2551C" w:rsidR="00BE7FE1">
        <w:rPr>
          <w:lang w:val="fr-FR"/>
        </w:rPr>
        <w:t xml:space="preserve">agissait dans </w:t>
      </w:r>
      <w:r w:rsidRPr="00A2551C" w:rsidR="00D01C22">
        <w:rPr>
          <w:lang w:val="fr-FR"/>
        </w:rPr>
        <w:t>l</w:t>
      </w:r>
      <w:r w:rsidRPr="00A2551C" w:rsidR="00A2551C">
        <w:rPr>
          <w:lang w:val="fr-FR"/>
        </w:rPr>
        <w:t>’</w:t>
      </w:r>
      <w:r w:rsidRPr="00A2551C" w:rsidR="00BE7FE1">
        <w:rPr>
          <w:lang w:val="fr-FR"/>
        </w:rPr>
        <w:t xml:space="preserve">affaire </w:t>
      </w:r>
      <w:r w:rsidRPr="00A2551C" w:rsidR="00D01C22">
        <w:rPr>
          <w:lang w:val="fr-FR"/>
        </w:rPr>
        <w:t xml:space="preserve">précitée </w:t>
      </w:r>
      <w:r w:rsidRPr="00A2551C" w:rsidR="00BE7FE1">
        <w:rPr>
          <w:lang w:val="fr-FR"/>
        </w:rPr>
        <w:t xml:space="preserve">du </w:t>
      </w:r>
      <w:r w:rsidRPr="00A2551C" w:rsidR="005C04FA">
        <w:rPr>
          <w:lang w:val="fr-FR"/>
        </w:rPr>
        <w:t>placement d</w:t>
      </w:r>
      <w:r w:rsidRPr="00A2551C" w:rsidR="00A2551C">
        <w:rPr>
          <w:lang w:val="fr-FR"/>
        </w:rPr>
        <w:t>’</w:t>
      </w:r>
      <w:r w:rsidRPr="00A2551C" w:rsidR="005C04FA">
        <w:rPr>
          <w:lang w:val="fr-FR"/>
        </w:rPr>
        <w:t>un</w:t>
      </w:r>
      <w:r w:rsidRPr="00A2551C" w:rsidR="001B1252">
        <w:rPr>
          <w:lang w:val="fr-FR"/>
        </w:rPr>
        <w:t xml:space="preserve"> détenu sous vidéosurveillance aux fins de la prévention de suicide</w:t>
      </w:r>
      <w:r w:rsidRPr="00A2551C" w:rsidR="00BE7FE1">
        <w:rPr>
          <w:lang w:val="fr-FR"/>
        </w:rPr>
        <w:t>, l</w:t>
      </w:r>
      <w:r w:rsidRPr="00A2551C" w:rsidR="004437F3">
        <w:rPr>
          <w:lang w:val="fr-FR"/>
        </w:rPr>
        <w:t xml:space="preserve">es dispositions législatives et réglementaires </w:t>
      </w:r>
      <w:r w:rsidRPr="00A2551C" w:rsidR="00BE7FE1">
        <w:rPr>
          <w:lang w:val="fr-FR"/>
        </w:rPr>
        <w:t>interne</w:t>
      </w:r>
      <w:r w:rsidRPr="00A2551C" w:rsidR="004437F3">
        <w:rPr>
          <w:lang w:val="fr-FR"/>
        </w:rPr>
        <w:t>s</w:t>
      </w:r>
      <w:r w:rsidRPr="00A2551C" w:rsidR="00BE7FE1">
        <w:rPr>
          <w:lang w:val="fr-FR"/>
        </w:rPr>
        <w:t xml:space="preserve"> régissant cette procédure était</w:t>
      </w:r>
      <w:r w:rsidRPr="00A2551C">
        <w:rPr>
          <w:lang w:val="fr-FR"/>
        </w:rPr>
        <w:t xml:space="preserve"> publiquement disponible</w:t>
      </w:r>
      <w:r w:rsidRPr="00A2551C" w:rsidR="004437F3">
        <w:rPr>
          <w:lang w:val="fr-FR"/>
        </w:rPr>
        <w:t>s</w:t>
      </w:r>
      <w:r w:rsidRPr="00A2551C">
        <w:rPr>
          <w:lang w:val="fr-FR"/>
        </w:rPr>
        <w:t xml:space="preserve"> et suffisamment détaillé</w:t>
      </w:r>
      <w:r w:rsidRPr="00A2551C" w:rsidR="00BE7FE1">
        <w:rPr>
          <w:lang w:val="fr-FR"/>
        </w:rPr>
        <w:t>e</w:t>
      </w:r>
      <w:r w:rsidRPr="00A2551C" w:rsidR="004437F3">
        <w:rPr>
          <w:lang w:val="fr-FR"/>
        </w:rPr>
        <w:t>s</w:t>
      </w:r>
      <w:r w:rsidRPr="00A2551C" w:rsidR="00110AFA">
        <w:rPr>
          <w:lang w:val="fr-FR"/>
        </w:rPr>
        <w:t xml:space="preserve">, </w:t>
      </w:r>
      <w:r w:rsidRPr="00A2551C" w:rsidR="00BE7FE1">
        <w:rPr>
          <w:lang w:val="fr-FR"/>
        </w:rPr>
        <w:t>le</w:t>
      </w:r>
      <w:r w:rsidRPr="00A2551C" w:rsidR="00110AFA">
        <w:rPr>
          <w:lang w:val="fr-FR"/>
        </w:rPr>
        <w:t xml:space="preserve"> placement</w:t>
      </w:r>
      <w:r w:rsidRPr="00A2551C" w:rsidR="001B1252">
        <w:rPr>
          <w:lang w:val="fr-FR"/>
        </w:rPr>
        <w:t xml:space="preserve"> </w:t>
      </w:r>
      <w:r w:rsidRPr="00A2551C" w:rsidR="00BE7FE1">
        <w:rPr>
          <w:lang w:val="fr-FR"/>
        </w:rPr>
        <w:t>en question était</w:t>
      </w:r>
      <w:r w:rsidRPr="00A2551C">
        <w:rPr>
          <w:lang w:val="fr-FR"/>
        </w:rPr>
        <w:t xml:space="preserve"> effectué sur la base d</w:t>
      </w:r>
      <w:r w:rsidRPr="00A2551C" w:rsidR="00A2551C">
        <w:rPr>
          <w:lang w:val="fr-FR"/>
        </w:rPr>
        <w:t>’</w:t>
      </w:r>
      <w:r w:rsidRPr="00A2551C">
        <w:rPr>
          <w:lang w:val="fr-FR"/>
        </w:rPr>
        <w:t xml:space="preserve">une décision motivée, accompagnée </w:t>
      </w:r>
      <w:r w:rsidRPr="00A2551C" w:rsidR="00C73B24">
        <w:rPr>
          <w:lang w:val="fr-FR"/>
        </w:rPr>
        <w:t xml:space="preserve">le cas échéant </w:t>
      </w:r>
      <w:r w:rsidRPr="00A2551C">
        <w:rPr>
          <w:lang w:val="fr-FR"/>
        </w:rPr>
        <w:t>d</w:t>
      </w:r>
      <w:r w:rsidRPr="00A2551C" w:rsidR="00A2551C">
        <w:rPr>
          <w:lang w:val="fr-FR"/>
        </w:rPr>
        <w:t>’</w:t>
      </w:r>
      <w:r w:rsidRPr="00A2551C">
        <w:rPr>
          <w:lang w:val="fr-FR"/>
        </w:rPr>
        <w:t>un avis médical, pour une durée lim</w:t>
      </w:r>
      <w:r w:rsidRPr="00A2551C" w:rsidR="00110AFA">
        <w:rPr>
          <w:lang w:val="fr-FR"/>
        </w:rPr>
        <w:t>itée dans le temps et reconduit</w:t>
      </w:r>
      <w:r w:rsidRPr="00A2551C">
        <w:rPr>
          <w:lang w:val="fr-FR"/>
        </w:rPr>
        <w:t xml:space="preserve"> sur la base d</w:t>
      </w:r>
      <w:r w:rsidRPr="00A2551C" w:rsidR="00A2551C">
        <w:rPr>
          <w:lang w:val="fr-FR"/>
        </w:rPr>
        <w:t>’</w:t>
      </w:r>
      <w:r w:rsidRPr="00A2551C">
        <w:rPr>
          <w:lang w:val="fr-FR"/>
        </w:rPr>
        <w:t>une réévaluation du bien</w:t>
      </w:r>
      <w:r w:rsidRPr="00A2551C">
        <w:rPr>
          <w:lang w:val="fr-FR"/>
        </w:rPr>
        <w:noBreakHyphen/>
        <w:t>fondé de la mesure.</w:t>
      </w:r>
    </w:p>
    <w:p w:rsidRPr="00A2551C" w:rsidR="0076324D" w:rsidP="00A2551C" w:rsidRDefault="001255F5">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130</w:t>
      </w:r>
      <w:r w:rsidRPr="00A2551C">
        <w:rPr>
          <w:lang w:val="fr-FR"/>
        </w:rPr>
        <w:fldChar w:fldCharType="end"/>
      </w:r>
      <w:r w:rsidRPr="00A2551C">
        <w:rPr>
          <w:lang w:val="fr-FR"/>
        </w:rPr>
        <w:t>.  </w:t>
      </w:r>
      <w:r w:rsidRPr="00A2551C" w:rsidR="00095601">
        <w:rPr>
          <w:lang w:val="fr-FR"/>
        </w:rPr>
        <w:t>Elle</w:t>
      </w:r>
      <w:r w:rsidRPr="00A2551C">
        <w:rPr>
          <w:lang w:val="fr-FR"/>
        </w:rPr>
        <w:t xml:space="preserve"> </w:t>
      </w:r>
      <w:r w:rsidRPr="00A2551C" w:rsidR="00462211">
        <w:rPr>
          <w:lang w:val="fr-FR"/>
        </w:rPr>
        <w:t>considère dès lors que le droit russe n</w:t>
      </w:r>
      <w:r w:rsidRPr="00A2551C" w:rsidR="00A2551C">
        <w:rPr>
          <w:lang w:val="fr-FR"/>
        </w:rPr>
        <w:t>’</w:t>
      </w:r>
      <w:r w:rsidRPr="00A2551C" w:rsidR="00462211">
        <w:rPr>
          <w:lang w:val="fr-FR"/>
        </w:rPr>
        <w:t xml:space="preserve">est pas suffisamment accessible et prévisible </w:t>
      </w:r>
      <w:r w:rsidRPr="00A2551C" w:rsidR="00095601">
        <w:rPr>
          <w:lang w:val="fr-FR"/>
        </w:rPr>
        <w:t>car il n</w:t>
      </w:r>
      <w:r w:rsidRPr="00A2551C" w:rsidR="00A2551C">
        <w:rPr>
          <w:lang w:val="fr-FR"/>
        </w:rPr>
        <w:t>’</w:t>
      </w:r>
      <w:r w:rsidRPr="00A2551C" w:rsidR="00095601">
        <w:rPr>
          <w:lang w:val="fr-FR"/>
        </w:rPr>
        <w:t xml:space="preserve">indique </w:t>
      </w:r>
      <w:r w:rsidRPr="00A2551C" w:rsidR="00462211">
        <w:rPr>
          <w:lang w:val="fr-FR"/>
        </w:rPr>
        <w:t>pas avec assez de clarté l</w:t>
      </w:r>
      <w:r w:rsidRPr="00A2551C" w:rsidR="00A2551C">
        <w:rPr>
          <w:lang w:val="fr-FR"/>
        </w:rPr>
        <w:t>’</w:t>
      </w:r>
      <w:r w:rsidRPr="00A2551C" w:rsidR="00462211">
        <w:rPr>
          <w:lang w:val="fr-FR"/>
        </w:rPr>
        <w:t>étendue et les modalités d</w:t>
      </w:r>
      <w:r w:rsidRPr="00A2551C" w:rsidR="00A2551C">
        <w:rPr>
          <w:lang w:val="fr-FR"/>
        </w:rPr>
        <w:t>’</w:t>
      </w:r>
      <w:r w:rsidRPr="00A2551C" w:rsidR="00462211">
        <w:rPr>
          <w:lang w:val="fr-FR"/>
        </w:rPr>
        <w:t>exercice du pouvoir d</w:t>
      </w:r>
      <w:r w:rsidRPr="00A2551C" w:rsidR="00A2551C">
        <w:rPr>
          <w:lang w:val="fr-FR"/>
        </w:rPr>
        <w:t>’</w:t>
      </w:r>
      <w:r w:rsidRPr="00A2551C" w:rsidR="00462211">
        <w:rPr>
          <w:lang w:val="fr-FR"/>
        </w:rPr>
        <w:t xml:space="preserve">appréciation </w:t>
      </w:r>
      <w:r w:rsidRPr="00A2551C" w:rsidR="0038295D">
        <w:rPr>
          <w:lang w:val="fr-FR"/>
        </w:rPr>
        <w:t xml:space="preserve">des </w:t>
      </w:r>
      <w:r w:rsidRPr="00A2551C" w:rsidR="00462211">
        <w:rPr>
          <w:lang w:val="fr-FR"/>
        </w:rPr>
        <w:t xml:space="preserve">autorités internes dans le domaine de la vidéosurveillance de détenus condamnés </w:t>
      </w:r>
      <w:r w:rsidRPr="00A2551C" w:rsidR="0038295D">
        <w:rPr>
          <w:lang w:val="fr-FR"/>
        </w:rPr>
        <w:t>purgeant une peine privative de liberté</w:t>
      </w:r>
      <w:r w:rsidRPr="00A2551C" w:rsidR="00462211">
        <w:rPr>
          <w:lang w:val="fr-FR"/>
        </w:rPr>
        <w:t>. Elle conclut que le requérant n</w:t>
      </w:r>
      <w:r w:rsidRPr="00A2551C" w:rsidR="00A2551C">
        <w:rPr>
          <w:lang w:val="fr-FR"/>
        </w:rPr>
        <w:t>’</w:t>
      </w:r>
      <w:r w:rsidRPr="00A2551C" w:rsidR="00462211">
        <w:rPr>
          <w:lang w:val="fr-FR"/>
        </w:rPr>
        <w:t>a pas joui du degré minimal de protection voulu par la prééminence du droit dans une société démocratique et qu</w:t>
      </w:r>
      <w:r w:rsidRPr="00A2551C" w:rsidR="00A2551C">
        <w:rPr>
          <w:lang w:val="fr-FR"/>
        </w:rPr>
        <w:t>’</w:t>
      </w:r>
      <w:r w:rsidRPr="00A2551C" w:rsidR="00462211">
        <w:rPr>
          <w:lang w:val="fr-FR"/>
        </w:rPr>
        <w:t>il y a eu violation de l</w:t>
      </w:r>
      <w:r w:rsidRPr="00A2551C" w:rsidR="00A2551C">
        <w:rPr>
          <w:lang w:val="fr-FR"/>
        </w:rPr>
        <w:t>’</w:t>
      </w:r>
      <w:r w:rsidRPr="00A2551C" w:rsidR="00462211">
        <w:rPr>
          <w:lang w:val="fr-FR"/>
        </w:rPr>
        <w:t xml:space="preserve">article 8 de la Convention, </w:t>
      </w:r>
      <w:r w:rsidRPr="00A2551C">
        <w:rPr>
          <w:lang w:val="fr-FR"/>
        </w:rPr>
        <w:t>sans qu</w:t>
      </w:r>
      <w:r w:rsidRPr="00A2551C" w:rsidR="00A2551C">
        <w:rPr>
          <w:lang w:val="fr-FR"/>
        </w:rPr>
        <w:t>’</w:t>
      </w:r>
      <w:r w:rsidRPr="00A2551C">
        <w:rPr>
          <w:lang w:val="fr-FR"/>
        </w:rPr>
        <w:t xml:space="preserve">il </w:t>
      </w:r>
      <w:r w:rsidRPr="00A2551C" w:rsidR="00462211">
        <w:rPr>
          <w:lang w:val="fr-FR"/>
        </w:rPr>
        <w:t xml:space="preserve">soit </w:t>
      </w:r>
      <w:r w:rsidRPr="00A2551C">
        <w:rPr>
          <w:lang w:val="fr-FR"/>
        </w:rPr>
        <w:t xml:space="preserve">nécessaire de se prononcer sur les autres conditions posées par </w:t>
      </w:r>
      <w:r w:rsidRPr="00A2551C" w:rsidR="00F20A3B">
        <w:rPr>
          <w:lang w:val="fr-FR"/>
        </w:rPr>
        <w:t>cette disposition</w:t>
      </w:r>
      <w:r w:rsidRPr="00A2551C">
        <w:rPr>
          <w:lang w:val="fr-FR"/>
        </w:rPr>
        <w:t>, à savoir que l</w:t>
      </w:r>
      <w:r w:rsidRPr="00A2551C" w:rsidR="00A2551C">
        <w:rPr>
          <w:lang w:val="fr-FR"/>
        </w:rPr>
        <w:t>’</w:t>
      </w:r>
      <w:r w:rsidRPr="00A2551C">
        <w:rPr>
          <w:lang w:val="fr-FR"/>
        </w:rPr>
        <w:t>ingérence doit viser un but légitime et être nécessaire, dans une société démocratique.</w:t>
      </w:r>
    </w:p>
    <w:p w:rsidRPr="00A2551C" w:rsidR="00E77CB3" w:rsidP="00A2551C" w:rsidRDefault="00657348">
      <w:pPr>
        <w:pStyle w:val="ECHRHeading1"/>
        <w:rPr>
          <w:lang w:val="fr-FR"/>
        </w:rPr>
      </w:pPr>
      <w:r w:rsidRPr="00A2551C">
        <w:rPr>
          <w:lang w:val="fr-FR"/>
        </w:rPr>
        <w:t>V</w:t>
      </w:r>
      <w:r w:rsidRPr="00A2551C" w:rsidR="00E77CB3">
        <w:rPr>
          <w:lang w:val="fr-FR"/>
        </w:rPr>
        <w:t>.  SUR L</w:t>
      </w:r>
      <w:r w:rsidRPr="00A2551C" w:rsidR="00A2551C">
        <w:rPr>
          <w:lang w:val="fr-FR"/>
        </w:rPr>
        <w:t>’</w:t>
      </w:r>
      <w:r w:rsidRPr="00A2551C" w:rsidR="00E77CB3">
        <w:rPr>
          <w:lang w:val="fr-FR"/>
        </w:rPr>
        <w:t>APPLICATION DE L</w:t>
      </w:r>
      <w:r w:rsidRPr="00A2551C" w:rsidR="00A2551C">
        <w:rPr>
          <w:lang w:val="fr-FR"/>
        </w:rPr>
        <w:t>’</w:t>
      </w:r>
      <w:r w:rsidRPr="00A2551C" w:rsidR="00E77CB3">
        <w:rPr>
          <w:lang w:val="fr-FR"/>
        </w:rPr>
        <w:t>ARTICLE 41 DE LA CONVENTION</w:t>
      </w:r>
    </w:p>
    <w:p w:rsidRPr="00A2551C" w:rsidR="00E77CB3"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131</w:t>
      </w:r>
      <w:r w:rsidRPr="00A2551C">
        <w:rPr>
          <w:lang w:val="fr-FR"/>
        </w:rPr>
        <w:fldChar w:fldCharType="end"/>
      </w:r>
      <w:r w:rsidRPr="00A2551C" w:rsidR="00E77CB3">
        <w:rPr>
          <w:lang w:val="fr-FR"/>
        </w:rPr>
        <w:t>.  Aux termes de l</w:t>
      </w:r>
      <w:r w:rsidRPr="00A2551C" w:rsidR="00A2551C">
        <w:rPr>
          <w:lang w:val="fr-FR"/>
        </w:rPr>
        <w:t>’</w:t>
      </w:r>
      <w:r w:rsidRPr="00A2551C" w:rsidR="00E77CB3">
        <w:rPr>
          <w:lang w:val="fr-FR"/>
        </w:rPr>
        <w:t>article 41 de la Convention,</w:t>
      </w:r>
    </w:p>
    <w:p w:rsidRPr="00A2551C" w:rsidR="00E77CB3" w:rsidP="00A2551C" w:rsidRDefault="00E77CB3">
      <w:pPr>
        <w:pStyle w:val="ECHRParaQuote"/>
        <w:rPr>
          <w:lang w:val="fr-FR"/>
        </w:rPr>
      </w:pPr>
      <w:r w:rsidRPr="00A2551C">
        <w:rPr>
          <w:lang w:val="fr-FR"/>
        </w:rPr>
        <w:t>« Si la Cour déclare qu</w:t>
      </w:r>
      <w:r w:rsidRPr="00A2551C" w:rsidR="00A2551C">
        <w:rPr>
          <w:lang w:val="fr-FR"/>
        </w:rPr>
        <w:t>’</w:t>
      </w:r>
      <w:r w:rsidRPr="00A2551C">
        <w:rPr>
          <w:lang w:val="fr-FR"/>
        </w:rPr>
        <w:t>il y a eu violation de la Convention ou de ses Protocoles, et si le droit interne de la Haute Partie contractante ne permet d</w:t>
      </w:r>
      <w:r w:rsidRPr="00A2551C" w:rsidR="00A2551C">
        <w:rPr>
          <w:lang w:val="fr-FR"/>
        </w:rPr>
        <w:t>’</w:t>
      </w:r>
      <w:r w:rsidRPr="00A2551C">
        <w:rPr>
          <w:lang w:val="fr-FR"/>
        </w:rPr>
        <w:t>effacer qu</w:t>
      </w:r>
      <w:r w:rsidRPr="00A2551C" w:rsidR="00A2551C">
        <w:rPr>
          <w:lang w:val="fr-FR"/>
        </w:rPr>
        <w:t>’</w:t>
      </w:r>
      <w:r w:rsidRPr="00A2551C">
        <w:rPr>
          <w:lang w:val="fr-FR"/>
        </w:rPr>
        <w:t>imparfaitement les conséquences de cette violation, la Cour accorde à la partie lésée, s</w:t>
      </w:r>
      <w:r w:rsidRPr="00A2551C" w:rsidR="00A2551C">
        <w:rPr>
          <w:lang w:val="fr-FR"/>
        </w:rPr>
        <w:t>’</w:t>
      </w:r>
      <w:r w:rsidRPr="00A2551C">
        <w:rPr>
          <w:lang w:val="fr-FR"/>
        </w:rPr>
        <w:t>il y a lieu, une satisfaction équitable. »</w:t>
      </w:r>
    </w:p>
    <w:p w:rsidRPr="00A2551C" w:rsidR="00E77CB3" w:rsidP="00A2551C" w:rsidRDefault="00E77CB3">
      <w:pPr>
        <w:pStyle w:val="ECHRHeading2"/>
        <w:rPr>
          <w:lang w:val="fr-FR"/>
        </w:rPr>
      </w:pPr>
      <w:r w:rsidRPr="00A2551C">
        <w:rPr>
          <w:lang w:val="fr-FR"/>
        </w:rPr>
        <w:t>A.  Dommage</w:t>
      </w:r>
    </w:p>
    <w:p w:rsidRPr="00A2551C" w:rsidR="00163CB4" w:rsidP="00A2551C" w:rsidRDefault="00D733D1">
      <w:pPr>
        <w:pStyle w:val="ECHRPara"/>
        <w:keepNext/>
        <w:keepLines/>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132</w:t>
      </w:r>
      <w:r w:rsidRPr="00A2551C">
        <w:rPr>
          <w:lang w:val="fr-FR"/>
        </w:rPr>
        <w:fldChar w:fldCharType="end"/>
      </w:r>
      <w:r w:rsidRPr="00A2551C" w:rsidR="00E77CB3">
        <w:rPr>
          <w:lang w:val="fr-FR"/>
        </w:rPr>
        <w:t>.  </w:t>
      </w:r>
      <w:r w:rsidRPr="00A2551C">
        <w:rPr>
          <w:lang w:val="fr-FR"/>
        </w:rPr>
        <w:t>Le requérant</w:t>
      </w:r>
      <w:r w:rsidRPr="00A2551C" w:rsidR="00163CB4">
        <w:rPr>
          <w:lang w:val="fr-FR"/>
        </w:rPr>
        <w:t xml:space="preserve"> réclame </w:t>
      </w:r>
      <w:r w:rsidRPr="00A2551C" w:rsidR="00BA4734">
        <w:rPr>
          <w:lang w:val="fr-FR"/>
        </w:rPr>
        <w:t>10 000</w:t>
      </w:r>
      <w:r w:rsidRPr="00A2551C" w:rsidR="00163CB4">
        <w:rPr>
          <w:lang w:val="fr-FR"/>
        </w:rPr>
        <w:t xml:space="preserve"> eur</w:t>
      </w:r>
      <w:r w:rsidRPr="00A2551C" w:rsidR="00E45732">
        <w:rPr>
          <w:lang w:val="fr-FR"/>
        </w:rPr>
        <w:t xml:space="preserve">os (EUR) au titre du préjudice </w:t>
      </w:r>
      <w:r w:rsidRPr="00A2551C" w:rsidR="00163CB4">
        <w:rPr>
          <w:lang w:val="fr-FR"/>
        </w:rPr>
        <w:t>moral qu</w:t>
      </w:r>
      <w:r w:rsidRPr="00A2551C" w:rsidR="00A2551C">
        <w:rPr>
          <w:lang w:val="fr-FR"/>
        </w:rPr>
        <w:t>’</w:t>
      </w:r>
      <w:r w:rsidRPr="00A2551C">
        <w:rPr>
          <w:lang w:val="fr-FR"/>
        </w:rPr>
        <w:t>il</w:t>
      </w:r>
      <w:r w:rsidRPr="00A2551C" w:rsidR="00163CB4">
        <w:rPr>
          <w:lang w:val="fr-FR"/>
        </w:rPr>
        <w:t xml:space="preserve"> </w:t>
      </w:r>
      <w:r w:rsidRPr="00A2551C" w:rsidR="00BA4734">
        <w:rPr>
          <w:lang w:val="fr-FR"/>
        </w:rPr>
        <w:t>dit a</w:t>
      </w:r>
      <w:r w:rsidRPr="00A2551C" w:rsidR="00163CB4">
        <w:rPr>
          <w:lang w:val="fr-FR"/>
        </w:rPr>
        <w:t>voir subi.</w:t>
      </w:r>
    </w:p>
    <w:p w:rsidRPr="00A2551C" w:rsidR="00E77CB3" w:rsidP="00A2551C" w:rsidRDefault="00D733D1">
      <w:pPr>
        <w:pStyle w:val="ECHRPara"/>
        <w:keepNext/>
        <w:keepLines/>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133</w:t>
      </w:r>
      <w:r w:rsidRPr="00A2551C">
        <w:rPr>
          <w:lang w:val="fr-FR"/>
        </w:rPr>
        <w:fldChar w:fldCharType="end"/>
      </w:r>
      <w:r w:rsidRPr="00A2551C" w:rsidR="00E77CB3">
        <w:rPr>
          <w:lang w:val="fr-FR"/>
        </w:rPr>
        <w:t xml:space="preserve">.  Le Gouvernement </w:t>
      </w:r>
      <w:r w:rsidRPr="00A2551C" w:rsidR="00206BB0">
        <w:rPr>
          <w:lang w:val="fr-FR"/>
        </w:rPr>
        <w:t>ne s</w:t>
      </w:r>
      <w:r w:rsidRPr="00A2551C" w:rsidR="00A2551C">
        <w:rPr>
          <w:lang w:val="fr-FR"/>
        </w:rPr>
        <w:t>’</w:t>
      </w:r>
      <w:r w:rsidRPr="00A2551C" w:rsidR="00206BB0">
        <w:rPr>
          <w:lang w:val="fr-FR"/>
        </w:rPr>
        <w:t>est pas prononcé sur ce point.</w:t>
      </w:r>
    </w:p>
    <w:p w:rsidRPr="00A2551C" w:rsidR="00E77CB3" w:rsidP="00A2551C" w:rsidRDefault="00D733D1">
      <w:pPr>
        <w:pStyle w:val="ECHRPara"/>
        <w:keepNext/>
        <w:keepLines/>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134</w:t>
      </w:r>
      <w:r w:rsidRPr="00A2551C">
        <w:rPr>
          <w:lang w:val="fr-FR"/>
        </w:rPr>
        <w:fldChar w:fldCharType="end"/>
      </w:r>
      <w:r w:rsidRPr="00A2551C" w:rsidR="00E77CB3">
        <w:rPr>
          <w:lang w:val="fr-FR"/>
        </w:rPr>
        <w:t>.  La Cour considère qu</w:t>
      </w:r>
      <w:r w:rsidRPr="00A2551C" w:rsidR="00A2551C">
        <w:rPr>
          <w:lang w:val="fr-FR"/>
        </w:rPr>
        <w:t>’</w:t>
      </w:r>
      <w:r w:rsidRPr="00A2551C" w:rsidR="00E77CB3">
        <w:rPr>
          <w:lang w:val="fr-FR"/>
        </w:rPr>
        <w:t>il y a lieu d</w:t>
      </w:r>
      <w:r w:rsidRPr="00A2551C" w:rsidR="00A2551C">
        <w:rPr>
          <w:lang w:val="fr-FR"/>
        </w:rPr>
        <w:t>’</w:t>
      </w:r>
      <w:r w:rsidRPr="00A2551C" w:rsidR="00E77CB3">
        <w:rPr>
          <w:lang w:val="fr-FR"/>
        </w:rPr>
        <w:t xml:space="preserve">octroyer </w:t>
      </w:r>
      <w:r w:rsidRPr="00A2551C">
        <w:rPr>
          <w:lang w:val="fr-FR"/>
        </w:rPr>
        <w:t>au requérant</w:t>
      </w:r>
      <w:r w:rsidRPr="00A2551C" w:rsidR="00E77CB3">
        <w:rPr>
          <w:lang w:val="fr-FR"/>
        </w:rPr>
        <w:t xml:space="preserve"> </w:t>
      </w:r>
      <w:r w:rsidRPr="00A2551C" w:rsidR="004437F3">
        <w:rPr>
          <w:lang w:val="fr-FR"/>
        </w:rPr>
        <w:t>le montant réclamé</w:t>
      </w:r>
      <w:r w:rsidRPr="00A2551C" w:rsidR="00E77CB3">
        <w:rPr>
          <w:lang w:val="fr-FR"/>
        </w:rPr>
        <w:t xml:space="preserve"> au titre du préjudice moral.</w:t>
      </w:r>
    </w:p>
    <w:p w:rsidRPr="00A2551C" w:rsidR="00E77CB3" w:rsidP="00A2551C" w:rsidRDefault="00E77CB3">
      <w:pPr>
        <w:pStyle w:val="ECHRHeading2"/>
        <w:keepNext w:val="0"/>
        <w:keepLines w:val="0"/>
        <w:rPr>
          <w:lang w:val="fr-FR"/>
        </w:rPr>
      </w:pPr>
      <w:r w:rsidRPr="00A2551C">
        <w:rPr>
          <w:lang w:val="fr-FR"/>
        </w:rPr>
        <w:t>B.  Frais et dépens</w:t>
      </w:r>
    </w:p>
    <w:p w:rsidRPr="00A2551C" w:rsidR="0076324D"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135</w:t>
      </w:r>
      <w:r w:rsidRPr="00A2551C">
        <w:rPr>
          <w:lang w:val="fr-FR"/>
        </w:rPr>
        <w:fldChar w:fldCharType="end"/>
      </w:r>
      <w:r w:rsidRPr="00A2551C" w:rsidR="00E77CB3">
        <w:rPr>
          <w:lang w:val="fr-FR"/>
        </w:rPr>
        <w:t>.  </w:t>
      </w:r>
      <w:r w:rsidRPr="00A2551C">
        <w:rPr>
          <w:lang w:val="fr-FR"/>
        </w:rPr>
        <w:t>Le requérant</w:t>
      </w:r>
      <w:r w:rsidRPr="00A2551C" w:rsidR="00E77CB3">
        <w:rPr>
          <w:lang w:val="fr-FR"/>
        </w:rPr>
        <w:t xml:space="preserve"> demande également </w:t>
      </w:r>
      <w:r w:rsidRPr="00A2551C" w:rsidR="00206BB0">
        <w:rPr>
          <w:lang w:val="fr-FR"/>
        </w:rPr>
        <w:t>60 000</w:t>
      </w:r>
      <w:r w:rsidRPr="00A2551C" w:rsidR="00E77CB3">
        <w:rPr>
          <w:lang w:val="fr-FR"/>
        </w:rPr>
        <w:t xml:space="preserve"> EUR pour les frais et dépens </w:t>
      </w:r>
      <w:r w:rsidRPr="00A2551C" w:rsidR="00095601">
        <w:rPr>
          <w:lang w:val="fr-FR"/>
        </w:rPr>
        <w:t>qu</w:t>
      </w:r>
      <w:r w:rsidRPr="00A2551C" w:rsidR="00A2551C">
        <w:rPr>
          <w:lang w:val="fr-FR"/>
        </w:rPr>
        <w:t>’</w:t>
      </w:r>
      <w:r w:rsidRPr="00A2551C" w:rsidR="00095601">
        <w:rPr>
          <w:lang w:val="fr-FR"/>
        </w:rPr>
        <w:t xml:space="preserve">il dit avoir </w:t>
      </w:r>
      <w:r w:rsidRPr="00A2551C" w:rsidR="00E77CB3">
        <w:rPr>
          <w:lang w:val="fr-FR"/>
        </w:rPr>
        <w:t>engagés devant la Cour</w:t>
      </w:r>
      <w:r w:rsidRPr="00A2551C" w:rsidR="001D7AD2">
        <w:rPr>
          <w:lang w:val="fr-FR"/>
        </w:rPr>
        <w:t>. Il soumet à l</w:t>
      </w:r>
      <w:r w:rsidRPr="00A2551C" w:rsidR="00A2551C">
        <w:rPr>
          <w:lang w:val="fr-FR"/>
        </w:rPr>
        <w:t>’</w:t>
      </w:r>
      <w:r w:rsidRPr="00A2551C" w:rsidR="001D7AD2">
        <w:rPr>
          <w:lang w:val="fr-FR"/>
        </w:rPr>
        <w:t>appui de sa demande des copies de convention</w:t>
      </w:r>
      <w:r w:rsidRPr="00A2551C" w:rsidR="008B2BEA">
        <w:rPr>
          <w:lang w:val="fr-FR"/>
        </w:rPr>
        <w:t>s</w:t>
      </w:r>
      <w:r w:rsidRPr="00A2551C" w:rsidR="001D7AD2">
        <w:rPr>
          <w:lang w:val="fr-FR"/>
        </w:rPr>
        <w:t xml:space="preserve"> d</w:t>
      </w:r>
      <w:r w:rsidRPr="00A2551C" w:rsidR="00A2551C">
        <w:rPr>
          <w:lang w:val="fr-FR"/>
        </w:rPr>
        <w:t>’</w:t>
      </w:r>
      <w:r w:rsidRPr="00A2551C" w:rsidR="001D7AD2">
        <w:rPr>
          <w:lang w:val="fr-FR"/>
        </w:rPr>
        <w:t>assistance juridique conclue</w:t>
      </w:r>
      <w:r w:rsidRPr="00A2551C" w:rsidR="008B2BEA">
        <w:rPr>
          <w:lang w:val="fr-FR"/>
        </w:rPr>
        <w:t>s</w:t>
      </w:r>
      <w:r w:rsidRPr="00A2551C" w:rsidR="001D7AD2">
        <w:rPr>
          <w:lang w:val="fr-FR"/>
        </w:rPr>
        <w:t xml:space="preserve"> entre </w:t>
      </w:r>
      <w:r w:rsidRPr="00A2551C" w:rsidR="00E45732">
        <w:rPr>
          <w:lang w:val="fr-FR"/>
        </w:rPr>
        <w:t>son épouse</w:t>
      </w:r>
      <w:r w:rsidRPr="00A2551C" w:rsidR="001D7AD2">
        <w:rPr>
          <w:lang w:val="fr-FR"/>
        </w:rPr>
        <w:t xml:space="preserve"> et M</w:t>
      </w:r>
      <w:r w:rsidRPr="00A2551C" w:rsidR="001D7AD2">
        <w:rPr>
          <w:vertAlign w:val="superscript"/>
          <w:lang w:val="fr-FR"/>
        </w:rPr>
        <w:t>es</w:t>
      </w:r>
      <w:r w:rsidRPr="00A2551C" w:rsidR="001D7AD2">
        <w:rPr>
          <w:lang w:val="fr-FR"/>
        </w:rPr>
        <w:t> K. </w:t>
      </w:r>
      <w:proofErr w:type="spellStart"/>
      <w:r w:rsidRPr="00A2551C" w:rsidR="001D7AD2">
        <w:rPr>
          <w:lang w:val="fr-FR"/>
        </w:rPr>
        <w:t>Moskalenko</w:t>
      </w:r>
      <w:proofErr w:type="spellEnd"/>
      <w:r w:rsidRPr="00A2551C" w:rsidR="001D7AD2">
        <w:rPr>
          <w:lang w:val="fr-FR"/>
        </w:rPr>
        <w:t xml:space="preserve"> et A. </w:t>
      </w:r>
      <w:proofErr w:type="spellStart"/>
      <w:r w:rsidRPr="00A2551C" w:rsidR="001D7AD2">
        <w:rPr>
          <w:lang w:val="fr-FR"/>
        </w:rPr>
        <w:t>Maralyan</w:t>
      </w:r>
      <w:proofErr w:type="spellEnd"/>
      <w:r w:rsidRPr="00A2551C" w:rsidR="008B2BEA">
        <w:rPr>
          <w:lang w:val="fr-FR"/>
        </w:rPr>
        <w:t xml:space="preserve"> respectivement</w:t>
      </w:r>
      <w:r w:rsidRPr="00A2551C" w:rsidR="001D7AD2">
        <w:rPr>
          <w:lang w:val="fr-FR"/>
        </w:rPr>
        <w:t>, ainsi que des copies d</w:t>
      </w:r>
      <w:r w:rsidRPr="00A2551C" w:rsidR="00A2551C">
        <w:rPr>
          <w:lang w:val="fr-FR"/>
        </w:rPr>
        <w:t>’</w:t>
      </w:r>
      <w:r w:rsidRPr="00A2551C" w:rsidR="001D7AD2">
        <w:rPr>
          <w:lang w:val="fr-FR"/>
        </w:rPr>
        <w:t>attestations de paiement sur la base de</w:t>
      </w:r>
      <w:r w:rsidRPr="00A2551C" w:rsidR="002D564F">
        <w:rPr>
          <w:lang w:val="fr-FR"/>
        </w:rPr>
        <w:t>s</w:t>
      </w:r>
      <w:r w:rsidRPr="00A2551C" w:rsidR="001D7AD2">
        <w:rPr>
          <w:lang w:val="fr-FR"/>
        </w:rPr>
        <w:t>dite</w:t>
      </w:r>
      <w:r w:rsidRPr="00A2551C" w:rsidR="002D564F">
        <w:rPr>
          <w:lang w:val="fr-FR"/>
        </w:rPr>
        <w:t>s</w:t>
      </w:r>
      <w:r w:rsidRPr="00A2551C" w:rsidR="001D7AD2">
        <w:rPr>
          <w:lang w:val="fr-FR"/>
        </w:rPr>
        <w:t xml:space="preserve"> convention</w:t>
      </w:r>
      <w:r w:rsidRPr="00A2551C" w:rsidR="002D564F">
        <w:rPr>
          <w:lang w:val="fr-FR"/>
        </w:rPr>
        <w:t>s</w:t>
      </w:r>
      <w:r w:rsidRPr="00A2551C" w:rsidR="001D7AD2">
        <w:rPr>
          <w:lang w:val="fr-FR"/>
        </w:rPr>
        <w:t>.</w:t>
      </w:r>
    </w:p>
    <w:p w:rsidRPr="00A2551C" w:rsidR="00E77CB3"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136</w:t>
      </w:r>
      <w:r w:rsidRPr="00A2551C">
        <w:rPr>
          <w:lang w:val="fr-FR"/>
        </w:rPr>
        <w:fldChar w:fldCharType="end"/>
      </w:r>
      <w:r w:rsidRPr="00A2551C" w:rsidR="00E77CB3">
        <w:rPr>
          <w:lang w:val="fr-FR"/>
        </w:rPr>
        <w:t xml:space="preserve">.  Le Gouvernement </w:t>
      </w:r>
      <w:r w:rsidRPr="00A2551C" w:rsidR="00206BB0">
        <w:rPr>
          <w:lang w:val="fr-FR"/>
        </w:rPr>
        <w:t>indique que le requérant n</w:t>
      </w:r>
      <w:r w:rsidRPr="00A2551C" w:rsidR="00A2551C">
        <w:rPr>
          <w:lang w:val="fr-FR"/>
        </w:rPr>
        <w:t>’</w:t>
      </w:r>
      <w:r w:rsidRPr="00A2551C" w:rsidR="00206BB0">
        <w:rPr>
          <w:lang w:val="fr-FR"/>
        </w:rPr>
        <w:t>a pas démontré, à l</w:t>
      </w:r>
      <w:r w:rsidRPr="00A2551C" w:rsidR="00A2551C">
        <w:rPr>
          <w:lang w:val="fr-FR"/>
        </w:rPr>
        <w:t>’</w:t>
      </w:r>
      <w:r w:rsidRPr="00A2551C" w:rsidR="00206BB0">
        <w:rPr>
          <w:lang w:val="fr-FR"/>
        </w:rPr>
        <w:t xml:space="preserve">aide de documents </w:t>
      </w:r>
      <w:r w:rsidRPr="00A2551C" w:rsidR="001D7AD2">
        <w:rPr>
          <w:lang w:val="fr-FR"/>
        </w:rPr>
        <w:t>pertinents, que le</w:t>
      </w:r>
      <w:r w:rsidRPr="00A2551C" w:rsidR="00206BB0">
        <w:rPr>
          <w:lang w:val="fr-FR"/>
        </w:rPr>
        <w:t xml:space="preserve"> </w:t>
      </w:r>
      <w:r w:rsidRPr="00A2551C" w:rsidR="001D7AD2">
        <w:rPr>
          <w:lang w:val="fr-FR"/>
        </w:rPr>
        <w:t>montant des frais facturés par ses représentant</w:t>
      </w:r>
      <w:r w:rsidRPr="00A2551C" w:rsidR="008B2BEA">
        <w:rPr>
          <w:lang w:val="fr-FR"/>
        </w:rPr>
        <w:t>e</w:t>
      </w:r>
      <w:r w:rsidRPr="00A2551C" w:rsidR="001D7AD2">
        <w:rPr>
          <w:lang w:val="fr-FR"/>
        </w:rPr>
        <w:t xml:space="preserve">s correspondait au travail réellement accompli. Il </w:t>
      </w:r>
      <w:r w:rsidRPr="00A2551C" w:rsidR="000F046A">
        <w:rPr>
          <w:lang w:val="fr-FR"/>
        </w:rPr>
        <w:t xml:space="preserve">soutient </w:t>
      </w:r>
      <w:r w:rsidRPr="00A2551C" w:rsidR="001D7AD2">
        <w:rPr>
          <w:lang w:val="fr-FR"/>
        </w:rPr>
        <w:t xml:space="preserve">en outre que </w:t>
      </w:r>
      <w:r w:rsidRPr="00A2551C" w:rsidR="00206BB0">
        <w:rPr>
          <w:lang w:val="fr-FR"/>
        </w:rPr>
        <w:t xml:space="preserve">les </w:t>
      </w:r>
      <w:r w:rsidRPr="00A2551C" w:rsidR="002D564F">
        <w:rPr>
          <w:lang w:val="fr-FR"/>
        </w:rPr>
        <w:t>copies des attestations de paiement</w:t>
      </w:r>
      <w:r w:rsidRPr="00A2551C" w:rsidR="00206BB0">
        <w:rPr>
          <w:lang w:val="fr-FR"/>
        </w:rPr>
        <w:t xml:space="preserve"> soumis</w:t>
      </w:r>
      <w:r w:rsidRPr="00A2551C" w:rsidR="002D564F">
        <w:rPr>
          <w:lang w:val="fr-FR"/>
        </w:rPr>
        <w:t>es</w:t>
      </w:r>
      <w:r w:rsidRPr="00A2551C" w:rsidR="00206BB0">
        <w:rPr>
          <w:lang w:val="fr-FR"/>
        </w:rPr>
        <w:t xml:space="preserve"> par le requérant à l</w:t>
      </w:r>
      <w:r w:rsidRPr="00A2551C" w:rsidR="00A2551C">
        <w:rPr>
          <w:lang w:val="fr-FR"/>
        </w:rPr>
        <w:t>’</w:t>
      </w:r>
      <w:r w:rsidRPr="00A2551C" w:rsidR="00206BB0">
        <w:rPr>
          <w:lang w:val="fr-FR"/>
        </w:rPr>
        <w:t>appui de sa demande ne sont pas lisibles.</w:t>
      </w:r>
    </w:p>
    <w:p w:rsidRPr="00A2551C" w:rsidR="001D7AD2"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137</w:t>
      </w:r>
      <w:r w:rsidRPr="00A2551C">
        <w:rPr>
          <w:lang w:val="fr-FR"/>
        </w:rPr>
        <w:fldChar w:fldCharType="end"/>
      </w:r>
      <w:r w:rsidRPr="00A2551C" w:rsidR="00E77CB3">
        <w:rPr>
          <w:lang w:val="fr-FR"/>
        </w:rPr>
        <w:t>.  </w:t>
      </w:r>
      <w:r w:rsidRPr="00A2551C">
        <w:rPr>
          <w:lang w:val="fr-FR"/>
        </w:rPr>
        <w:t xml:space="preserve">Selon la jurisprudence de la Cour, un requérant ne peut obtenir le remboursement de ses frais et dépens que dans la mesure où se trouvent établis leur réalité, leur nécessité et le caractère raisonnable de leur </w:t>
      </w:r>
      <w:r w:rsidRPr="00A2551C" w:rsidR="001D7AD2">
        <w:rPr>
          <w:lang w:val="fr-FR"/>
        </w:rPr>
        <w:t xml:space="preserve">(voir, </w:t>
      </w:r>
      <w:r w:rsidRPr="00A2551C" w:rsidR="001D7AD2">
        <w:rPr>
          <w:i/>
          <w:iCs/>
          <w:lang w:val="fr-FR"/>
        </w:rPr>
        <w:t>mutatis mutandis</w:t>
      </w:r>
      <w:r w:rsidRPr="00A2551C" w:rsidR="001D7AD2">
        <w:rPr>
          <w:lang w:val="fr-FR"/>
        </w:rPr>
        <w:t xml:space="preserve">, </w:t>
      </w:r>
      <w:proofErr w:type="spellStart"/>
      <w:r w:rsidRPr="00A2551C" w:rsidR="001D7AD2">
        <w:rPr>
          <w:i/>
          <w:iCs/>
          <w:lang w:val="fr-FR"/>
        </w:rPr>
        <w:t>Iatridis</w:t>
      </w:r>
      <w:proofErr w:type="spellEnd"/>
      <w:r w:rsidRPr="00A2551C" w:rsidR="001D7AD2">
        <w:rPr>
          <w:i/>
          <w:iCs/>
          <w:lang w:val="fr-FR"/>
        </w:rPr>
        <w:t xml:space="preserve"> c. Grèce </w:t>
      </w:r>
      <w:r w:rsidRPr="00A2551C" w:rsidR="001D7AD2">
        <w:rPr>
          <w:lang w:val="fr-FR"/>
        </w:rPr>
        <w:t>(satisfaction équitable) [GC], n</w:t>
      </w:r>
      <w:r w:rsidRPr="00A2551C" w:rsidR="001D7AD2">
        <w:rPr>
          <w:vertAlign w:val="superscript"/>
          <w:lang w:val="fr-FR"/>
        </w:rPr>
        <w:t>o</w:t>
      </w:r>
      <w:r w:rsidRPr="00A2551C" w:rsidR="001D7AD2">
        <w:rPr>
          <w:lang w:val="fr-FR"/>
        </w:rPr>
        <w:t> 31107/96, § 55, CEDH 2000</w:t>
      </w:r>
      <w:r w:rsidRPr="00A2551C" w:rsidR="001D7AD2">
        <w:rPr>
          <w:lang w:val="fr-FR"/>
        </w:rPr>
        <w:noBreakHyphen/>
        <w:t>XI). Dans ce cas, la Cour tient compte des éléments fournis à l</w:t>
      </w:r>
      <w:r w:rsidRPr="00A2551C" w:rsidR="00A2551C">
        <w:rPr>
          <w:lang w:val="fr-FR"/>
        </w:rPr>
        <w:t>’</w:t>
      </w:r>
      <w:r w:rsidRPr="00A2551C" w:rsidR="001D7AD2">
        <w:rPr>
          <w:lang w:val="fr-FR"/>
        </w:rPr>
        <w:t>appui des prétentions de remboursement des frais et dépens, et, notamment, du nombre d</w:t>
      </w:r>
      <w:r w:rsidRPr="00A2551C" w:rsidR="00A2551C">
        <w:rPr>
          <w:lang w:val="fr-FR"/>
        </w:rPr>
        <w:t>’</w:t>
      </w:r>
      <w:r w:rsidRPr="00A2551C" w:rsidR="001D7AD2">
        <w:rPr>
          <w:rFonts w:hint="eastAsia"/>
          <w:lang w:val="fr-FR"/>
        </w:rPr>
        <w:t>heures de travail que l</w:t>
      </w:r>
      <w:r w:rsidRPr="00A2551C" w:rsidR="00A2551C">
        <w:rPr>
          <w:lang w:val="fr-FR"/>
        </w:rPr>
        <w:t>’</w:t>
      </w:r>
      <w:r w:rsidRPr="00A2551C" w:rsidR="001D7AD2">
        <w:rPr>
          <w:rFonts w:hint="eastAsia"/>
          <w:lang w:val="fr-FR"/>
        </w:rPr>
        <w:t>affaire soumise à son examen a nécessité et du tarif horaire indiqué (</w:t>
      </w:r>
      <w:r w:rsidRPr="00A2551C" w:rsidR="001D7AD2">
        <w:rPr>
          <w:i/>
          <w:iCs/>
          <w:lang w:val="fr-FR"/>
        </w:rPr>
        <w:t>ibidem</w:t>
      </w:r>
      <w:r w:rsidRPr="00A2551C" w:rsidR="001D7AD2">
        <w:rPr>
          <w:lang w:val="fr-FR"/>
        </w:rPr>
        <w:t>). En vertu de l</w:t>
      </w:r>
      <w:r w:rsidRPr="00A2551C" w:rsidR="00A2551C">
        <w:rPr>
          <w:lang w:val="fr-FR"/>
        </w:rPr>
        <w:t>’</w:t>
      </w:r>
      <w:r w:rsidRPr="00A2551C" w:rsidR="001D7AD2">
        <w:rPr>
          <w:lang w:val="fr-FR"/>
        </w:rPr>
        <w:t>article 60</w:t>
      </w:r>
      <w:r w:rsidRPr="00A2551C" w:rsidR="008B2BEA">
        <w:rPr>
          <w:lang w:val="fr-FR"/>
        </w:rPr>
        <w:t> §§ </w:t>
      </w:r>
      <w:r w:rsidRPr="00A2551C" w:rsidR="001D7AD2">
        <w:rPr>
          <w:lang w:val="fr-FR"/>
        </w:rPr>
        <w:t>2 et 3 du règlement de la Cour, il doit soumettre des prétentions chiffrées et ventilées par rubriques et accompagnées des justificatifs pertinents, faute de quoi la Cour peut rejeter tout ou une partie de celles-ci (</w:t>
      </w:r>
      <w:proofErr w:type="spellStart"/>
      <w:r w:rsidRPr="00A2551C" w:rsidR="001D7AD2">
        <w:rPr>
          <w:i/>
          <w:iCs/>
          <w:lang w:val="fr-FR"/>
        </w:rPr>
        <w:t>Mazelié</w:t>
      </w:r>
      <w:proofErr w:type="spellEnd"/>
      <w:r w:rsidRPr="00A2551C" w:rsidR="001D7AD2">
        <w:rPr>
          <w:i/>
          <w:iCs/>
          <w:lang w:val="fr-FR"/>
        </w:rPr>
        <w:t xml:space="preserve"> c. France</w:t>
      </w:r>
      <w:r w:rsidRPr="00A2551C" w:rsidR="001D7AD2">
        <w:rPr>
          <w:lang w:val="fr-FR"/>
        </w:rPr>
        <w:t>, n</w:t>
      </w:r>
      <w:r w:rsidRPr="00A2551C" w:rsidR="008B2BEA">
        <w:rPr>
          <w:vertAlign w:val="superscript"/>
          <w:lang w:val="fr-FR"/>
        </w:rPr>
        <w:t>o </w:t>
      </w:r>
      <w:r w:rsidRPr="00A2551C" w:rsidR="001D7AD2">
        <w:rPr>
          <w:lang w:val="fr-FR"/>
        </w:rPr>
        <w:t>5356/04, § 39, 27 juin 2006).</w:t>
      </w:r>
    </w:p>
    <w:p w:rsidRPr="00A2551C" w:rsidR="001D7AD2" w:rsidP="00A2551C" w:rsidRDefault="002D564F">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138</w:t>
      </w:r>
      <w:r w:rsidRPr="00A2551C">
        <w:rPr>
          <w:lang w:val="fr-FR"/>
        </w:rPr>
        <w:fldChar w:fldCharType="end"/>
      </w:r>
      <w:r w:rsidRPr="00A2551C">
        <w:rPr>
          <w:lang w:val="fr-FR"/>
        </w:rPr>
        <w:t>.  </w:t>
      </w:r>
      <w:r w:rsidRPr="00A2551C" w:rsidR="008B2BEA">
        <w:rPr>
          <w:lang w:val="fr-FR"/>
        </w:rPr>
        <w:t>L</w:t>
      </w:r>
      <w:r w:rsidRPr="00A2551C" w:rsidR="001D7AD2">
        <w:rPr>
          <w:lang w:val="fr-FR"/>
        </w:rPr>
        <w:t>a Cour note que le requérant n</w:t>
      </w:r>
      <w:r w:rsidRPr="00A2551C" w:rsidR="00A2551C">
        <w:rPr>
          <w:lang w:val="fr-FR"/>
        </w:rPr>
        <w:t>’</w:t>
      </w:r>
      <w:r w:rsidRPr="00A2551C" w:rsidR="001D7AD2">
        <w:rPr>
          <w:lang w:val="fr-FR"/>
        </w:rPr>
        <w:t>a</w:t>
      </w:r>
      <w:r w:rsidRPr="00A2551C" w:rsidR="008B2BEA">
        <w:rPr>
          <w:lang w:val="fr-FR"/>
        </w:rPr>
        <w:t xml:space="preserve"> ni</w:t>
      </w:r>
      <w:r w:rsidRPr="00A2551C" w:rsidR="001D7AD2">
        <w:rPr>
          <w:lang w:val="fr-FR"/>
        </w:rPr>
        <w:t xml:space="preserve"> soumis de décompte horaire du travail accompli </w:t>
      </w:r>
      <w:r w:rsidRPr="00A2551C">
        <w:rPr>
          <w:lang w:val="fr-FR"/>
        </w:rPr>
        <w:t xml:space="preserve">par ses représentantes ni indiqué le </w:t>
      </w:r>
      <w:r w:rsidRPr="00A2551C" w:rsidR="001D7AD2">
        <w:rPr>
          <w:lang w:val="fr-FR"/>
        </w:rPr>
        <w:t xml:space="preserve">tarif horaire </w:t>
      </w:r>
      <w:r w:rsidRPr="00A2551C">
        <w:rPr>
          <w:lang w:val="fr-FR"/>
        </w:rPr>
        <w:t>correspondant. Eu égard à ce qui précède et compte tenu des documents dont elle dispose, de sa jurisprudence et du fait qu</w:t>
      </w:r>
      <w:r w:rsidRPr="00A2551C" w:rsidR="00A2551C">
        <w:rPr>
          <w:lang w:val="fr-FR"/>
        </w:rPr>
        <w:t>’</w:t>
      </w:r>
      <w:r w:rsidRPr="00A2551C">
        <w:rPr>
          <w:lang w:val="fr-FR"/>
        </w:rPr>
        <w:t>une partie de la requête a été déclarée irrecevable, la Cour estime raisonnable la somme de 2</w:t>
      </w:r>
      <w:r w:rsidRPr="00A2551C" w:rsidR="000F046A">
        <w:rPr>
          <w:lang w:val="fr-FR"/>
        </w:rPr>
        <w:t> </w:t>
      </w:r>
      <w:r w:rsidRPr="00A2551C">
        <w:rPr>
          <w:lang w:val="fr-FR"/>
        </w:rPr>
        <w:t>000</w:t>
      </w:r>
      <w:r w:rsidRPr="00A2551C" w:rsidR="000F046A">
        <w:rPr>
          <w:lang w:val="fr-FR"/>
        </w:rPr>
        <w:t> </w:t>
      </w:r>
      <w:r w:rsidRPr="00A2551C">
        <w:rPr>
          <w:lang w:val="fr-FR"/>
        </w:rPr>
        <w:t>EUR et l</w:t>
      </w:r>
      <w:r w:rsidRPr="00A2551C" w:rsidR="00A2551C">
        <w:rPr>
          <w:lang w:val="fr-FR"/>
        </w:rPr>
        <w:t>’</w:t>
      </w:r>
      <w:r w:rsidRPr="00A2551C">
        <w:rPr>
          <w:lang w:val="fr-FR"/>
        </w:rPr>
        <w:t>accorde au requérant.</w:t>
      </w:r>
    </w:p>
    <w:p w:rsidRPr="00A2551C" w:rsidR="00E77CB3" w:rsidP="00A2551C" w:rsidRDefault="00E77CB3">
      <w:pPr>
        <w:pStyle w:val="ECHRHeading2"/>
        <w:rPr>
          <w:lang w:val="fr-FR"/>
        </w:rPr>
      </w:pPr>
      <w:r w:rsidRPr="00A2551C">
        <w:rPr>
          <w:lang w:val="fr-FR"/>
        </w:rPr>
        <w:t>C.  Intérêts moratoires</w:t>
      </w:r>
    </w:p>
    <w:p w:rsidRPr="00A2551C" w:rsidR="00E77CB3" w:rsidP="00A2551C" w:rsidRDefault="00D733D1">
      <w:pPr>
        <w:pStyle w:val="ECHRPara"/>
        <w:rPr>
          <w:lang w:val="fr-FR"/>
        </w:rPr>
      </w:pPr>
      <w:r w:rsidRPr="00A2551C">
        <w:rPr>
          <w:lang w:val="fr-FR"/>
        </w:rPr>
        <w:fldChar w:fldCharType="begin"/>
      </w:r>
      <w:r w:rsidRPr="00A2551C">
        <w:rPr>
          <w:lang w:val="fr-FR"/>
        </w:rPr>
        <w:instrText xml:space="preserve"> SEQ level0 \*arabic </w:instrText>
      </w:r>
      <w:r w:rsidRPr="00A2551C">
        <w:rPr>
          <w:lang w:val="fr-FR"/>
        </w:rPr>
        <w:fldChar w:fldCharType="separate"/>
      </w:r>
      <w:r w:rsidRPr="00A2551C" w:rsidR="00A2551C">
        <w:rPr>
          <w:noProof/>
          <w:lang w:val="fr-FR"/>
        </w:rPr>
        <w:t>139</w:t>
      </w:r>
      <w:r w:rsidRPr="00A2551C">
        <w:rPr>
          <w:lang w:val="fr-FR"/>
        </w:rPr>
        <w:fldChar w:fldCharType="end"/>
      </w:r>
      <w:r w:rsidRPr="00A2551C" w:rsidR="00E77CB3">
        <w:rPr>
          <w:lang w:val="fr-FR"/>
        </w:rPr>
        <w:t>.  La Cour juge approprié de calquer le taux des intérêts moratoires sur le taux d</w:t>
      </w:r>
      <w:r w:rsidRPr="00A2551C" w:rsidR="00A2551C">
        <w:rPr>
          <w:lang w:val="fr-FR"/>
        </w:rPr>
        <w:t>’</w:t>
      </w:r>
      <w:r w:rsidRPr="00A2551C" w:rsidR="00E77CB3">
        <w:rPr>
          <w:lang w:val="fr-FR"/>
        </w:rPr>
        <w:t>intérêt de la facilité de prêt marginal de la Banque centrale européenne majoré de trois points de pourcentage.</w:t>
      </w:r>
    </w:p>
    <w:p w:rsidRPr="00A2551C" w:rsidR="00E77CB3" w:rsidP="00A2551C" w:rsidRDefault="00E77CB3">
      <w:pPr>
        <w:pStyle w:val="ECHRTitle1"/>
        <w:rPr>
          <w:lang w:val="fr-FR"/>
        </w:rPr>
      </w:pPr>
      <w:r w:rsidRPr="00A2551C">
        <w:rPr>
          <w:lang w:val="fr-FR"/>
        </w:rPr>
        <w:t>PAR CES MOTIFS, LA COUR</w:t>
      </w:r>
      <w:r w:rsidRPr="00A2551C" w:rsidR="00D733D1">
        <w:rPr>
          <w:lang w:val="fr-FR"/>
        </w:rPr>
        <w:t>, À L</w:t>
      </w:r>
      <w:r w:rsidRPr="00A2551C" w:rsidR="00A2551C">
        <w:rPr>
          <w:lang w:val="fr-FR"/>
        </w:rPr>
        <w:t>’</w:t>
      </w:r>
      <w:r w:rsidRPr="00A2551C" w:rsidR="00D733D1">
        <w:rPr>
          <w:lang w:val="fr-FR"/>
        </w:rPr>
        <w:t>UNANIMITÉ,</w:t>
      </w:r>
    </w:p>
    <w:p w:rsidRPr="00A2551C" w:rsidR="00E77CB3" w:rsidP="00A2551C" w:rsidRDefault="00FB2B45">
      <w:pPr>
        <w:pStyle w:val="JuList"/>
        <w:rPr>
          <w:b/>
          <w:lang w:val="fr-FR"/>
        </w:rPr>
      </w:pPr>
      <w:r w:rsidRPr="00A2551C">
        <w:rPr>
          <w:lang w:val="fr-FR"/>
        </w:rPr>
        <w:t>1.  </w:t>
      </w:r>
      <w:r w:rsidRPr="00A2551C">
        <w:rPr>
          <w:i/>
          <w:lang w:val="fr-FR"/>
        </w:rPr>
        <w:t>Déclare</w:t>
      </w:r>
      <w:r w:rsidRPr="00A2551C">
        <w:rPr>
          <w:lang w:val="fr-FR"/>
        </w:rPr>
        <w:t xml:space="preserve"> </w:t>
      </w:r>
      <w:r w:rsidRPr="00A2551C" w:rsidR="00D733D1">
        <w:rPr>
          <w:lang w:val="fr-FR"/>
        </w:rPr>
        <w:t>la requête recevable</w:t>
      </w:r>
      <w:r w:rsidRPr="00A2551C">
        <w:rPr>
          <w:lang w:val="fr-FR"/>
        </w:rPr>
        <w:t xml:space="preserve"> quant aux griefs tirés de </w:t>
      </w:r>
      <w:r w:rsidRPr="00A2551C" w:rsidR="00813352">
        <w:rPr>
          <w:lang w:val="fr-FR"/>
        </w:rPr>
        <w:t>l</w:t>
      </w:r>
      <w:r w:rsidRPr="00A2551C" w:rsidR="00A2551C">
        <w:rPr>
          <w:lang w:val="fr-FR"/>
        </w:rPr>
        <w:t>’</w:t>
      </w:r>
      <w:r w:rsidRPr="00A2551C" w:rsidR="00813352">
        <w:rPr>
          <w:lang w:val="fr-FR"/>
        </w:rPr>
        <w:t>article 3 de la Convention</w:t>
      </w:r>
      <w:r w:rsidRPr="00A2551C">
        <w:rPr>
          <w:lang w:val="fr-FR"/>
        </w:rPr>
        <w:t xml:space="preserve"> </w:t>
      </w:r>
      <w:r w:rsidRPr="00A2551C" w:rsidR="00813352">
        <w:rPr>
          <w:lang w:val="fr-FR"/>
        </w:rPr>
        <w:t xml:space="preserve">en ce qui concerne </w:t>
      </w:r>
      <w:r w:rsidRPr="00A2551C" w:rsidR="00813352">
        <w:rPr>
          <w:iCs/>
          <w:lang w:val="fr-FR"/>
        </w:rPr>
        <w:t>les conditions de détention du requérant dans la maison d</w:t>
      </w:r>
      <w:r w:rsidRPr="00A2551C" w:rsidR="00A2551C">
        <w:rPr>
          <w:iCs/>
          <w:lang w:val="fr-FR"/>
        </w:rPr>
        <w:t>’</w:t>
      </w:r>
      <w:r w:rsidRPr="00A2551C" w:rsidR="00813352">
        <w:rPr>
          <w:iCs/>
          <w:lang w:val="fr-FR"/>
        </w:rPr>
        <w:t>arrêt SIZO</w:t>
      </w:r>
      <w:r w:rsidRPr="00A2551C" w:rsidR="00813352">
        <w:rPr>
          <w:iCs/>
          <w:lang w:val="fr-FR"/>
        </w:rPr>
        <w:noBreakHyphen/>
        <w:t xml:space="preserve">2 (Lefortovo) </w:t>
      </w:r>
      <w:r w:rsidRPr="00A2551C" w:rsidR="00F95A39">
        <w:rPr>
          <w:iCs/>
          <w:lang w:val="fr-FR"/>
        </w:rPr>
        <w:t>du 30 novembre 2007 au 6 </w:t>
      </w:r>
      <w:r w:rsidRPr="00A2551C" w:rsidR="00813352">
        <w:rPr>
          <w:iCs/>
          <w:lang w:val="fr-FR"/>
        </w:rPr>
        <w:t xml:space="preserve">novembre 2011, les conditions de son transport vers et depuis le tribunal de </w:t>
      </w:r>
      <w:r w:rsidRPr="00A2551C" w:rsidR="000F046A">
        <w:rPr>
          <w:iCs/>
          <w:lang w:val="fr-FR"/>
        </w:rPr>
        <w:t xml:space="preserve">la </w:t>
      </w:r>
      <w:r w:rsidRPr="00A2551C" w:rsidR="00813352">
        <w:rPr>
          <w:iCs/>
          <w:lang w:val="fr-FR"/>
        </w:rPr>
        <w:t xml:space="preserve">ville de Moscou pendant le procès pénal dirigé à son encontre </w:t>
      </w:r>
      <w:r w:rsidRPr="00A2551C" w:rsidR="00774F1E">
        <w:rPr>
          <w:iCs/>
          <w:lang w:val="fr-FR"/>
        </w:rPr>
        <w:t>et</w:t>
      </w:r>
      <w:r w:rsidRPr="00A2551C" w:rsidR="00813352">
        <w:rPr>
          <w:iCs/>
          <w:lang w:val="fr-FR"/>
        </w:rPr>
        <w:t xml:space="preserve"> les conditions de sa détention dans les locaux dudit tribunal, ainsi que des articles 5 § 3, 6 § 1 et 8 de la Convention </w:t>
      </w:r>
      <w:r w:rsidRPr="00A2551C">
        <w:rPr>
          <w:lang w:val="fr-FR"/>
        </w:rPr>
        <w:t xml:space="preserve">et </w:t>
      </w:r>
      <w:r w:rsidRPr="00A2551C" w:rsidR="00D733D1">
        <w:rPr>
          <w:lang w:val="fr-FR"/>
        </w:rPr>
        <w:t>irrecevable</w:t>
      </w:r>
      <w:r w:rsidRPr="00A2551C">
        <w:rPr>
          <w:lang w:val="fr-FR"/>
        </w:rPr>
        <w:t xml:space="preserve"> pour le surplus ;</w:t>
      </w:r>
    </w:p>
    <w:p w:rsidRPr="00A2551C" w:rsidR="00E77CB3" w:rsidP="00A2551C" w:rsidRDefault="00E77CB3">
      <w:pPr>
        <w:pStyle w:val="JuList"/>
        <w:rPr>
          <w:lang w:val="fr-FR"/>
        </w:rPr>
      </w:pPr>
    </w:p>
    <w:p w:rsidRPr="00A2551C" w:rsidR="00E77CB3" w:rsidP="00A2551C" w:rsidRDefault="00813352">
      <w:pPr>
        <w:pStyle w:val="JuList"/>
        <w:rPr>
          <w:lang w:val="fr-FR"/>
        </w:rPr>
      </w:pPr>
      <w:r w:rsidRPr="00A2551C">
        <w:rPr>
          <w:lang w:val="fr-FR"/>
        </w:rPr>
        <w:t>2</w:t>
      </w:r>
      <w:r w:rsidRPr="00A2551C" w:rsidR="00E77CB3">
        <w:rPr>
          <w:lang w:val="fr-FR"/>
        </w:rPr>
        <w:t>.  </w:t>
      </w:r>
      <w:r w:rsidRPr="00A2551C" w:rsidR="00E77CB3">
        <w:rPr>
          <w:i/>
          <w:lang w:val="fr-FR"/>
        </w:rPr>
        <w:t>Dit</w:t>
      </w:r>
      <w:r w:rsidRPr="00A2551C" w:rsidR="00E77CB3">
        <w:rPr>
          <w:lang w:val="fr-FR"/>
        </w:rPr>
        <w:t xml:space="preserve"> qu</w:t>
      </w:r>
      <w:r w:rsidRPr="00A2551C" w:rsidR="00A2551C">
        <w:rPr>
          <w:lang w:val="fr-FR"/>
        </w:rPr>
        <w:t>’</w:t>
      </w:r>
      <w:r w:rsidRPr="00A2551C" w:rsidR="00E77CB3">
        <w:rPr>
          <w:lang w:val="fr-FR"/>
        </w:rPr>
        <w:t>il y a eu violation de l</w:t>
      </w:r>
      <w:r w:rsidRPr="00A2551C" w:rsidR="00A2551C">
        <w:rPr>
          <w:lang w:val="fr-FR"/>
        </w:rPr>
        <w:t>’</w:t>
      </w:r>
      <w:r w:rsidRPr="00A2551C" w:rsidR="00E77CB3">
        <w:rPr>
          <w:lang w:val="fr-FR"/>
        </w:rPr>
        <w:t xml:space="preserve">article </w:t>
      </w:r>
      <w:r w:rsidRPr="00A2551C" w:rsidR="002D564F">
        <w:rPr>
          <w:lang w:val="fr-FR"/>
        </w:rPr>
        <w:t>3</w:t>
      </w:r>
      <w:r w:rsidRPr="00A2551C" w:rsidR="00E77CB3">
        <w:rPr>
          <w:lang w:val="fr-FR"/>
        </w:rPr>
        <w:t xml:space="preserve"> de la Convention</w:t>
      </w:r>
      <w:r w:rsidRPr="00A2551C" w:rsidR="00A97D94">
        <w:rPr>
          <w:lang w:val="fr-FR"/>
        </w:rPr>
        <w:t xml:space="preserve"> en ce qui concerne </w:t>
      </w:r>
      <w:r w:rsidRPr="00A2551C" w:rsidR="00A97D94">
        <w:rPr>
          <w:iCs/>
          <w:lang w:val="fr-FR"/>
        </w:rPr>
        <w:t>les conditions de détention du requérant du 30 novembre 2007 au 6 novembre 2011 et les conditions de son transport</w:t>
      </w:r>
      <w:r w:rsidRPr="00A2551C" w:rsidR="00160A81">
        <w:rPr>
          <w:iCs/>
          <w:lang w:val="fr-FR"/>
        </w:rPr>
        <w:t xml:space="preserve"> </w:t>
      </w:r>
      <w:r w:rsidRPr="00A2551C" w:rsidR="00E77CB3">
        <w:rPr>
          <w:lang w:val="fr-FR"/>
        </w:rPr>
        <w:t>;</w:t>
      </w:r>
    </w:p>
    <w:p w:rsidRPr="00A2551C" w:rsidR="00E77CB3" w:rsidP="00A2551C" w:rsidRDefault="00E77CB3">
      <w:pPr>
        <w:pStyle w:val="JuList"/>
        <w:rPr>
          <w:lang w:val="fr-FR"/>
        </w:rPr>
      </w:pPr>
    </w:p>
    <w:p w:rsidRPr="00A2551C" w:rsidR="00E77CB3" w:rsidP="00A2551C" w:rsidRDefault="00813352">
      <w:pPr>
        <w:pStyle w:val="JuList"/>
        <w:rPr>
          <w:lang w:val="fr-FR"/>
        </w:rPr>
      </w:pPr>
      <w:r w:rsidRPr="00A2551C">
        <w:rPr>
          <w:lang w:val="fr-FR"/>
        </w:rPr>
        <w:t>3</w:t>
      </w:r>
      <w:r w:rsidRPr="00A2551C" w:rsidR="00E77CB3">
        <w:rPr>
          <w:lang w:val="fr-FR"/>
        </w:rPr>
        <w:t>.  </w:t>
      </w:r>
      <w:r w:rsidRPr="00A2551C" w:rsidR="00E77CB3">
        <w:rPr>
          <w:i/>
          <w:lang w:val="fr-FR"/>
        </w:rPr>
        <w:t>Dit</w:t>
      </w:r>
      <w:r w:rsidRPr="00A2551C" w:rsidR="00E77CB3">
        <w:rPr>
          <w:lang w:val="fr-FR"/>
        </w:rPr>
        <w:t xml:space="preserve"> qu</w:t>
      </w:r>
      <w:r w:rsidRPr="00A2551C" w:rsidR="00A2551C">
        <w:rPr>
          <w:lang w:val="fr-FR"/>
        </w:rPr>
        <w:t>’</w:t>
      </w:r>
      <w:r w:rsidRPr="00A2551C" w:rsidR="00E77CB3">
        <w:rPr>
          <w:lang w:val="fr-FR"/>
        </w:rPr>
        <w:t>il n</w:t>
      </w:r>
      <w:r w:rsidRPr="00A2551C" w:rsidR="00A2551C">
        <w:rPr>
          <w:lang w:val="fr-FR"/>
        </w:rPr>
        <w:t>’</w:t>
      </w:r>
      <w:r w:rsidRPr="00A2551C" w:rsidR="00E77CB3">
        <w:rPr>
          <w:lang w:val="fr-FR"/>
        </w:rPr>
        <w:t>y a pas lieu d</w:t>
      </w:r>
      <w:r w:rsidRPr="00A2551C" w:rsidR="00A2551C">
        <w:rPr>
          <w:lang w:val="fr-FR"/>
        </w:rPr>
        <w:t>’</w:t>
      </w:r>
      <w:r w:rsidRPr="00A2551C" w:rsidR="00E77CB3">
        <w:rPr>
          <w:lang w:val="fr-FR"/>
        </w:rPr>
        <w:t>examiner le grief tiré de l</w:t>
      </w:r>
      <w:r w:rsidRPr="00A2551C" w:rsidR="00A2551C">
        <w:rPr>
          <w:lang w:val="fr-FR"/>
        </w:rPr>
        <w:t>’</w:t>
      </w:r>
      <w:r w:rsidRPr="00A2551C" w:rsidR="00E77CB3">
        <w:rPr>
          <w:lang w:val="fr-FR"/>
        </w:rPr>
        <w:t xml:space="preserve">article </w:t>
      </w:r>
      <w:r w:rsidRPr="00A2551C">
        <w:rPr>
          <w:lang w:val="fr-FR"/>
        </w:rPr>
        <w:t>3</w:t>
      </w:r>
      <w:r w:rsidRPr="00A2551C" w:rsidR="00E77CB3">
        <w:rPr>
          <w:lang w:val="fr-FR"/>
        </w:rPr>
        <w:t xml:space="preserve"> de la Convention</w:t>
      </w:r>
      <w:r w:rsidRPr="00A2551C">
        <w:rPr>
          <w:lang w:val="fr-FR"/>
        </w:rPr>
        <w:t xml:space="preserve"> en ce qui concerne les conditions de détention du requérant dans les locaux du tribunal de </w:t>
      </w:r>
      <w:r w:rsidRPr="00A2551C" w:rsidR="000F046A">
        <w:rPr>
          <w:lang w:val="fr-FR"/>
        </w:rPr>
        <w:t xml:space="preserve">la </w:t>
      </w:r>
      <w:r w:rsidRPr="00A2551C">
        <w:rPr>
          <w:lang w:val="fr-FR"/>
        </w:rPr>
        <w:t>ville de Moscou </w:t>
      </w:r>
      <w:r w:rsidRPr="00A2551C" w:rsidR="00E77CB3">
        <w:rPr>
          <w:lang w:val="fr-FR"/>
        </w:rPr>
        <w:t>;</w:t>
      </w:r>
    </w:p>
    <w:p w:rsidRPr="00A2551C" w:rsidR="00E77CB3" w:rsidP="00A2551C" w:rsidRDefault="00E77CB3">
      <w:pPr>
        <w:pStyle w:val="JuList"/>
        <w:rPr>
          <w:lang w:val="fr-FR"/>
        </w:rPr>
      </w:pPr>
    </w:p>
    <w:p w:rsidRPr="00A2551C" w:rsidR="00E77CB3" w:rsidP="00A2551C" w:rsidRDefault="00813352">
      <w:pPr>
        <w:pStyle w:val="JuList"/>
        <w:rPr>
          <w:lang w:val="fr-FR"/>
        </w:rPr>
      </w:pPr>
      <w:r w:rsidRPr="00A2551C">
        <w:rPr>
          <w:lang w:val="fr-FR"/>
        </w:rPr>
        <w:t>4</w:t>
      </w:r>
      <w:r w:rsidRPr="00A2551C" w:rsidR="00E77CB3">
        <w:rPr>
          <w:lang w:val="fr-FR"/>
        </w:rPr>
        <w:t>.  </w:t>
      </w:r>
      <w:r w:rsidRPr="00A2551C" w:rsidR="00E77CB3">
        <w:rPr>
          <w:i/>
          <w:lang w:val="fr-FR"/>
        </w:rPr>
        <w:t>Dit</w:t>
      </w:r>
      <w:r w:rsidRPr="00A2551C" w:rsidR="00E77CB3">
        <w:rPr>
          <w:lang w:val="fr-FR"/>
        </w:rPr>
        <w:t xml:space="preserve"> qu</w:t>
      </w:r>
      <w:r w:rsidRPr="00A2551C" w:rsidR="00A2551C">
        <w:rPr>
          <w:lang w:val="fr-FR"/>
        </w:rPr>
        <w:t>’</w:t>
      </w:r>
      <w:r w:rsidRPr="00A2551C" w:rsidR="00E77CB3">
        <w:rPr>
          <w:lang w:val="fr-FR"/>
        </w:rPr>
        <w:t>il y a eu violation de l</w:t>
      </w:r>
      <w:r w:rsidRPr="00A2551C" w:rsidR="00A2551C">
        <w:rPr>
          <w:lang w:val="fr-FR"/>
        </w:rPr>
        <w:t>’</w:t>
      </w:r>
      <w:r w:rsidRPr="00A2551C" w:rsidR="00E77CB3">
        <w:rPr>
          <w:lang w:val="fr-FR"/>
        </w:rPr>
        <w:t xml:space="preserve">article </w:t>
      </w:r>
      <w:r w:rsidRPr="00A2551C">
        <w:rPr>
          <w:lang w:val="fr-FR"/>
        </w:rPr>
        <w:t>5 § 3</w:t>
      </w:r>
      <w:r w:rsidRPr="00A2551C" w:rsidR="00E77CB3">
        <w:rPr>
          <w:lang w:val="fr-FR"/>
        </w:rPr>
        <w:t xml:space="preserve"> de la Convention ;</w:t>
      </w:r>
    </w:p>
    <w:p w:rsidRPr="00A2551C" w:rsidR="00B351FE" w:rsidP="00A2551C" w:rsidRDefault="00B351FE">
      <w:pPr>
        <w:pStyle w:val="JuList"/>
        <w:rPr>
          <w:lang w:val="fr-FR"/>
        </w:rPr>
      </w:pPr>
    </w:p>
    <w:p w:rsidRPr="00A2551C" w:rsidR="00B351FE" w:rsidP="00A2551C" w:rsidRDefault="00B351FE">
      <w:pPr>
        <w:pStyle w:val="JuList"/>
        <w:rPr>
          <w:lang w:val="fr-FR"/>
        </w:rPr>
      </w:pPr>
      <w:r w:rsidRPr="00A2551C">
        <w:rPr>
          <w:lang w:val="fr-FR"/>
        </w:rPr>
        <w:t>5.  </w:t>
      </w:r>
      <w:r w:rsidRPr="00A2551C">
        <w:rPr>
          <w:i/>
          <w:lang w:val="fr-FR"/>
        </w:rPr>
        <w:t>Dit</w:t>
      </w:r>
      <w:r w:rsidRPr="00A2551C">
        <w:rPr>
          <w:lang w:val="fr-FR"/>
        </w:rPr>
        <w:t xml:space="preserve"> qu</w:t>
      </w:r>
      <w:r w:rsidRPr="00A2551C" w:rsidR="00A2551C">
        <w:rPr>
          <w:lang w:val="fr-FR"/>
        </w:rPr>
        <w:t>’</w:t>
      </w:r>
      <w:r w:rsidRPr="00A2551C">
        <w:rPr>
          <w:lang w:val="fr-FR"/>
        </w:rPr>
        <w:t>il y a eu violation de l</w:t>
      </w:r>
      <w:r w:rsidRPr="00A2551C" w:rsidR="00A2551C">
        <w:rPr>
          <w:lang w:val="fr-FR"/>
        </w:rPr>
        <w:t>’</w:t>
      </w:r>
      <w:r w:rsidRPr="00A2551C">
        <w:rPr>
          <w:lang w:val="fr-FR"/>
        </w:rPr>
        <w:t xml:space="preserve">article 6 § 1 de la Convention </w:t>
      </w:r>
      <w:r w:rsidRPr="00A2551C" w:rsidR="006A150C">
        <w:rPr>
          <w:bCs/>
          <w:lang w:val="fr-FR"/>
        </w:rPr>
        <w:t xml:space="preserve">en ce que </w:t>
      </w:r>
      <w:r w:rsidRPr="00A2551C" w:rsidR="006C42B7">
        <w:rPr>
          <w:bCs/>
          <w:lang w:val="fr-FR"/>
        </w:rPr>
        <w:t>la procédure</w:t>
      </w:r>
      <w:r w:rsidRPr="00A2551C" w:rsidR="006A150C">
        <w:rPr>
          <w:bCs/>
          <w:lang w:val="fr-FR"/>
        </w:rPr>
        <w:t xml:space="preserve"> pénal</w:t>
      </w:r>
      <w:r w:rsidRPr="00A2551C" w:rsidR="006C42B7">
        <w:rPr>
          <w:bCs/>
          <w:lang w:val="fr-FR"/>
        </w:rPr>
        <w:t>e</w:t>
      </w:r>
      <w:r w:rsidRPr="00A2551C" w:rsidR="006A150C">
        <w:rPr>
          <w:bCs/>
          <w:lang w:val="fr-FR"/>
        </w:rPr>
        <w:t xml:space="preserve"> dirigé</w:t>
      </w:r>
      <w:r w:rsidRPr="00A2551C" w:rsidR="00AB22EC">
        <w:rPr>
          <w:bCs/>
          <w:lang w:val="fr-FR"/>
        </w:rPr>
        <w:t>e</w:t>
      </w:r>
      <w:r w:rsidRPr="00A2551C" w:rsidR="006A150C">
        <w:rPr>
          <w:bCs/>
          <w:lang w:val="fr-FR"/>
        </w:rPr>
        <w:t xml:space="preserve"> contre le requérant n</w:t>
      </w:r>
      <w:r w:rsidRPr="00A2551C" w:rsidR="00A2551C">
        <w:rPr>
          <w:bCs/>
          <w:lang w:val="fr-FR"/>
        </w:rPr>
        <w:t>’</w:t>
      </w:r>
      <w:r w:rsidRPr="00A2551C" w:rsidR="006A150C">
        <w:rPr>
          <w:bCs/>
          <w:lang w:val="fr-FR"/>
        </w:rPr>
        <w:t>a pas été publique </w:t>
      </w:r>
      <w:r w:rsidRPr="00A2551C">
        <w:rPr>
          <w:lang w:val="fr-FR"/>
        </w:rPr>
        <w:t>;</w:t>
      </w:r>
    </w:p>
    <w:p w:rsidRPr="00A2551C" w:rsidR="00E77CB3" w:rsidP="00A2551C" w:rsidRDefault="00E77CB3">
      <w:pPr>
        <w:pStyle w:val="JuList"/>
        <w:rPr>
          <w:lang w:val="fr-FR"/>
        </w:rPr>
      </w:pPr>
    </w:p>
    <w:p w:rsidRPr="00A2551C" w:rsidR="00D733D1" w:rsidP="00A2551C" w:rsidRDefault="00A97D94">
      <w:pPr>
        <w:pStyle w:val="JuList"/>
        <w:rPr>
          <w:lang w:val="fr-FR"/>
        </w:rPr>
      </w:pPr>
      <w:r w:rsidRPr="00A2551C">
        <w:rPr>
          <w:lang w:val="fr-FR"/>
        </w:rPr>
        <w:t>6</w:t>
      </w:r>
      <w:r w:rsidRPr="00A2551C" w:rsidR="00E77CB3">
        <w:rPr>
          <w:lang w:val="fr-FR"/>
        </w:rPr>
        <w:t>.  </w:t>
      </w:r>
      <w:r w:rsidRPr="00A2551C" w:rsidR="00E77CB3">
        <w:rPr>
          <w:i/>
          <w:lang w:val="fr-FR"/>
        </w:rPr>
        <w:t>Dit</w:t>
      </w:r>
      <w:r w:rsidRPr="00A2551C" w:rsidR="00E77CB3">
        <w:rPr>
          <w:lang w:val="fr-FR"/>
        </w:rPr>
        <w:t xml:space="preserve"> </w:t>
      </w:r>
      <w:r w:rsidRPr="00A2551C" w:rsidR="00813352">
        <w:rPr>
          <w:lang w:val="fr-FR"/>
        </w:rPr>
        <w:t>qu</w:t>
      </w:r>
      <w:r w:rsidRPr="00A2551C" w:rsidR="00A2551C">
        <w:rPr>
          <w:lang w:val="fr-FR"/>
        </w:rPr>
        <w:t>’</w:t>
      </w:r>
      <w:r w:rsidRPr="00A2551C" w:rsidR="00813352">
        <w:rPr>
          <w:lang w:val="fr-FR"/>
        </w:rPr>
        <w:t>il y a eu violation de l</w:t>
      </w:r>
      <w:r w:rsidRPr="00A2551C" w:rsidR="00A2551C">
        <w:rPr>
          <w:lang w:val="fr-FR"/>
        </w:rPr>
        <w:t>’</w:t>
      </w:r>
      <w:r w:rsidRPr="00A2551C" w:rsidR="00813352">
        <w:rPr>
          <w:lang w:val="fr-FR"/>
        </w:rPr>
        <w:t>article 8 de la Convention</w:t>
      </w:r>
      <w:r w:rsidRPr="00A2551C" w:rsidR="00E77CB3">
        <w:rPr>
          <w:lang w:val="fr-FR"/>
        </w:rPr>
        <w:t> ;</w:t>
      </w:r>
    </w:p>
    <w:p w:rsidRPr="00A2551C" w:rsidR="00D733D1" w:rsidP="00A2551C" w:rsidRDefault="00D733D1">
      <w:pPr>
        <w:pStyle w:val="JuList"/>
        <w:rPr>
          <w:lang w:val="fr-FR"/>
        </w:rPr>
      </w:pPr>
    </w:p>
    <w:p w:rsidRPr="00A2551C" w:rsidR="00A2551C" w:rsidP="00A2551C" w:rsidRDefault="00A97D94">
      <w:pPr>
        <w:pStyle w:val="JuList"/>
        <w:rPr>
          <w:lang w:val="fr-FR"/>
        </w:rPr>
      </w:pPr>
      <w:r w:rsidRPr="00A2551C">
        <w:rPr>
          <w:lang w:val="fr-FR"/>
        </w:rPr>
        <w:t>7</w:t>
      </w:r>
      <w:r w:rsidRPr="00A2551C" w:rsidR="00E77CB3">
        <w:rPr>
          <w:lang w:val="fr-FR"/>
        </w:rPr>
        <w:t>.  </w:t>
      </w:r>
      <w:r w:rsidRPr="00A2551C" w:rsidR="00E77CB3">
        <w:rPr>
          <w:i/>
          <w:lang w:val="fr-FR"/>
        </w:rPr>
        <w:t>Dit</w:t>
      </w:r>
    </w:p>
    <w:p w:rsidRPr="00A2551C" w:rsidR="00E77CB3" w:rsidP="00A2551C" w:rsidRDefault="00E77CB3">
      <w:pPr>
        <w:pStyle w:val="JuLista"/>
        <w:rPr>
          <w:lang w:val="fr-FR"/>
        </w:rPr>
      </w:pPr>
      <w:r w:rsidRPr="00A2551C">
        <w:rPr>
          <w:lang w:val="fr-FR"/>
        </w:rPr>
        <w:t>a)  que l</w:t>
      </w:r>
      <w:r w:rsidRPr="00A2551C" w:rsidR="00A2551C">
        <w:rPr>
          <w:lang w:val="fr-FR"/>
        </w:rPr>
        <w:t>’</w:t>
      </w:r>
      <w:r w:rsidRPr="00A2551C">
        <w:rPr>
          <w:lang w:val="fr-FR"/>
        </w:rPr>
        <w:t xml:space="preserve">État défendeur doit verser </w:t>
      </w:r>
      <w:r w:rsidRPr="00A2551C" w:rsidR="00D733D1">
        <w:rPr>
          <w:lang w:val="fr-FR"/>
        </w:rPr>
        <w:t>au requérant</w:t>
      </w:r>
      <w:r w:rsidRPr="00A2551C">
        <w:rPr>
          <w:lang w:val="fr-FR"/>
        </w:rPr>
        <w:t>, dans les trois mois</w:t>
      </w:r>
      <w:r w:rsidRPr="00A2551C" w:rsidR="00813352">
        <w:rPr>
          <w:lang w:val="fr-FR"/>
        </w:rPr>
        <w:t xml:space="preserve"> </w:t>
      </w:r>
      <w:r w:rsidRPr="00A2551C" w:rsidR="00D733D1">
        <w:rPr>
          <w:lang w:val="fr-FR"/>
        </w:rPr>
        <w:t>à compter du jour où l</w:t>
      </w:r>
      <w:r w:rsidRPr="00A2551C" w:rsidR="00A2551C">
        <w:rPr>
          <w:lang w:val="fr-FR"/>
        </w:rPr>
        <w:t>’</w:t>
      </w:r>
      <w:r w:rsidRPr="00A2551C" w:rsidR="00D733D1">
        <w:rPr>
          <w:lang w:val="fr-FR"/>
        </w:rPr>
        <w:t>arrêt sera devenu définitif conformément à l</w:t>
      </w:r>
      <w:r w:rsidRPr="00A2551C" w:rsidR="00A2551C">
        <w:rPr>
          <w:lang w:val="fr-FR"/>
        </w:rPr>
        <w:t>’</w:t>
      </w:r>
      <w:r w:rsidRPr="00A2551C" w:rsidR="00D733D1">
        <w:rPr>
          <w:lang w:val="fr-FR"/>
        </w:rPr>
        <w:t>article 44 § 2 de la Convention</w:t>
      </w:r>
      <w:r w:rsidRPr="00A2551C">
        <w:rPr>
          <w:lang w:val="fr-FR"/>
        </w:rPr>
        <w:t xml:space="preserve">, les sommes suivantes, à convertir </w:t>
      </w:r>
      <w:r w:rsidRPr="00A2551C">
        <w:rPr>
          <w:rStyle w:val="Strong"/>
          <w:b w:val="0"/>
          <w:lang w:val="fr-FR"/>
        </w:rPr>
        <w:t>dans la monnaie de l</w:t>
      </w:r>
      <w:r w:rsidRPr="00A2551C" w:rsidR="00A2551C">
        <w:rPr>
          <w:rStyle w:val="Strong"/>
          <w:b w:val="0"/>
          <w:lang w:val="fr-FR"/>
        </w:rPr>
        <w:t>’</w:t>
      </w:r>
      <w:r w:rsidRPr="00A2551C">
        <w:rPr>
          <w:rStyle w:val="Strong"/>
          <w:b w:val="0"/>
          <w:lang w:val="fr-FR"/>
        </w:rPr>
        <w:t>État défendeur</w:t>
      </w:r>
      <w:r w:rsidRPr="00A2551C">
        <w:rPr>
          <w:lang w:val="fr-FR"/>
        </w:rPr>
        <w:t>, au taux applicable à la date du règlement :</w:t>
      </w:r>
    </w:p>
    <w:p w:rsidRPr="00A2551C" w:rsidR="00E77CB3" w:rsidP="00A2551C" w:rsidRDefault="00E77CB3">
      <w:pPr>
        <w:pStyle w:val="JuListi"/>
        <w:rPr>
          <w:lang w:val="fr-FR" w:eastAsia="en-GB"/>
        </w:rPr>
      </w:pPr>
      <w:r w:rsidRPr="00A2551C">
        <w:rPr>
          <w:lang w:val="fr-FR" w:eastAsia="en-GB"/>
        </w:rPr>
        <w:t>i</w:t>
      </w:r>
      <w:r w:rsidRPr="00A2551C" w:rsidR="004763E8">
        <w:rPr>
          <w:lang w:val="fr-FR" w:eastAsia="en-GB"/>
        </w:rPr>
        <w:t>.</w:t>
      </w:r>
      <w:r w:rsidRPr="00A2551C">
        <w:rPr>
          <w:lang w:val="fr-FR" w:eastAsia="en-GB"/>
        </w:rPr>
        <w:t>  </w:t>
      </w:r>
      <w:r w:rsidRPr="00A2551C" w:rsidR="00813352">
        <w:rPr>
          <w:lang w:val="fr-FR" w:eastAsia="en-GB"/>
        </w:rPr>
        <w:t>10 000</w:t>
      </w:r>
      <w:r w:rsidRPr="00A2551C">
        <w:rPr>
          <w:lang w:val="fr-FR" w:eastAsia="en-GB"/>
        </w:rPr>
        <w:t xml:space="preserve"> EUR (</w:t>
      </w:r>
      <w:r w:rsidRPr="00A2551C" w:rsidR="00813352">
        <w:rPr>
          <w:lang w:val="fr-FR" w:eastAsia="en-GB"/>
        </w:rPr>
        <w:t>dix mille</w:t>
      </w:r>
      <w:r w:rsidRPr="00A2551C">
        <w:rPr>
          <w:lang w:val="fr-FR" w:eastAsia="en-GB"/>
        </w:rPr>
        <w:t xml:space="preserve"> euros), plus tout montant pouvant être dû à titre d</w:t>
      </w:r>
      <w:r w:rsidRPr="00A2551C" w:rsidR="00A2551C">
        <w:rPr>
          <w:lang w:val="fr-FR" w:eastAsia="en-GB"/>
        </w:rPr>
        <w:t>’</w:t>
      </w:r>
      <w:r w:rsidRPr="00A2551C">
        <w:rPr>
          <w:lang w:val="fr-FR" w:eastAsia="en-GB"/>
        </w:rPr>
        <w:t>impôt, pour dommage moral</w:t>
      </w:r>
      <w:r w:rsidRPr="00A2551C" w:rsidR="000F046A">
        <w:rPr>
          <w:lang w:val="fr-FR" w:eastAsia="en-GB"/>
        </w:rPr>
        <w:t>,</w:t>
      </w:r>
    </w:p>
    <w:p w:rsidRPr="00A2551C" w:rsidR="00E77CB3" w:rsidP="00A2551C" w:rsidRDefault="00E77CB3">
      <w:pPr>
        <w:pStyle w:val="JuListi"/>
        <w:rPr>
          <w:lang w:val="fr-FR" w:eastAsia="en-GB"/>
        </w:rPr>
      </w:pPr>
      <w:r w:rsidRPr="00A2551C">
        <w:rPr>
          <w:lang w:val="fr-FR" w:eastAsia="en-GB"/>
        </w:rPr>
        <w:t>ii</w:t>
      </w:r>
      <w:r w:rsidRPr="00A2551C" w:rsidR="004763E8">
        <w:rPr>
          <w:lang w:val="fr-FR" w:eastAsia="en-GB"/>
        </w:rPr>
        <w:t>.</w:t>
      </w:r>
      <w:r w:rsidRPr="00A2551C">
        <w:rPr>
          <w:lang w:val="fr-FR" w:eastAsia="en-GB"/>
        </w:rPr>
        <w:t>  </w:t>
      </w:r>
      <w:r w:rsidRPr="00A2551C" w:rsidR="00813352">
        <w:rPr>
          <w:lang w:val="fr-FR" w:eastAsia="en-GB"/>
        </w:rPr>
        <w:t>2 000</w:t>
      </w:r>
      <w:r w:rsidRPr="00A2551C">
        <w:rPr>
          <w:lang w:val="fr-FR" w:eastAsia="en-GB"/>
        </w:rPr>
        <w:t xml:space="preserve"> EUR (</w:t>
      </w:r>
      <w:r w:rsidRPr="00A2551C" w:rsidR="00813352">
        <w:rPr>
          <w:lang w:val="fr-FR" w:eastAsia="en-GB"/>
        </w:rPr>
        <w:t>deux mille</w:t>
      </w:r>
      <w:r w:rsidRPr="00A2551C">
        <w:rPr>
          <w:lang w:val="fr-FR" w:eastAsia="en-GB"/>
        </w:rPr>
        <w:t xml:space="preserve"> euros), plus tout montant </w:t>
      </w:r>
      <w:r w:rsidRPr="00A2551C" w:rsidR="005E37C6">
        <w:rPr>
          <w:lang w:val="fr-FR" w:eastAsia="en-GB"/>
        </w:rPr>
        <w:t xml:space="preserve">pouvant être dû par </w:t>
      </w:r>
      <w:r w:rsidRPr="00A2551C" w:rsidR="00D733D1">
        <w:rPr>
          <w:lang w:val="fr-FR"/>
        </w:rPr>
        <w:t>le requérant</w:t>
      </w:r>
      <w:r w:rsidRPr="00A2551C" w:rsidR="005E37C6">
        <w:rPr>
          <w:lang w:val="fr-FR" w:eastAsia="en-GB"/>
        </w:rPr>
        <w:t xml:space="preserve"> à titre d</w:t>
      </w:r>
      <w:r w:rsidRPr="00A2551C" w:rsidR="00A2551C">
        <w:rPr>
          <w:lang w:val="fr-FR" w:eastAsia="en-GB"/>
        </w:rPr>
        <w:t>’</w:t>
      </w:r>
      <w:r w:rsidRPr="00A2551C" w:rsidR="005E37C6">
        <w:rPr>
          <w:lang w:val="fr-FR" w:eastAsia="en-GB"/>
        </w:rPr>
        <w:t>impôt, pour frais et dépens</w:t>
      </w:r>
      <w:r w:rsidRPr="00A2551C">
        <w:rPr>
          <w:lang w:val="fr-FR" w:eastAsia="en-GB"/>
        </w:rPr>
        <w:t> ;</w:t>
      </w:r>
    </w:p>
    <w:p w:rsidRPr="00A2551C" w:rsidR="003175BA" w:rsidP="00A2551C" w:rsidRDefault="00E77CB3">
      <w:pPr>
        <w:pStyle w:val="JuLista"/>
        <w:rPr>
          <w:lang w:val="fr-FR"/>
        </w:rPr>
      </w:pPr>
      <w:r w:rsidRPr="00A2551C">
        <w:rPr>
          <w:lang w:val="fr-FR"/>
        </w:rPr>
        <w:t>b)  qu</w:t>
      </w:r>
      <w:r w:rsidRPr="00A2551C" w:rsidR="00A2551C">
        <w:rPr>
          <w:lang w:val="fr-FR"/>
        </w:rPr>
        <w:t>’</w:t>
      </w:r>
      <w:r w:rsidRPr="00A2551C">
        <w:rPr>
          <w:lang w:val="fr-FR"/>
        </w:rPr>
        <w:t>à compter de l</w:t>
      </w:r>
      <w:r w:rsidRPr="00A2551C" w:rsidR="00A2551C">
        <w:rPr>
          <w:lang w:val="fr-FR"/>
        </w:rPr>
        <w:t>’</w:t>
      </w:r>
      <w:r w:rsidRPr="00A2551C">
        <w:rPr>
          <w:lang w:val="fr-FR"/>
        </w:rPr>
        <w:t>expiration dudit délai et jusqu</w:t>
      </w:r>
      <w:r w:rsidRPr="00A2551C" w:rsidR="00A2551C">
        <w:rPr>
          <w:lang w:val="fr-FR"/>
        </w:rPr>
        <w:t>’</w:t>
      </w:r>
      <w:r w:rsidRPr="00A2551C">
        <w:rPr>
          <w:lang w:val="fr-FR"/>
        </w:rPr>
        <w:t>au versement, ces montants seront à majorer d</w:t>
      </w:r>
      <w:r w:rsidRPr="00A2551C" w:rsidR="00A2551C">
        <w:rPr>
          <w:lang w:val="fr-FR"/>
        </w:rPr>
        <w:t>’</w:t>
      </w:r>
      <w:r w:rsidRPr="00A2551C">
        <w:rPr>
          <w:lang w:val="fr-FR"/>
        </w:rPr>
        <w:t>un intérêt simple à un taux égal à celui de la facilité de prêt marginal de la Banque centrale européenne applicable pendant cette période, augmenté de trois points de pourcentage ;</w:t>
      </w:r>
    </w:p>
    <w:p w:rsidRPr="00A2551C" w:rsidR="00E77CB3" w:rsidP="00A2551C" w:rsidRDefault="00E77CB3">
      <w:pPr>
        <w:pStyle w:val="JuLista"/>
        <w:rPr>
          <w:lang w:val="fr-FR"/>
        </w:rPr>
      </w:pPr>
    </w:p>
    <w:p w:rsidRPr="00A2551C" w:rsidR="00E77CB3" w:rsidP="00A2551C" w:rsidRDefault="00A97D94">
      <w:pPr>
        <w:pStyle w:val="JuList"/>
        <w:keepNext/>
        <w:keepLines/>
        <w:rPr>
          <w:lang w:val="fr-FR"/>
        </w:rPr>
      </w:pPr>
      <w:r w:rsidRPr="00A2551C">
        <w:rPr>
          <w:lang w:val="fr-FR"/>
        </w:rPr>
        <w:t>8</w:t>
      </w:r>
      <w:r w:rsidRPr="00A2551C" w:rsidR="00E77CB3">
        <w:rPr>
          <w:lang w:val="fr-FR"/>
        </w:rPr>
        <w:t>.  </w:t>
      </w:r>
      <w:r w:rsidRPr="00A2551C" w:rsidR="00E77CB3">
        <w:rPr>
          <w:i/>
          <w:lang w:val="fr-FR"/>
        </w:rPr>
        <w:t>Rejette</w:t>
      </w:r>
      <w:r w:rsidRPr="00A2551C" w:rsidR="00E77CB3">
        <w:rPr>
          <w:lang w:val="fr-FR"/>
        </w:rPr>
        <w:t xml:space="preserve"> la demande de satisfaction équitable pour le surplus.</w:t>
      </w:r>
    </w:p>
    <w:p w:rsidRPr="00A2551C" w:rsidR="00E77CB3" w:rsidP="00A2551C" w:rsidRDefault="00E77CB3">
      <w:pPr>
        <w:pStyle w:val="JuParaLast"/>
        <w:rPr>
          <w:lang w:val="fr-FR"/>
        </w:rPr>
      </w:pPr>
      <w:r w:rsidRPr="00A2551C">
        <w:rPr>
          <w:lang w:val="fr-FR"/>
        </w:rPr>
        <w:t>Fait en français, puis communiqué par écrit le </w:t>
      </w:r>
      <w:r w:rsidRPr="00A2551C" w:rsidR="00F95A39">
        <w:rPr>
          <w:lang w:val="fr-FR"/>
        </w:rPr>
        <w:t>27 août 2019</w:t>
      </w:r>
      <w:r w:rsidRPr="00A2551C">
        <w:rPr>
          <w:lang w:val="fr-FR"/>
        </w:rPr>
        <w:t>, en application de l</w:t>
      </w:r>
      <w:r w:rsidRPr="00A2551C" w:rsidR="00A2551C">
        <w:rPr>
          <w:lang w:val="fr-FR"/>
        </w:rPr>
        <w:t>’</w:t>
      </w:r>
      <w:r w:rsidRPr="00A2551C">
        <w:rPr>
          <w:lang w:val="fr-FR"/>
        </w:rPr>
        <w:t>article 77 §§ 2 et 3 du règlement</w:t>
      </w:r>
      <w:r w:rsidRPr="00A2551C" w:rsidR="00AC0824">
        <w:rPr>
          <w:lang w:val="fr-FR"/>
        </w:rPr>
        <w:t xml:space="preserve"> de la Cour</w:t>
      </w:r>
      <w:r w:rsidRPr="00A2551C">
        <w:rPr>
          <w:lang w:val="fr-FR"/>
        </w:rPr>
        <w:t>.</w:t>
      </w:r>
    </w:p>
    <w:p w:rsidRPr="00A2551C" w:rsidR="004D15F3" w:rsidP="00A2551C" w:rsidRDefault="00D733D1">
      <w:pPr>
        <w:pStyle w:val="JuSigned"/>
        <w:keepNext/>
        <w:keepLines/>
        <w:rPr>
          <w:lang w:val="fr-FR"/>
        </w:rPr>
      </w:pPr>
      <w:r w:rsidRPr="00A2551C">
        <w:rPr>
          <w:lang w:val="fr-FR"/>
        </w:rPr>
        <w:tab/>
        <w:t>Stephen Phillips</w:t>
      </w:r>
      <w:r w:rsidRPr="00A2551C" w:rsidR="00E77CB3">
        <w:rPr>
          <w:lang w:val="fr-FR"/>
        </w:rPr>
        <w:tab/>
      </w:r>
      <w:r w:rsidRPr="00A2551C">
        <w:rPr>
          <w:szCs w:val="24"/>
          <w:lang w:val="fr-FR"/>
        </w:rPr>
        <w:t>Vincent A. De Gaetano</w:t>
      </w:r>
      <w:r w:rsidRPr="00A2551C" w:rsidR="00E77CB3">
        <w:rPr>
          <w:lang w:val="fr-FR"/>
        </w:rPr>
        <w:br/>
      </w:r>
      <w:r w:rsidRPr="00A2551C" w:rsidR="00E77CB3">
        <w:rPr>
          <w:lang w:val="fr-FR"/>
        </w:rPr>
        <w:tab/>
      </w:r>
      <w:r w:rsidRPr="00A2551C">
        <w:rPr>
          <w:lang w:val="fr-FR"/>
        </w:rPr>
        <w:t>Greffier</w:t>
      </w:r>
      <w:r w:rsidRPr="00A2551C" w:rsidR="00E77CB3">
        <w:rPr>
          <w:lang w:val="fr-FR"/>
        </w:rPr>
        <w:tab/>
      </w:r>
      <w:r w:rsidRPr="00A2551C">
        <w:rPr>
          <w:lang w:val="fr-FR"/>
        </w:rPr>
        <w:t>Président</w:t>
      </w:r>
    </w:p>
    <w:p w:rsidRPr="00A2551C" w:rsidR="00A2551C" w:rsidP="00A2551C" w:rsidRDefault="00A2551C">
      <w:pPr>
        <w:pStyle w:val="JuParaLast"/>
        <w:rPr>
          <w:lang w:val="fr-FR"/>
        </w:rPr>
      </w:pPr>
    </w:p>
    <w:sectPr w:rsidRPr="00A2551C" w:rsidR="00A2551C" w:rsidSect="00BA7517">
      <w:headerReference w:type="even" r:id="rId10"/>
      <w:headerReference w:type="default" r:id="rId11"/>
      <w:footerReference w:type="default" r:id="rId12"/>
      <w:headerReference w:type="first" r:id="rId13"/>
      <w:footnotePr>
        <w:numRestart w:val="eachSect"/>
      </w:footnotePr>
      <w:type w:val="oddPage"/>
      <w:pgSz w:w="11906" w:h="16838" w:code="9"/>
      <w:pgMar w:top="2274" w:right="2274" w:bottom="1985" w:left="2274" w:header="1701" w:footer="567"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1A" w:rsidRPr="001859A6" w:rsidRDefault="00FC431A" w:rsidP="00E77CB3">
      <w:pPr>
        <w:rPr>
          <w:lang w:val="fr-FR"/>
        </w:rPr>
      </w:pPr>
      <w:r w:rsidRPr="001859A6">
        <w:rPr>
          <w:lang w:val="fr-FR"/>
        </w:rPr>
        <w:separator/>
      </w:r>
    </w:p>
    <w:p w:rsidR="00FC431A" w:rsidRDefault="00FC431A"/>
  </w:endnote>
  <w:endnote w:type="continuationSeparator" w:id="0">
    <w:p w:rsidR="00FC431A" w:rsidRPr="001859A6" w:rsidRDefault="00FC431A" w:rsidP="00E77CB3">
      <w:pPr>
        <w:rPr>
          <w:lang w:val="fr-FR"/>
        </w:rPr>
      </w:pPr>
      <w:r w:rsidRPr="001859A6">
        <w:rPr>
          <w:lang w:val="fr-FR"/>
        </w:rPr>
        <w:continuationSeparator/>
      </w:r>
    </w:p>
    <w:p w:rsidR="00FC431A" w:rsidRDefault="00FC4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9F" w:rsidRPr="00150BFA" w:rsidRDefault="00970D9F" w:rsidP="0020718E">
    <w:pPr>
      <w:jc w:val="center"/>
    </w:pPr>
    <w:r>
      <w:rPr>
        <w:noProof/>
        <w:lang w:val="en-US" w:eastAsia="ja-JP"/>
      </w:rPr>
      <w:drawing>
        <wp:inline distT="0" distB="0" distL="0" distR="0" wp14:anchorId="42271286" wp14:editId="6FFE84A8">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70D9F" w:rsidRPr="00EA4BD7" w:rsidRDefault="00970D9F" w:rsidP="005072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4F" w:rsidRPr="008A144F" w:rsidRDefault="008A144F" w:rsidP="005072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1A" w:rsidRPr="001859A6" w:rsidRDefault="00FC431A" w:rsidP="00E77CB3">
      <w:pPr>
        <w:rPr>
          <w:lang w:val="fr-FR"/>
        </w:rPr>
      </w:pPr>
      <w:r w:rsidRPr="001859A6">
        <w:rPr>
          <w:lang w:val="fr-FR"/>
        </w:rPr>
        <w:separator/>
      </w:r>
    </w:p>
    <w:p w:rsidR="00FC431A" w:rsidRDefault="00FC431A"/>
  </w:footnote>
  <w:footnote w:type="continuationSeparator" w:id="0">
    <w:p w:rsidR="00FC431A" w:rsidRPr="001859A6" w:rsidRDefault="00FC431A" w:rsidP="00E77CB3">
      <w:pPr>
        <w:rPr>
          <w:lang w:val="fr-FR"/>
        </w:rPr>
      </w:pPr>
      <w:r w:rsidRPr="001859A6">
        <w:rPr>
          <w:lang w:val="fr-FR"/>
        </w:rPr>
        <w:continuationSeparator/>
      </w:r>
    </w:p>
    <w:p w:rsidR="00FC431A" w:rsidRDefault="00FC4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9F" w:rsidRPr="00A45145" w:rsidRDefault="00970D9F" w:rsidP="00A45145">
    <w:pPr>
      <w:jc w:val="center"/>
    </w:pPr>
    <w:r>
      <w:rPr>
        <w:noProof/>
        <w:lang w:val="en-US" w:eastAsia="ja-JP"/>
      </w:rPr>
      <w:drawing>
        <wp:inline distT="0" distB="0" distL="0" distR="0" wp14:anchorId="16585EDF" wp14:editId="573C5F76">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70D9F" w:rsidRPr="00EA4BD7" w:rsidRDefault="00970D9F"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1A" w:rsidRPr="00C0126C" w:rsidRDefault="00FC431A" w:rsidP="00C0126C">
    <w:pPr>
      <w:pStyle w:val="ECHR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A2551C">
      <w:rPr>
        <w:rStyle w:val="PageNumber"/>
        <w:noProof/>
        <w:lang w:val="fr-FR"/>
      </w:rPr>
      <w:t>32</w:t>
    </w:r>
    <w:r>
      <w:rPr>
        <w:rStyle w:val="PageNumber"/>
        <w:lang w:val="fr-FR"/>
      </w:rPr>
      <w:fldChar w:fldCharType="end"/>
    </w:r>
    <w:r w:rsidRPr="001859A6">
      <w:rPr>
        <w:rStyle w:val="PageNumber"/>
        <w:lang w:val="fr-FR"/>
      </w:rPr>
      <w:tab/>
    </w:r>
    <w:r w:rsidRPr="00EC1949">
      <w:rPr>
        <w:noProof/>
      </w:rPr>
      <w:t>ARRÊT</w:t>
    </w:r>
    <w:r w:rsidRPr="00EC1949">
      <w:rPr>
        <w:noProof/>
        <w:lang w:val="fr-FR"/>
      </w:rPr>
      <w:t xml:space="preserve"> </w:t>
    </w:r>
    <w:r>
      <w:rPr>
        <w:lang w:val="fr-FR"/>
      </w:rPr>
      <w:t>IZMESTYEV c. RUSSIE</w:t>
    </w:r>
    <w:r>
      <w:rPr>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735068"/>
      <w:docPartObj>
        <w:docPartGallery w:val="Page Numbers (Top of Page)"/>
        <w:docPartUnique/>
      </w:docPartObj>
    </w:sdtPr>
    <w:sdtEndPr>
      <w:rPr>
        <w:sz w:val="18"/>
        <w:szCs w:val="18"/>
        <w:lang w:val="fr-FR"/>
      </w:rPr>
    </w:sdtEndPr>
    <w:sdtContent>
      <w:p w:rsidR="00FC431A" w:rsidRPr="00970D9F" w:rsidRDefault="00FC431A" w:rsidP="00970D9F">
        <w:pPr>
          <w:pStyle w:val="Header"/>
          <w:tabs>
            <w:tab w:val="clear" w:pos="4536"/>
            <w:tab w:val="clear" w:pos="9072"/>
            <w:tab w:val="center" w:pos="3686"/>
            <w:tab w:val="right" w:pos="7371"/>
          </w:tabs>
          <w:rPr>
            <w:sz w:val="18"/>
            <w:szCs w:val="18"/>
          </w:rPr>
        </w:pPr>
        <w:r w:rsidRPr="00262333">
          <w:rPr>
            <w:sz w:val="18"/>
            <w:szCs w:val="18"/>
            <w:lang w:val="fr-FR"/>
          </w:rPr>
          <w:tab/>
        </w:r>
        <w:r w:rsidRPr="00EC1949">
          <w:rPr>
            <w:sz w:val="18"/>
            <w:szCs w:val="18"/>
          </w:rPr>
          <w:t>ARRÊT</w:t>
        </w:r>
        <w:r w:rsidRPr="00EC1949">
          <w:rPr>
            <w:sz w:val="18"/>
            <w:szCs w:val="18"/>
            <w:lang w:val="fr-FR"/>
          </w:rPr>
          <w:t xml:space="preserve"> </w:t>
        </w:r>
        <w:r w:rsidRPr="00262333">
          <w:rPr>
            <w:sz w:val="18"/>
            <w:szCs w:val="18"/>
            <w:lang w:val="fr-FR"/>
          </w:rPr>
          <w:t>IZMESTYEV c. RUSSIE</w:t>
        </w:r>
        <w:r w:rsidRPr="00D37A56">
          <w:rPr>
            <w:sz w:val="18"/>
            <w:szCs w:val="18"/>
            <w:lang w:val="fr-FR"/>
          </w:rPr>
          <w:t xml:space="preserve"> </w:t>
        </w:r>
        <w:r>
          <w:rPr>
            <w:sz w:val="18"/>
            <w:szCs w:val="18"/>
            <w:lang w:val="fr-FR"/>
          </w:rPr>
          <w:tab/>
        </w:r>
        <w:r w:rsidRPr="00262333">
          <w:rPr>
            <w:sz w:val="18"/>
            <w:szCs w:val="18"/>
            <w:lang w:val="fr-FR"/>
          </w:rPr>
          <w:fldChar w:fldCharType="begin"/>
        </w:r>
        <w:r w:rsidRPr="00262333">
          <w:rPr>
            <w:sz w:val="18"/>
            <w:szCs w:val="18"/>
          </w:rPr>
          <w:instrText xml:space="preserve"> PAGE </w:instrText>
        </w:r>
        <w:r w:rsidRPr="00262333">
          <w:rPr>
            <w:sz w:val="18"/>
            <w:szCs w:val="18"/>
            <w:lang w:val="fr-FR"/>
          </w:rPr>
          <w:fldChar w:fldCharType="separate"/>
        </w:r>
        <w:r w:rsidR="00A2551C">
          <w:rPr>
            <w:noProof/>
            <w:sz w:val="18"/>
            <w:szCs w:val="18"/>
          </w:rPr>
          <w:t>31</w:t>
        </w:r>
        <w:r w:rsidRPr="00262333">
          <w:rPr>
            <w:sz w:val="18"/>
            <w:szCs w:val="18"/>
            <w:lang w:val="fr-FR"/>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1A" w:rsidRDefault="00FC431A" w:rsidP="00262333">
    <w:pPr>
      <w:pStyle w:val="Header"/>
      <w:jc w:val="center"/>
    </w:pPr>
    <w:r>
      <w:rPr>
        <w:noProof/>
        <w:lang w:val="en-US" w:eastAsia="ja-JP"/>
      </w:rPr>
      <w:drawing>
        <wp:inline distT="0" distB="0" distL="0" distR="0" wp14:anchorId="7F27053E" wp14:editId="170114FC">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D733D1"/>
    <w:rsid w:val="000041F8"/>
    <w:rsid w:val="000042A8"/>
    <w:rsid w:val="00004308"/>
    <w:rsid w:val="00005BF0"/>
    <w:rsid w:val="00007154"/>
    <w:rsid w:val="000103AE"/>
    <w:rsid w:val="00011D69"/>
    <w:rsid w:val="00012AD3"/>
    <w:rsid w:val="0001346E"/>
    <w:rsid w:val="000151DE"/>
    <w:rsid w:val="00015B6B"/>
    <w:rsid w:val="00015C2D"/>
    <w:rsid w:val="00015F00"/>
    <w:rsid w:val="00016811"/>
    <w:rsid w:val="00017B9C"/>
    <w:rsid w:val="00022C1D"/>
    <w:rsid w:val="000240C8"/>
    <w:rsid w:val="00024804"/>
    <w:rsid w:val="00025879"/>
    <w:rsid w:val="000262F3"/>
    <w:rsid w:val="000279E5"/>
    <w:rsid w:val="00027B1B"/>
    <w:rsid w:val="0003065D"/>
    <w:rsid w:val="00031347"/>
    <w:rsid w:val="00033E51"/>
    <w:rsid w:val="00034987"/>
    <w:rsid w:val="00035334"/>
    <w:rsid w:val="00035830"/>
    <w:rsid w:val="0003585A"/>
    <w:rsid w:val="00040C57"/>
    <w:rsid w:val="0004191F"/>
    <w:rsid w:val="00042107"/>
    <w:rsid w:val="00043A74"/>
    <w:rsid w:val="0005053D"/>
    <w:rsid w:val="000543B2"/>
    <w:rsid w:val="00055D55"/>
    <w:rsid w:val="000602DF"/>
    <w:rsid w:val="00060790"/>
    <w:rsid w:val="00061B05"/>
    <w:rsid w:val="000632D5"/>
    <w:rsid w:val="000634C4"/>
    <w:rsid w:val="000644EE"/>
    <w:rsid w:val="000649B8"/>
    <w:rsid w:val="00066A71"/>
    <w:rsid w:val="00070DB1"/>
    <w:rsid w:val="000731FD"/>
    <w:rsid w:val="00074643"/>
    <w:rsid w:val="00077B08"/>
    <w:rsid w:val="000808A8"/>
    <w:rsid w:val="00090737"/>
    <w:rsid w:val="0009100A"/>
    <w:rsid w:val="000925AD"/>
    <w:rsid w:val="00093D43"/>
    <w:rsid w:val="00095601"/>
    <w:rsid w:val="00095C11"/>
    <w:rsid w:val="000A0647"/>
    <w:rsid w:val="000A24EB"/>
    <w:rsid w:val="000A559F"/>
    <w:rsid w:val="000B4717"/>
    <w:rsid w:val="000B6923"/>
    <w:rsid w:val="000C0A5C"/>
    <w:rsid w:val="000C1951"/>
    <w:rsid w:val="000C2E2E"/>
    <w:rsid w:val="000C5F07"/>
    <w:rsid w:val="000C5F3C"/>
    <w:rsid w:val="000C6DCC"/>
    <w:rsid w:val="000C6EC9"/>
    <w:rsid w:val="000D47AA"/>
    <w:rsid w:val="000D721F"/>
    <w:rsid w:val="000D729C"/>
    <w:rsid w:val="000E0460"/>
    <w:rsid w:val="000E069B"/>
    <w:rsid w:val="000E0E82"/>
    <w:rsid w:val="000E1DC5"/>
    <w:rsid w:val="000E223F"/>
    <w:rsid w:val="000E5A6B"/>
    <w:rsid w:val="000E7D45"/>
    <w:rsid w:val="000E7D5E"/>
    <w:rsid w:val="000F00EF"/>
    <w:rsid w:val="000F046A"/>
    <w:rsid w:val="000F3867"/>
    <w:rsid w:val="000F39AE"/>
    <w:rsid w:val="000F6996"/>
    <w:rsid w:val="000F7108"/>
    <w:rsid w:val="000F7851"/>
    <w:rsid w:val="0010413A"/>
    <w:rsid w:val="00104E23"/>
    <w:rsid w:val="001053DB"/>
    <w:rsid w:val="0010541A"/>
    <w:rsid w:val="00106154"/>
    <w:rsid w:val="00110AFA"/>
    <w:rsid w:val="00111B0C"/>
    <w:rsid w:val="00112178"/>
    <w:rsid w:val="0011220E"/>
    <w:rsid w:val="00112868"/>
    <w:rsid w:val="00113645"/>
    <w:rsid w:val="0011397D"/>
    <w:rsid w:val="00114252"/>
    <w:rsid w:val="00115ABB"/>
    <w:rsid w:val="00116DC2"/>
    <w:rsid w:val="00120D6C"/>
    <w:rsid w:val="001255F5"/>
    <w:rsid w:val="001257EC"/>
    <w:rsid w:val="00132695"/>
    <w:rsid w:val="00133D33"/>
    <w:rsid w:val="00134D64"/>
    <w:rsid w:val="00135A30"/>
    <w:rsid w:val="0013612C"/>
    <w:rsid w:val="001361E5"/>
    <w:rsid w:val="00137FF6"/>
    <w:rsid w:val="00140BAE"/>
    <w:rsid w:val="00141650"/>
    <w:rsid w:val="00141CFC"/>
    <w:rsid w:val="0014248D"/>
    <w:rsid w:val="001447BE"/>
    <w:rsid w:val="00146316"/>
    <w:rsid w:val="001516A3"/>
    <w:rsid w:val="00155841"/>
    <w:rsid w:val="00156134"/>
    <w:rsid w:val="0016085B"/>
    <w:rsid w:val="00160A81"/>
    <w:rsid w:val="0016174F"/>
    <w:rsid w:val="001619D7"/>
    <w:rsid w:val="00162A12"/>
    <w:rsid w:val="00163CB4"/>
    <w:rsid w:val="00166530"/>
    <w:rsid w:val="00167CBC"/>
    <w:rsid w:val="00180633"/>
    <w:rsid w:val="00182C93"/>
    <w:rsid w:val="001832BD"/>
    <w:rsid w:val="001859A6"/>
    <w:rsid w:val="0018720E"/>
    <w:rsid w:val="001874E5"/>
    <w:rsid w:val="001943B5"/>
    <w:rsid w:val="001944D4"/>
    <w:rsid w:val="00195134"/>
    <w:rsid w:val="0019607A"/>
    <w:rsid w:val="00196FF5"/>
    <w:rsid w:val="0019738B"/>
    <w:rsid w:val="001A1022"/>
    <w:rsid w:val="001A145B"/>
    <w:rsid w:val="001A3EF2"/>
    <w:rsid w:val="001A674C"/>
    <w:rsid w:val="001A6810"/>
    <w:rsid w:val="001A726E"/>
    <w:rsid w:val="001A7418"/>
    <w:rsid w:val="001A7C0D"/>
    <w:rsid w:val="001B1252"/>
    <w:rsid w:val="001B3B24"/>
    <w:rsid w:val="001B4E6C"/>
    <w:rsid w:val="001B7851"/>
    <w:rsid w:val="001C0F98"/>
    <w:rsid w:val="001C23A1"/>
    <w:rsid w:val="001C2A42"/>
    <w:rsid w:val="001C3531"/>
    <w:rsid w:val="001C3AE1"/>
    <w:rsid w:val="001C3E57"/>
    <w:rsid w:val="001C41FA"/>
    <w:rsid w:val="001C7D88"/>
    <w:rsid w:val="001D1C69"/>
    <w:rsid w:val="001D41B9"/>
    <w:rsid w:val="001D63ED"/>
    <w:rsid w:val="001D7348"/>
    <w:rsid w:val="001D7AD2"/>
    <w:rsid w:val="001E035B"/>
    <w:rsid w:val="001E0961"/>
    <w:rsid w:val="001E0B6D"/>
    <w:rsid w:val="001E200B"/>
    <w:rsid w:val="001E3EAE"/>
    <w:rsid w:val="001E4C19"/>
    <w:rsid w:val="001E6F32"/>
    <w:rsid w:val="001E71E4"/>
    <w:rsid w:val="001F2145"/>
    <w:rsid w:val="001F4D22"/>
    <w:rsid w:val="001F4E43"/>
    <w:rsid w:val="001F5384"/>
    <w:rsid w:val="001F5753"/>
    <w:rsid w:val="001F6262"/>
    <w:rsid w:val="001F67B0"/>
    <w:rsid w:val="001F6F11"/>
    <w:rsid w:val="001F7B3D"/>
    <w:rsid w:val="00205F9F"/>
    <w:rsid w:val="00206BB0"/>
    <w:rsid w:val="002074AD"/>
    <w:rsid w:val="00210326"/>
    <w:rsid w:val="00210338"/>
    <w:rsid w:val="002115FC"/>
    <w:rsid w:val="00211CD1"/>
    <w:rsid w:val="00212441"/>
    <w:rsid w:val="00213A89"/>
    <w:rsid w:val="0021423C"/>
    <w:rsid w:val="00215C75"/>
    <w:rsid w:val="00216B0D"/>
    <w:rsid w:val="00230D00"/>
    <w:rsid w:val="00231AB5"/>
    <w:rsid w:val="00231DF7"/>
    <w:rsid w:val="00231FD1"/>
    <w:rsid w:val="002339E0"/>
    <w:rsid w:val="00233CF8"/>
    <w:rsid w:val="0023575D"/>
    <w:rsid w:val="00237148"/>
    <w:rsid w:val="002373A8"/>
    <w:rsid w:val="0024222D"/>
    <w:rsid w:val="00243432"/>
    <w:rsid w:val="0024484F"/>
    <w:rsid w:val="00244B0E"/>
    <w:rsid w:val="00244CE4"/>
    <w:rsid w:val="00244F6C"/>
    <w:rsid w:val="0024532E"/>
    <w:rsid w:val="00246A25"/>
    <w:rsid w:val="00246ABB"/>
    <w:rsid w:val="002506BF"/>
    <w:rsid w:val="002511EB"/>
    <w:rsid w:val="002532C5"/>
    <w:rsid w:val="00257712"/>
    <w:rsid w:val="00260BA9"/>
    <w:rsid w:val="00260C03"/>
    <w:rsid w:val="00262333"/>
    <w:rsid w:val="00264B8E"/>
    <w:rsid w:val="0026540E"/>
    <w:rsid w:val="00272A37"/>
    <w:rsid w:val="00275123"/>
    <w:rsid w:val="00276E2B"/>
    <w:rsid w:val="00280217"/>
    <w:rsid w:val="00281ED9"/>
    <w:rsid w:val="00282240"/>
    <w:rsid w:val="002822E5"/>
    <w:rsid w:val="0028254F"/>
    <w:rsid w:val="0028556A"/>
    <w:rsid w:val="002901A7"/>
    <w:rsid w:val="002905AC"/>
    <w:rsid w:val="0029114E"/>
    <w:rsid w:val="00291379"/>
    <w:rsid w:val="0029489C"/>
    <w:rsid w:val="002948AD"/>
    <w:rsid w:val="00297945"/>
    <w:rsid w:val="002A01CC"/>
    <w:rsid w:val="002A1525"/>
    <w:rsid w:val="002A61B1"/>
    <w:rsid w:val="002A663C"/>
    <w:rsid w:val="002B444B"/>
    <w:rsid w:val="002B44EE"/>
    <w:rsid w:val="002B5887"/>
    <w:rsid w:val="002B6402"/>
    <w:rsid w:val="002C0E27"/>
    <w:rsid w:val="002C1F3D"/>
    <w:rsid w:val="002C3040"/>
    <w:rsid w:val="002C41E7"/>
    <w:rsid w:val="002D022D"/>
    <w:rsid w:val="002D23B6"/>
    <w:rsid w:val="002D24BB"/>
    <w:rsid w:val="002D564F"/>
    <w:rsid w:val="002E02CB"/>
    <w:rsid w:val="002E0C87"/>
    <w:rsid w:val="002E7620"/>
    <w:rsid w:val="002F0263"/>
    <w:rsid w:val="002F2AF7"/>
    <w:rsid w:val="002F58B9"/>
    <w:rsid w:val="002F764E"/>
    <w:rsid w:val="002F7E1C"/>
    <w:rsid w:val="00301A75"/>
    <w:rsid w:val="00302F70"/>
    <w:rsid w:val="0030336F"/>
    <w:rsid w:val="0030375E"/>
    <w:rsid w:val="0030445C"/>
    <w:rsid w:val="00304CC8"/>
    <w:rsid w:val="00312A30"/>
    <w:rsid w:val="00315FFB"/>
    <w:rsid w:val="003175BA"/>
    <w:rsid w:val="00320F72"/>
    <w:rsid w:val="00322AA0"/>
    <w:rsid w:val="0032463E"/>
    <w:rsid w:val="00325191"/>
    <w:rsid w:val="003252F0"/>
    <w:rsid w:val="00326224"/>
    <w:rsid w:val="00327162"/>
    <w:rsid w:val="00331092"/>
    <w:rsid w:val="0033298E"/>
    <w:rsid w:val="00335DA1"/>
    <w:rsid w:val="00337EE4"/>
    <w:rsid w:val="00340FFD"/>
    <w:rsid w:val="00346C0B"/>
    <w:rsid w:val="00347339"/>
    <w:rsid w:val="003506B1"/>
    <w:rsid w:val="00351A93"/>
    <w:rsid w:val="0035254A"/>
    <w:rsid w:val="00353B58"/>
    <w:rsid w:val="00354F8C"/>
    <w:rsid w:val="00355ACC"/>
    <w:rsid w:val="00356AC7"/>
    <w:rsid w:val="00360179"/>
    <w:rsid w:val="003609FA"/>
    <w:rsid w:val="00366697"/>
    <w:rsid w:val="00367162"/>
    <w:rsid w:val="003710C8"/>
    <w:rsid w:val="003750BE"/>
    <w:rsid w:val="0037656D"/>
    <w:rsid w:val="0037764C"/>
    <w:rsid w:val="003807E6"/>
    <w:rsid w:val="0038295D"/>
    <w:rsid w:val="00382EB7"/>
    <w:rsid w:val="0038488B"/>
    <w:rsid w:val="00384D70"/>
    <w:rsid w:val="00385195"/>
    <w:rsid w:val="00386AA5"/>
    <w:rsid w:val="00387B9D"/>
    <w:rsid w:val="003920D5"/>
    <w:rsid w:val="0039364F"/>
    <w:rsid w:val="00396686"/>
    <w:rsid w:val="00396BE0"/>
    <w:rsid w:val="0039778E"/>
    <w:rsid w:val="003A54B0"/>
    <w:rsid w:val="003B143D"/>
    <w:rsid w:val="003B254A"/>
    <w:rsid w:val="003B257F"/>
    <w:rsid w:val="003B259E"/>
    <w:rsid w:val="003B2814"/>
    <w:rsid w:val="003B4941"/>
    <w:rsid w:val="003C5714"/>
    <w:rsid w:val="003C6B9F"/>
    <w:rsid w:val="003C6E2A"/>
    <w:rsid w:val="003D0299"/>
    <w:rsid w:val="003D3168"/>
    <w:rsid w:val="003D7B08"/>
    <w:rsid w:val="003D7FA7"/>
    <w:rsid w:val="003E6D80"/>
    <w:rsid w:val="003F05FA"/>
    <w:rsid w:val="003F2353"/>
    <w:rsid w:val="003F244A"/>
    <w:rsid w:val="003F30B8"/>
    <w:rsid w:val="003F4C45"/>
    <w:rsid w:val="003F5DCE"/>
    <w:rsid w:val="003F5F7B"/>
    <w:rsid w:val="003F7D64"/>
    <w:rsid w:val="00401653"/>
    <w:rsid w:val="00413ED7"/>
    <w:rsid w:val="00414300"/>
    <w:rsid w:val="004147EA"/>
    <w:rsid w:val="00423F57"/>
    <w:rsid w:val="00424DC0"/>
    <w:rsid w:val="00425C67"/>
    <w:rsid w:val="00427753"/>
    <w:rsid w:val="00427E7A"/>
    <w:rsid w:val="00433C27"/>
    <w:rsid w:val="00434EC4"/>
    <w:rsid w:val="00436C49"/>
    <w:rsid w:val="0043749D"/>
    <w:rsid w:val="004430C0"/>
    <w:rsid w:val="004437F3"/>
    <w:rsid w:val="00445366"/>
    <w:rsid w:val="00445F2A"/>
    <w:rsid w:val="00446097"/>
    <w:rsid w:val="00447F5B"/>
    <w:rsid w:val="0045067D"/>
    <w:rsid w:val="00453500"/>
    <w:rsid w:val="00453C47"/>
    <w:rsid w:val="0046102E"/>
    <w:rsid w:val="00461DB0"/>
    <w:rsid w:val="00462211"/>
    <w:rsid w:val="004635A2"/>
    <w:rsid w:val="00463926"/>
    <w:rsid w:val="00464C9A"/>
    <w:rsid w:val="00472B47"/>
    <w:rsid w:val="004741F5"/>
    <w:rsid w:val="00474239"/>
    <w:rsid w:val="00474F3D"/>
    <w:rsid w:val="0047579B"/>
    <w:rsid w:val="004763E8"/>
    <w:rsid w:val="00476572"/>
    <w:rsid w:val="00476E86"/>
    <w:rsid w:val="00477E3A"/>
    <w:rsid w:val="00483BA6"/>
    <w:rsid w:val="00483E5F"/>
    <w:rsid w:val="00485FF9"/>
    <w:rsid w:val="004907F0"/>
    <w:rsid w:val="0049140B"/>
    <w:rsid w:val="004923A5"/>
    <w:rsid w:val="00496BFB"/>
    <w:rsid w:val="004A15C7"/>
    <w:rsid w:val="004A5357"/>
    <w:rsid w:val="004B013B"/>
    <w:rsid w:val="004B01FD"/>
    <w:rsid w:val="004B112B"/>
    <w:rsid w:val="004B16A4"/>
    <w:rsid w:val="004B7218"/>
    <w:rsid w:val="004C01E4"/>
    <w:rsid w:val="004C086C"/>
    <w:rsid w:val="004C0AC1"/>
    <w:rsid w:val="004C1110"/>
    <w:rsid w:val="004C1F56"/>
    <w:rsid w:val="004C27BC"/>
    <w:rsid w:val="004C636D"/>
    <w:rsid w:val="004D15F3"/>
    <w:rsid w:val="004D27FE"/>
    <w:rsid w:val="004D5311"/>
    <w:rsid w:val="004D53A7"/>
    <w:rsid w:val="004D5DCC"/>
    <w:rsid w:val="004E27F1"/>
    <w:rsid w:val="004E400A"/>
    <w:rsid w:val="004E4A89"/>
    <w:rsid w:val="004E4ABB"/>
    <w:rsid w:val="004F093B"/>
    <w:rsid w:val="004F10AF"/>
    <w:rsid w:val="004F11A4"/>
    <w:rsid w:val="004F2389"/>
    <w:rsid w:val="004F2979"/>
    <w:rsid w:val="004F304D"/>
    <w:rsid w:val="004F53C8"/>
    <w:rsid w:val="004F61BE"/>
    <w:rsid w:val="004F66B1"/>
    <w:rsid w:val="004F6AA7"/>
    <w:rsid w:val="004F6D85"/>
    <w:rsid w:val="004F7E6A"/>
    <w:rsid w:val="00501CEB"/>
    <w:rsid w:val="005029CE"/>
    <w:rsid w:val="00510330"/>
    <w:rsid w:val="00511C07"/>
    <w:rsid w:val="0051587A"/>
    <w:rsid w:val="005161CD"/>
    <w:rsid w:val="005173A6"/>
    <w:rsid w:val="00520BAA"/>
    <w:rsid w:val="00521459"/>
    <w:rsid w:val="00521CD7"/>
    <w:rsid w:val="00525208"/>
    <w:rsid w:val="005257A5"/>
    <w:rsid w:val="005264C0"/>
    <w:rsid w:val="00526A8A"/>
    <w:rsid w:val="00531DF2"/>
    <w:rsid w:val="005334FE"/>
    <w:rsid w:val="00535DDF"/>
    <w:rsid w:val="00536B89"/>
    <w:rsid w:val="00537133"/>
    <w:rsid w:val="005442EE"/>
    <w:rsid w:val="00547353"/>
    <w:rsid w:val="005474E7"/>
    <w:rsid w:val="00550B3A"/>
    <w:rsid w:val="005512A3"/>
    <w:rsid w:val="005515AE"/>
    <w:rsid w:val="00553E3F"/>
    <w:rsid w:val="005578CE"/>
    <w:rsid w:val="00562781"/>
    <w:rsid w:val="0056278A"/>
    <w:rsid w:val="005636BC"/>
    <w:rsid w:val="00566E67"/>
    <w:rsid w:val="00570E54"/>
    <w:rsid w:val="0057155E"/>
    <w:rsid w:val="0057271C"/>
    <w:rsid w:val="00572845"/>
    <w:rsid w:val="00574C83"/>
    <w:rsid w:val="005769ED"/>
    <w:rsid w:val="0058244A"/>
    <w:rsid w:val="0058468C"/>
    <w:rsid w:val="00585825"/>
    <w:rsid w:val="005869E3"/>
    <w:rsid w:val="00592772"/>
    <w:rsid w:val="0059574A"/>
    <w:rsid w:val="00596468"/>
    <w:rsid w:val="005A02CB"/>
    <w:rsid w:val="005A1B9B"/>
    <w:rsid w:val="005A5B44"/>
    <w:rsid w:val="005A6751"/>
    <w:rsid w:val="005B0078"/>
    <w:rsid w:val="005B092E"/>
    <w:rsid w:val="005B152C"/>
    <w:rsid w:val="005B1EE0"/>
    <w:rsid w:val="005B2773"/>
    <w:rsid w:val="005B2B24"/>
    <w:rsid w:val="005B4425"/>
    <w:rsid w:val="005B4B94"/>
    <w:rsid w:val="005B7CE2"/>
    <w:rsid w:val="005C04FA"/>
    <w:rsid w:val="005C3EE8"/>
    <w:rsid w:val="005C4B9A"/>
    <w:rsid w:val="005C77A7"/>
    <w:rsid w:val="005D0525"/>
    <w:rsid w:val="005D0758"/>
    <w:rsid w:val="005D17FF"/>
    <w:rsid w:val="005D1B3B"/>
    <w:rsid w:val="005D21E7"/>
    <w:rsid w:val="005D31DE"/>
    <w:rsid w:val="005D333F"/>
    <w:rsid w:val="005D34F9"/>
    <w:rsid w:val="005D4190"/>
    <w:rsid w:val="005D67A3"/>
    <w:rsid w:val="005E0D7F"/>
    <w:rsid w:val="005E20BE"/>
    <w:rsid w:val="005E2988"/>
    <w:rsid w:val="005E3085"/>
    <w:rsid w:val="005E3331"/>
    <w:rsid w:val="005E3412"/>
    <w:rsid w:val="005E37C6"/>
    <w:rsid w:val="005E7DA6"/>
    <w:rsid w:val="005F1693"/>
    <w:rsid w:val="005F51E1"/>
    <w:rsid w:val="0060445C"/>
    <w:rsid w:val="00611110"/>
    <w:rsid w:val="00611C80"/>
    <w:rsid w:val="00617E0D"/>
    <w:rsid w:val="00620692"/>
    <w:rsid w:val="00620FDB"/>
    <w:rsid w:val="006242CA"/>
    <w:rsid w:val="00627507"/>
    <w:rsid w:val="00630A1A"/>
    <w:rsid w:val="00632B2D"/>
    <w:rsid w:val="00632CC0"/>
    <w:rsid w:val="00633717"/>
    <w:rsid w:val="006344E1"/>
    <w:rsid w:val="00634638"/>
    <w:rsid w:val="00636F0C"/>
    <w:rsid w:val="006412E8"/>
    <w:rsid w:val="0064201F"/>
    <w:rsid w:val="0064410F"/>
    <w:rsid w:val="00644172"/>
    <w:rsid w:val="0064423F"/>
    <w:rsid w:val="006452EB"/>
    <w:rsid w:val="00646454"/>
    <w:rsid w:val="0064775F"/>
    <w:rsid w:val="00650436"/>
    <w:rsid w:val="006504A8"/>
    <w:rsid w:val="0065298D"/>
    <w:rsid w:val="006545C4"/>
    <w:rsid w:val="006572FE"/>
    <w:rsid w:val="00657348"/>
    <w:rsid w:val="0066157F"/>
    <w:rsid w:val="00661971"/>
    <w:rsid w:val="00661CE8"/>
    <w:rsid w:val="006623D9"/>
    <w:rsid w:val="0066550C"/>
    <w:rsid w:val="00667B26"/>
    <w:rsid w:val="00667EFE"/>
    <w:rsid w:val="006716F2"/>
    <w:rsid w:val="00674821"/>
    <w:rsid w:val="00682BF2"/>
    <w:rsid w:val="006859CE"/>
    <w:rsid w:val="00691270"/>
    <w:rsid w:val="00694A2E"/>
    <w:rsid w:val="00694BA8"/>
    <w:rsid w:val="006A037C"/>
    <w:rsid w:val="006A0E9D"/>
    <w:rsid w:val="006A150C"/>
    <w:rsid w:val="006A36F4"/>
    <w:rsid w:val="006A406F"/>
    <w:rsid w:val="006A5D3A"/>
    <w:rsid w:val="006B2924"/>
    <w:rsid w:val="006C1BCB"/>
    <w:rsid w:val="006C23D4"/>
    <w:rsid w:val="006C2EDA"/>
    <w:rsid w:val="006C3D38"/>
    <w:rsid w:val="006C42B7"/>
    <w:rsid w:val="006C64BE"/>
    <w:rsid w:val="006C7343"/>
    <w:rsid w:val="006C7BB0"/>
    <w:rsid w:val="006D1854"/>
    <w:rsid w:val="006D1C58"/>
    <w:rsid w:val="006D3237"/>
    <w:rsid w:val="006E0BF0"/>
    <w:rsid w:val="006E1FE9"/>
    <w:rsid w:val="006E2E37"/>
    <w:rsid w:val="006E2E7C"/>
    <w:rsid w:val="006E3CF1"/>
    <w:rsid w:val="006E599E"/>
    <w:rsid w:val="006E7E80"/>
    <w:rsid w:val="006F1301"/>
    <w:rsid w:val="006F2058"/>
    <w:rsid w:val="006F48CA"/>
    <w:rsid w:val="006F64DD"/>
    <w:rsid w:val="006F7DFF"/>
    <w:rsid w:val="007047C3"/>
    <w:rsid w:val="00705877"/>
    <w:rsid w:val="00711B9F"/>
    <w:rsid w:val="00713B10"/>
    <w:rsid w:val="00715127"/>
    <w:rsid w:val="00715E8E"/>
    <w:rsid w:val="00721A9C"/>
    <w:rsid w:val="00723580"/>
    <w:rsid w:val="00723755"/>
    <w:rsid w:val="007263BA"/>
    <w:rsid w:val="00730BB1"/>
    <w:rsid w:val="0073136C"/>
    <w:rsid w:val="00731F0F"/>
    <w:rsid w:val="00733250"/>
    <w:rsid w:val="00735FA5"/>
    <w:rsid w:val="00741404"/>
    <w:rsid w:val="00742838"/>
    <w:rsid w:val="007449E5"/>
    <w:rsid w:val="007462DD"/>
    <w:rsid w:val="00747196"/>
    <w:rsid w:val="00747FF0"/>
    <w:rsid w:val="007513B3"/>
    <w:rsid w:val="00752F00"/>
    <w:rsid w:val="007562BC"/>
    <w:rsid w:val="0076324D"/>
    <w:rsid w:val="00764D4E"/>
    <w:rsid w:val="007654EA"/>
    <w:rsid w:val="00765A1F"/>
    <w:rsid w:val="0076601F"/>
    <w:rsid w:val="0076737D"/>
    <w:rsid w:val="007675CB"/>
    <w:rsid w:val="00771B83"/>
    <w:rsid w:val="00774F1E"/>
    <w:rsid w:val="00775B6D"/>
    <w:rsid w:val="00776D68"/>
    <w:rsid w:val="00782F2C"/>
    <w:rsid w:val="00782FCD"/>
    <w:rsid w:val="007850EE"/>
    <w:rsid w:val="00785B95"/>
    <w:rsid w:val="00785D56"/>
    <w:rsid w:val="007903AD"/>
    <w:rsid w:val="00790E96"/>
    <w:rsid w:val="00791CB4"/>
    <w:rsid w:val="00793366"/>
    <w:rsid w:val="007952DA"/>
    <w:rsid w:val="0079555E"/>
    <w:rsid w:val="007A0725"/>
    <w:rsid w:val="007A2655"/>
    <w:rsid w:val="007A49CC"/>
    <w:rsid w:val="007A4C18"/>
    <w:rsid w:val="007A716F"/>
    <w:rsid w:val="007B270A"/>
    <w:rsid w:val="007B3DEF"/>
    <w:rsid w:val="007B4B56"/>
    <w:rsid w:val="007B6CC0"/>
    <w:rsid w:val="007C0695"/>
    <w:rsid w:val="007C1C7F"/>
    <w:rsid w:val="007C39C8"/>
    <w:rsid w:val="007C419A"/>
    <w:rsid w:val="007C4CC8"/>
    <w:rsid w:val="007C5300"/>
    <w:rsid w:val="007C5426"/>
    <w:rsid w:val="007C5798"/>
    <w:rsid w:val="007D1B30"/>
    <w:rsid w:val="007D4832"/>
    <w:rsid w:val="007E0DAC"/>
    <w:rsid w:val="007E19B6"/>
    <w:rsid w:val="007E21B2"/>
    <w:rsid w:val="007E2C4E"/>
    <w:rsid w:val="007E3ED4"/>
    <w:rsid w:val="007E48C2"/>
    <w:rsid w:val="007E57B6"/>
    <w:rsid w:val="007E5FBE"/>
    <w:rsid w:val="007F1905"/>
    <w:rsid w:val="007F1B13"/>
    <w:rsid w:val="007F4F51"/>
    <w:rsid w:val="007F6419"/>
    <w:rsid w:val="00801300"/>
    <w:rsid w:val="0080297C"/>
    <w:rsid w:val="00802C64"/>
    <w:rsid w:val="00805E52"/>
    <w:rsid w:val="008061D0"/>
    <w:rsid w:val="00810B38"/>
    <w:rsid w:val="00811E6E"/>
    <w:rsid w:val="008126EE"/>
    <w:rsid w:val="00813352"/>
    <w:rsid w:val="00813756"/>
    <w:rsid w:val="008140EE"/>
    <w:rsid w:val="00816FDB"/>
    <w:rsid w:val="008204C7"/>
    <w:rsid w:val="00820992"/>
    <w:rsid w:val="00823602"/>
    <w:rsid w:val="00823B8F"/>
    <w:rsid w:val="008255F5"/>
    <w:rsid w:val="0082650B"/>
    <w:rsid w:val="008272BF"/>
    <w:rsid w:val="0083014E"/>
    <w:rsid w:val="0083016D"/>
    <w:rsid w:val="0083214A"/>
    <w:rsid w:val="008323C4"/>
    <w:rsid w:val="00834220"/>
    <w:rsid w:val="008378F7"/>
    <w:rsid w:val="00840242"/>
    <w:rsid w:val="00842F67"/>
    <w:rsid w:val="0084351A"/>
    <w:rsid w:val="00844C8F"/>
    <w:rsid w:val="00844CBA"/>
    <w:rsid w:val="00845723"/>
    <w:rsid w:val="00845DD7"/>
    <w:rsid w:val="008469C5"/>
    <w:rsid w:val="00851EF9"/>
    <w:rsid w:val="00852E58"/>
    <w:rsid w:val="008577FD"/>
    <w:rsid w:val="00860B03"/>
    <w:rsid w:val="0086469F"/>
    <w:rsid w:val="0086497A"/>
    <w:rsid w:val="0086506B"/>
    <w:rsid w:val="00865B77"/>
    <w:rsid w:val="00866368"/>
    <w:rsid w:val="0087067D"/>
    <w:rsid w:val="00870A0F"/>
    <w:rsid w:val="008713A1"/>
    <w:rsid w:val="008744E4"/>
    <w:rsid w:val="008754AB"/>
    <w:rsid w:val="00875AB3"/>
    <w:rsid w:val="0088060C"/>
    <w:rsid w:val="0088473D"/>
    <w:rsid w:val="008851E6"/>
    <w:rsid w:val="00893576"/>
    <w:rsid w:val="00893E73"/>
    <w:rsid w:val="008A144F"/>
    <w:rsid w:val="008A56E0"/>
    <w:rsid w:val="008A7E13"/>
    <w:rsid w:val="008B02DC"/>
    <w:rsid w:val="008B2BEA"/>
    <w:rsid w:val="008B57CE"/>
    <w:rsid w:val="008C1287"/>
    <w:rsid w:val="008C26DE"/>
    <w:rsid w:val="008C3D28"/>
    <w:rsid w:val="008D2225"/>
    <w:rsid w:val="008D370F"/>
    <w:rsid w:val="008D404E"/>
    <w:rsid w:val="008D4752"/>
    <w:rsid w:val="008D6176"/>
    <w:rsid w:val="008D7298"/>
    <w:rsid w:val="008D7BF8"/>
    <w:rsid w:val="008E271C"/>
    <w:rsid w:val="008E295C"/>
    <w:rsid w:val="008E418E"/>
    <w:rsid w:val="008E5BC6"/>
    <w:rsid w:val="008E6A25"/>
    <w:rsid w:val="008F2403"/>
    <w:rsid w:val="008F27B0"/>
    <w:rsid w:val="008F2952"/>
    <w:rsid w:val="008F5193"/>
    <w:rsid w:val="008F52BA"/>
    <w:rsid w:val="009013A7"/>
    <w:rsid w:val="009017FB"/>
    <w:rsid w:val="009017FC"/>
    <w:rsid w:val="009020DE"/>
    <w:rsid w:val="00903E4E"/>
    <w:rsid w:val="0090506B"/>
    <w:rsid w:val="009050C9"/>
    <w:rsid w:val="009066FC"/>
    <w:rsid w:val="00910FEA"/>
    <w:rsid w:val="00912827"/>
    <w:rsid w:val="009140A3"/>
    <w:rsid w:val="009144A2"/>
    <w:rsid w:val="0091510C"/>
    <w:rsid w:val="00915286"/>
    <w:rsid w:val="009259AC"/>
    <w:rsid w:val="00925AF5"/>
    <w:rsid w:val="00926AD5"/>
    <w:rsid w:val="00926F38"/>
    <w:rsid w:val="00934301"/>
    <w:rsid w:val="00936C2D"/>
    <w:rsid w:val="00936CD1"/>
    <w:rsid w:val="00941747"/>
    <w:rsid w:val="00941EFB"/>
    <w:rsid w:val="00947AFB"/>
    <w:rsid w:val="0095121C"/>
    <w:rsid w:val="00951D7D"/>
    <w:rsid w:val="00955E75"/>
    <w:rsid w:val="009562A4"/>
    <w:rsid w:val="00956415"/>
    <w:rsid w:val="00956F97"/>
    <w:rsid w:val="00961149"/>
    <w:rsid w:val="0096212D"/>
    <w:rsid w:val="009630C7"/>
    <w:rsid w:val="00964AD2"/>
    <w:rsid w:val="00967559"/>
    <w:rsid w:val="009677B6"/>
    <w:rsid w:val="00967E4B"/>
    <w:rsid w:val="00970D9F"/>
    <w:rsid w:val="00971D59"/>
    <w:rsid w:val="009728EE"/>
    <w:rsid w:val="00972B55"/>
    <w:rsid w:val="009743B7"/>
    <w:rsid w:val="009776A2"/>
    <w:rsid w:val="0098228B"/>
    <w:rsid w:val="009828DA"/>
    <w:rsid w:val="00985BAB"/>
    <w:rsid w:val="00994DC1"/>
    <w:rsid w:val="00997719"/>
    <w:rsid w:val="009A2498"/>
    <w:rsid w:val="009B173C"/>
    <w:rsid w:val="009B17DB"/>
    <w:rsid w:val="009B1B5F"/>
    <w:rsid w:val="009B56BF"/>
    <w:rsid w:val="009B5868"/>
    <w:rsid w:val="009B6673"/>
    <w:rsid w:val="009C0184"/>
    <w:rsid w:val="009C092F"/>
    <w:rsid w:val="009C0A61"/>
    <w:rsid w:val="009C191B"/>
    <w:rsid w:val="009C1B1F"/>
    <w:rsid w:val="009C1F1B"/>
    <w:rsid w:val="009C2BD6"/>
    <w:rsid w:val="009C5881"/>
    <w:rsid w:val="009C5DC8"/>
    <w:rsid w:val="009D0293"/>
    <w:rsid w:val="009D16B0"/>
    <w:rsid w:val="009D3F22"/>
    <w:rsid w:val="009E1F32"/>
    <w:rsid w:val="009E776C"/>
    <w:rsid w:val="009F2502"/>
    <w:rsid w:val="009F59F8"/>
    <w:rsid w:val="00A00144"/>
    <w:rsid w:val="00A13C97"/>
    <w:rsid w:val="00A1726E"/>
    <w:rsid w:val="00A179DD"/>
    <w:rsid w:val="00A17C35"/>
    <w:rsid w:val="00A204CF"/>
    <w:rsid w:val="00A23D49"/>
    <w:rsid w:val="00A2551C"/>
    <w:rsid w:val="00A27004"/>
    <w:rsid w:val="00A30C29"/>
    <w:rsid w:val="00A33742"/>
    <w:rsid w:val="00A33758"/>
    <w:rsid w:val="00A33B06"/>
    <w:rsid w:val="00A34DD6"/>
    <w:rsid w:val="00A36819"/>
    <w:rsid w:val="00A36989"/>
    <w:rsid w:val="00A37D6A"/>
    <w:rsid w:val="00A43308"/>
    <w:rsid w:val="00A43628"/>
    <w:rsid w:val="00A448AF"/>
    <w:rsid w:val="00A44A47"/>
    <w:rsid w:val="00A47AEE"/>
    <w:rsid w:val="00A50475"/>
    <w:rsid w:val="00A52386"/>
    <w:rsid w:val="00A54192"/>
    <w:rsid w:val="00A55FF2"/>
    <w:rsid w:val="00A577D1"/>
    <w:rsid w:val="00A6035E"/>
    <w:rsid w:val="00A6144C"/>
    <w:rsid w:val="00A64B0A"/>
    <w:rsid w:val="00A64B48"/>
    <w:rsid w:val="00A66617"/>
    <w:rsid w:val="00A671F8"/>
    <w:rsid w:val="00A673A4"/>
    <w:rsid w:val="00A67531"/>
    <w:rsid w:val="00A724AE"/>
    <w:rsid w:val="00A73329"/>
    <w:rsid w:val="00A74BC1"/>
    <w:rsid w:val="00A82359"/>
    <w:rsid w:val="00A8486D"/>
    <w:rsid w:val="00A865D2"/>
    <w:rsid w:val="00A94C20"/>
    <w:rsid w:val="00A971D6"/>
    <w:rsid w:val="00A97D94"/>
    <w:rsid w:val="00AA227F"/>
    <w:rsid w:val="00AA3BC7"/>
    <w:rsid w:val="00AA46C8"/>
    <w:rsid w:val="00AA50DD"/>
    <w:rsid w:val="00AA6FF5"/>
    <w:rsid w:val="00AA754A"/>
    <w:rsid w:val="00AA755B"/>
    <w:rsid w:val="00AA760A"/>
    <w:rsid w:val="00AB099E"/>
    <w:rsid w:val="00AB22EC"/>
    <w:rsid w:val="00AB2793"/>
    <w:rsid w:val="00AB4328"/>
    <w:rsid w:val="00AB71BE"/>
    <w:rsid w:val="00AC0824"/>
    <w:rsid w:val="00AC0850"/>
    <w:rsid w:val="00AC4EBF"/>
    <w:rsid w:val="00AD412E"/>
    <w:rsid w:val="00AD4823"/>
    <w:rsid w:val="00AD5646"/>
    <w:rsid w:val="00AD5AFB"/>
    <w:rsid w:val="00AD7B54"/>
    <w:rsid w:val="00AE0A2E"/>
    <w:rsid w:val="00AE0E06"/>
    <w:rsid w:val="00AE172C"/>
    <w:rsid w:val="00AE354C"/>
    <w:rsid w:val="00AE5B90"/>
    <w:rsid w:val="00AF4B07"/>
    <w:rsid w:val="00AF5CC8"/>
    <w:rsid w:val="00AF6186"/>
    <w:rsid w:val="00AF7A3A"/>
    <w:rsid w:val="00B016B2"/>
    <w:rsid w:val="00B0449B"/>
    <w:rsid w:val="00B069B1"/>
    <w:rsid w:val="00B13AEA"/>
    <w:rsid w:val="00B13E7B"/>
    <w:rsid w:val="00B152B9"/>
    <w:rsid w:val="00B160DB"/>
    <w:rsid w:val="00B20836"/>
    <w:rsid w:val="00B235BB"/>
    <w:rsid w:val="00B27A44"/>
    <w:rsid w:val="00B30BBF"/>
    <w:rsid w:val="00B33C03"/>
    <w:rsid w:val="00B33F0C"/>
    <w:rsid w:val="00B351FE"/>
    <w:rsid w:val="00B40195"/>
    <w:rsid w:val="00B43CDD"/>
    <w:rsid w:val="00B44E56"/>
    <w:rsid w:val="00B464B0"/>
    <w:rsid w:val="00B46543"/>
    <w:rsid w:val="00B47A22"/>
    <w:rsid w:val="00B47D33"/>
    <w:rsid w:val="00B51897"/>
    <w:rsid w:val="00B52BE0"/>
    <w:rsid w:val="00B54133"/>
    <w:rsid w:val="00B54190"/>
    <w:rsid w:val="00B56C44"/>
    <w:rsid w:val="00B56C63"/>
    <w:rsid w:val="00B66E98"/>
    <w:rsid w:val="00B701ED"/>
    <w:rsid w:val="00B725FF"/>
    <w:rsid w:val="00B72651"/>
    <w:rsid w:val="00B73992"/>
    <w:rsid w:val="00B75087"/>
    <w:rsid w:val="00B757BA"/>
    <w:rsid w:val="00B77282"/>
    <w:rsid w:val="00B8086C"/>
    <w:rsid w:val="00B85A04"/>
    <w:rsid w:val="00B861B4"/>
    <w:rsid w:val="00B86DFE"/>
    <w:rsid w:val="00B90990"/>
    <w:rsid w:val="00B922FF"/>
    <w:rsid w:val="00B9281E"/>
    <w:rsid w:val="00B93925"/>
    <w:rsid w:val="00B93ECF"/>
    <w:rsid w:val="00B94BB8"/>
    <w:rsid w:val="00B95187"/>
    <w:rsid w:val="00B9776F"/>
    <w:rsid w:val="00BA02C2"/>
    <w:rsid w:val="00BA2D55"/>
    <w:rsid w:val="00BA4734"/>
    <w:rsid w:val="00BA71B1"/>
    <w:rsid w:val="00BA7517"/>
    <w:rsid w:val="00BA7A43"/>
    <w:rsid w:val="00BB0637"/>
    <w:rsid w:val="00BB345F"/>
    <w:rsid w:val="00BB47AF"/>
    <w:rsid w:val="00BB68EA"/>
    <w:rsid w:val="00BC1B87"/>
    <w:rsid w:val="00BC1C27"/>
    <w:rsid w:val="00BC3DF1"/>
    <w:rsid w:val="00BC40E7"/>
    <w:rsid w:val="00BC47F6"/>
    <w:rsid w:val="00BC4A8F"/>
    <w:rsid w:val="00BC6BBF"/>
    <w:rsid w:val="00BD0653"/>
    <w:rsid w:val="00BD0C64"/>
    <w:rsid w:val="00BD1572"/>
    <w:rsid w:val="00BD25D6"/>
    <w:rsid w:val="00BD60C1"/>
    <w:rsid w:val="00BD7482"/>
    <w:rsid w:val="00BE14E3"/>
    <w:rsid w:val="00BE1A3E"/>
    <w:rsid w:val="00BE1BD8"/>
    <w:rsid w:val="00BE291B"/>
    <w:rsid w:val="00BE3774"/>
    <w:rsid w:val="00BE41E5"/>
    <w:rsid w:val="00BE5B6D"/>
    <w:rsid w:val="00BE7221"/>
    <w:rsid w:val="00BE7FE1"/>
    <w:rsid w:val="00BF001C"/>
    <w:rsid w:val="00BF1306"/>
    <w:rsid w:val="00BF2662"/>
    <w:rsid w:val="00BF3C48"/>
    <w:rsid w:val="00BF4109"/>
    <w:rsid w:val="00BF449C"/>
    <w:rsid w:val="00BF4632"/>
    <w:rsid w:val="00BF4CC3"/>
    <w:rsid w:val="00BF5F52"/>
    <w:rsid w:val="00C0126C"/>
    <w:rsid w:val="00C054C7"/>
    <w:rsid w:val="00C057B5"/>
    <w:rsid w:val="00C06E15"/>
    <w:rsid w:val="00C1262B"/>
    <w:rsid w:val="00C13949"/>
    <w:rsid w:val="00C14B08"/>
    <w:rsid w:val="00C157A2"/>
    <w:rsid w:val="00C16E7F"/>
    <w:rsid w:val="00C20616"/>
    <w:rsid w:val="00C222AC"/>
    <w:rsid w:val="00C223FD"/>
    <w:rsid w:val="00C22687"/>
    <w:rsid w:val="00C22FBC"/>
    <w:rsid w:val="00C24185"/>
    <w:rsid w:val="00C32E4D"/>
    <w:rsid w:val="00C333A0"/>
    <w:rsid w:val="00C36408"/>
    <w:rsid w:val="00C36A81"/>
    <w:rsid w:val="00C41974"/>
    <w:rsid w:val="00C42671"/>
    <w:rsid w:val="00C459C2"/>
    <w:rsid w:val="00C47075"/>
    <w:rsid w:val="00C47DAD"/>
    <w:rsid w:val="00C51380"/>
    <w:rsid w:val="00C53F4A"/>
    <w:rsid w:val="00C54125"/>
    <w:rsid w:val="00C54E4B"/>
    <w:rsid w:val="00C55B54"/>
    <w:rsid w:val="00C6098E"/>
    <w:rsid w:val="00C610EC"/>
    <w:rsid w:val="00C611D8"/>
    <w:rsid w:val="00C6152C"/>
    <w:rsid w:val="00C63205"/>
    <w:rsid w:val="00C63990"/>
    <w:rsid w:val="00C64EF6"/>
    <w:rsid w:val="00C65050"/>
    <w:rsid w:val="00C660C3"/>
    <w:rsid w:val="00C70BCD"/>
    <w:rsid w:val="00C734D7"/>
    <w:rsid w:val="00C73B24"/>
    <w:rsid w:val="00C74810"/>
    <w:rsid w:val="00C80C22"/>
    <w:rsid w:val="00C8562F"/>
    <w:rsid w:val="00C85875"/>
    <w:rsid w:val="00C90D68"/>
    <w:rsid w:val="00C91601"/>
    <w:rsid w:val="00C939FE"/>
    <w:rsid w:val="00CA27FE"/>
    <w:rsid w:val="00CA4BDA"/>
    <w:rsid w:val="00CA6C38"/>
    <w:rsid w:val="00CA6D7A"/>
    <w:rsid w:val="00CB1F66"/>
    <w:rsid w:val="00CB288F"/>
    <w:rsid w:val="00CB2951"/>
    <w:rsid w:val="00CB2C18"/>
    <w:rsid w:val="00CB447C"/>
    <w:rsid w:val="00CB6301"/>
    <w:rsid w:val="00CB7B45"/>
    <w:rsid w:val="00CC1B2F"/>
    <w:rsid w:val="00CC26CC"/>
    <w:rsid w:val="00CC2AE5"/>
    <w:rsid w:val="00CC3FE5"/>
    <w:rsid w:val="00CC61B6"/>
    <w:rsid w:val="00CC71E6"/>
    <w:rsid w:val="00CD16F8"/>
    <w:rsid w:val="00CD1C06"/>
    <w:rsid w:val="00CD248B"/>
    <w:rsid w:val="00CD282B"/>
    <w:rsid w:val="00CD4C35"/>
    <w:rsid w:val="00CD5BEE"/>
    <w:rsid w:val="00CD7369"/>
    <w:rsid w:val="00CE0B0E"/>
    <w:rsid w:val="00CE334D"/>
    <w:rsid w:val="00CE37E1"/>
    <w:rsid w:val="00CE3831"/>
    <w:rsid w:val="00CE7818"/>
    <w:rsid w:val="00D0048C"/>
    <w:rsid w:val="00D00ABB"/>
    <w:rsid w:val="00D017C5"/>
    <w:rsid w:val="00D01C22"/>
    <w:rsid w:val="00D02EEC"/>
    <w:rsid w:val="00D03551"/>
    <w:rsid w:val="00D03891"/>
    <w:rsid w:val="00D05753"/>
    <w:rsid w:val="00D06A63"/>
    <w:rsid w:val="00D07E0E"/>
    <w:rsid w:val="00D11478"/>
    <w:rsid w:val="00D1387E"/>
    <w:rsid w:val="00D15ED0"/>
    <w:rsid w:val="00D21B3E"/>
    <w:rsid w:val="00D21FED"/>
    <w:rsid w:val="00D24251"/>
    <w:rsid w:val="00D250D7"/>
    <w:rsid w:val="00D343E2"/>
    <w:rsid w:val="00D34AC4"/>
    <w:rsid w:val="00D361A2"/>
    <w:rsid w:val="00D37A56"/>
    <w:rsid w:val="00D37C1F"/>
    <w:rsid w:val="00D42AFF"/>
    <w:rsid w:val="00D44845"/>
    <w:rsid w:val="00D44C2E"/>
    <w:rsid w:val="00D45414"/>
    <w:rsid w:val="00D467D7"/>
    <w:rsid w:val="00D51388"/>
    <w:rsid w:val="00D521F5"/>
    <w:rsid w:val="00D566BD"/>
    <w:rsid w:val="00D5765C"/>
    <w:rsid w:val="00D576CF"/>
    <w:rsid w:val="00D57A4D"/>
    <w:rsid w:val="00D6054A"/>
    <w:rsid w:val="00D60AA7"/>
    <w:rsid w:val="00D629FD"/>
    <w:rsid w:val="00D6324D"/>
    <w:rsid w:val="00D6435F"/>
    <w:rsid w:val="00D64EEC"/>
    <w:rsid w:val="00D717AB"/>
    <w:rsid w:val="00D7187A"/>
    <w:rsid w:val="00D733D1"/>
    <w:rsid w:val="00D75E28"/>
    <w:rsid w:val="00D772C2"/>
    <w:rsid w:val="00D8008E"/>
    <w:rsid w:val="00D80867"/>
    <w:rsid w:val="00D82A5C"/>
    <w:rsid w:val="00D82C45"/>
    <w:rsid w:val="00D847CD"/>
    <w:rsid w:val="00D908A8"/>
    <w:rsid w:val="00D90ED0"/>
    <w:rsid w:val="00D96B0C"/>
    <w:rsid w:val="00D977B6"/>
    <w:rsid w:val="00DA235F"/>
    <w:rsid w:val="00DA3E58"/>
    <w:rsid w:val="00DA421F"/>
    <w:rsid w:val="00DA4A31"/>
    <w:rsid w:val="00DA7B04"/>
    <w:rsid w:val="00DB0F35"/>
    <w:rsid w:val="00DB36C2"/>
    <w:rsid w:val="00DB6870"/>
    <w:rsid w:val="00DB6BC5"/>
    <w:rsid w:val="00DB6DA0"/>
    <w:rsid w:val="00DC0B2E"/>
    <w:rsid w:val="00DC169B"/>
    <w:rsid w:val="00DC2AB9"/>
    <w:rsid w:val="00DC49A9"/>
    <w:rsid w:val="00DC63F0"/>
    <w:rsid w:val="00DC79B0"/>
    <w:rsid w:val="00DD3141"/>
    <w:rsid w:val="00DD4AAB"/>
    <w:rsid w:val="00DD5146"/>
    <w:rsid w:val="00DD6C54"/>
    <w:rsid w:val="00DD6EE5"/>
    <w:rsid w:val="00DE0932"/>
    <w:rsid w:val="00DE0CDA"/>
    <w:rsid w:val="00DE2BCC"/>
    <w:rsid w:val="00DE386C"/>
    <w:rsid w:val="00DE4D35"/>
    <w:rsid w:val="00DE572F"/>
    <w:rsid w:val="00DE654C"/>
    <w:rsid w:val="00DF098B"/>
    <w:rsid w:val="00DF11C4"/>
    <w:rsid w:val="00DF210C"/>
    <w:rsid w:val="00DF4B6A"/>
    <w:rsid w:val="00DF6F9B"/>
    <w:rsid w:val="00E01E65"/>
    <w:rsid w:val="00E02C09"/>
    <w:rsid w:val="00E03B22"/>
    <w:rsid w:val="00E04D59"/>
    <w:rsid w:val="00E05B4A"/>
    <w:rsid w:val="00E07DA1"/>
    <w:rsid w:val="00E123CB"/>
    <w:rsid w:val="00E125A8"/>
    <w:rsid w:val="00E16F88"/>
    <w:rsid w:val="00E177B5"/>
    <w:rsid w:val="00E20083"/>
    <w:rsid w:val="00E20E13"/>
    <w:rsid w:val="00E21DBC"/>
    <w:rsid w:val="00E2471B"/>
    <w:rsid w:val="00E25C3D"/>
    <w:rsid w:val="00E275D7"/>
    <w:rsid w:val="00E27DBE"/>
    <w:rsid w:val="00E31471"/>
    <w:rsid w:val="00E32AB1"/>
    <w:rsid w:val="00E36C71"/>
    <w:rsid w:val="00E373F5"/>
    <w:rsid w:val="00E37C32"/>
    <w:rsid w:val="00E40404"/>
    <w:rsid w:val="00E40595"/>
    <w:rsid w:val="00E43AF5"/>
    <w:rsid w:val="00E449CA"/>
    <w:rsid w:val="00E4529A"/>
    <w:rsid w:val="00E45732"/>
    <w:rsid w:val="00E459C6"/>
    <w:rsid w:val="00E47589"/>
    <w:rsid w:val="00E51046"/>
    <w:rsid w:val="00E5370B"/>
    <w:rsid w:val="00E54DEE"/>
    <w:rsid w:val="00E56571"/>
    <w:rsid w:val="00E63FED"/>
    <w:rsid w:val="00E64915"/>
    <w:rsid w:val="00E661D4"/>
    <w:rsid w:val="00E66703"/>
    <w:rsid w:val="00E670FA"/>
    <w:rsid w:val="00E67801"/>
    <w:rsid w:val="00E70091"/>
    <w:rsid w:val="00E720F5"/>
    <w:rsid w:val="00E74A6D"/>
    <w:rsid w:val="00E75437"/>
    <w:rsid w:val="00E75C06"/>
    <w:rsid w:val="00E76BA9"/>
    <w:rsid w:val="00E76D47"/>
    <w:rsid w:val="00E7755E"/>
    <w:rsid w:val="00E77CB3"/>
    <w:rsid w:val="00E82109"/>
    <w:rsid w:val="00E849F7"/>
    <w:rsid w:val="00E85DAC"/>
    <w:rsid w:val="00E90302"/>
    <w:rsid w:val="00E97396"/>
    <w:rsid w:val="00EA185E"/>
    <w:rsid w:val="00EA26E7"/>
    <w:rsid w:val="00EA2D8F"/>
    <w:rsid w:val="00EA568C"/>
    <w:rsid w:val="00EA592A"/>
    <w:rsid w:val="00EB14CB"/>
    <w:rsid w:val="00EB14E4"/>
    <w:rsid w:val="00EB1A73"/>
    <w:rsid w:val="00EB32A5"/>
    <w:rsid w:val="00EB34ED"/>
    <w:rsid w:val="00EB6F72"/>
    <w:rsid w:val="00EB7BE0"/>
    <w:rsid w:val="00EB7E63"/>
    <w:rsid w:val="00EC1949"/>
    <w:rsid w:val="00EC19DF"/>
    <w:rsid w:val="00EC315E"/>
    <w:rsid w:val="00EC3858"/>
    <w:rsid w:val="00EC50AA"/>
    <w:rsid w:val="00EC6609"/>
    <w:rsid w:val="00EC66FA"/>
    <w:rsid w:val="00EC6BDF"/>
    <w:rsid w:val="00ED077C"/>
    <w:rsid w:val="00ED1190"/>
    <w:rsid w:val="00ED6544"/>
    <w:rsid w:val="00EE0277"/>
    <w:rsid w:val="00EE1FB0"/>
    <w:rsid w:val="00EE3E00"/>
    <w:rsid w:val="00EE5DD2"/>
    <w:rsid w:val="00EE76FA"/>
    <w:rsid w:val="00EF0A2E"/>
    <w:rsid w:val="00EF37AE"/>
    <w:rsid w:val="00EF3E75"/>
    <w:rsid w:val="00EF3F78"/>
    <w:rsid w:val="00EF52F0"/>
    <w:rsid w:val="00EF63C2"/>
    <w:rsid w:val="00EF648C"/>
    <w:rsid w:val="00F00A79"/>
    <w:rsid w:val="00F00E86"/>
    <w:rsid w:val="00F033B5"/>
    <w:rsid w:val="00F0388A"/>
    <w:rsid w:val="00F04148"/>
    <w:rsid w:val="00F061BD"/>
    <w:rsid w:val="00F07C1E"/>
    <w:rsid w:val="00F105DB"/>
    <w:rsid w:val="00F132BC"/>
    <w:rsid w:val="00F138DF"/>
    <w:rsid w:val="00F13D80"/>
    <w:rsid w:val="00F16AAA"/>
    <w:rsid w:val="00F20581"/>
    <w:rsid w:val="00F20A3B"/>
    <w:rsid w:val="00F2106E"/>
    <w:rsid w:val="00F21161"/>
    <w:rsid w:val="00F21820"/>
    <w:rsid w:val="00F218EF"/>
    <w:rsid w:val="00F21BC7"/>
    <w:rsid w:val="00F2233D"/>
    <w:rsid w:val="00F22F41"/>
    <w:rsid w:val="00F266A2"/>
    <w:rsid w:val="00F312E7"/>
    <w:rsid w:val="00F314E0"/>
    <w:rsid w:val="00F32269"/>
    <w:rsid w:val="00F327DD"/>
    <w:rsid w:val="00F50B39"/>
    <w:rsid w:val="00F552CF"/>
    <w:rsid w:val="00F5612A"/>
    <w:rsid w:val="00F56A6F"/>
    <w:rsid w:val="00F5709C"/>
    <w:rsid w:val="00F61376"/>
    <w:rsid w:val="00F64EF1"/>
    <w:rsid w:val="00F6559D"/>
    <w:rsid w:val="00F73C13"/>
    <w:rsid w:val="00F7746F"/>
    <w:rsid w:val="00F80EDF"/>
    <w:rsid w:val="00F8765F"/>
    <w:rsid w:val="00F8794E"/>
    <w:rsid w:val="00F90767"/>
    <w:rsid w:val="00F91587"/>
    <w:rsid w:val="00F92667"/>
    <w:rsid w:val="00F94042"/>
    <w:rsid w:val="00F95A39"/>
    <w:rsid w:val="00F979CE"/>
    <w:rsid w:val="00FA2DB8"/>
    <w:rsid w:val="00FA3C96"/>
    <w:rsid w:val="00FA685B"/>
    <w:rsid w:val="00FB0C01"/>
    <w:rsid w:val="00FB21BF"/>
    <w:rsid w:val="00FB2B45"/>
    <w:rsid w:val="00FB4AB4"/>
    <w:rsid w:val="00FC18F2"/>
    <w:rsid w:val="00FC39E5"/>
    <w:rsid w:val="00FC3A78"/>
    <w:rsid w:val="00FC3D33"/>
    <w:rsid w:val="00FC431A"/>
    <w:rsid w:val="00FD1005"/>
    <w:rsid w:val="00FD4672"/>
    <w:rsid w:val="00FD6C75"/>
    <w:rsid w:val="00FD70FB"/>
    <w:rsid w:val="00FE0EC5"/>
    <w:rsid w:val="00FE148E"/>
    <w:rsid w:val="00FE40D3"/>
    <w:rsid w:val="00FE4730"/>
    <w:rsid w:val="00FE71B3"/>
    <w:rsid w:val="00FF245F"/>
    <w:rsid w:val="00FF3F43"/>
    <w:rsid w:val="00FF42C5"/>
    <w:rsid w:val="00FF530C"/>
    <w:rsid w:val="00FF5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C3DF1"/>
    <w:pPr>
      <w:jc w:val="both"/>
    </w:pPr>
    <w:rPr>
      <w:rFonts w:eastAsiaTheme="minorEastAsia"/>
      <w:sz w:val="24"/>
      <w:lang w:val="en-GB"/>
    </w:rPr>
  </w:style>
  <w:style w:type="paragraph" w:styleId="Heading1">
    <w:name w:val="heading 1"/>
    <w:basedOn w:val="Normal"/>
    <w:next w:val="Normal"/>
    <w:link w:val="Heading1Char"/>
    <w:uiPriority w:val="99"/>
    <w:semiHidden/>
    <w:rsid w:val="00D37A5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37A5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37A5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37A5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2551C"/>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D37A5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2551C"/>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A2551C"/>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A2551C"/>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7A56"/>
    <w:rPr>
      <w:rFonts w:ascii="Tahoma" w:hAnsi="Tahoma" w:cs="Tahoma"/>
      <w:sz w:val="16"/>
      <w:szCs w:val="16"/>
    </w:rPr>
  </w:style>
  <w:style w:type="character" w:customStyle="1" w:styleId="BalloonTextChar">
    <w:name w:val="Balloon Text Char"/>
    <w:basedOn w:val="DefaultParagraphFont"/>
    <w:link w:val="BalloonText"/>
    <w:uiPriority w:val="99"/>
    <w:semiHidden/>
    <w:rsid w:val="00D37A56"/>
    <w:rPr>
      <w:rFonts w:ascii="Tahoma" w:eastAsiaTheme="minorEastAsia" w:hAnsi="Tahoma" w:cs="Tahoma"/>
      <w:sz w:val="16"/>
      <w:szCs w:val="16"/>
      <w:lang w:val="en-GB"/>
    </w:rPr>
  </w:style>
  <w:style w:type="character" w:styleId="BookTitle">
    <w:name w:val="Book Title"/>
    <w:uiPriority w:val="99"/>
    <w:semiHidden/>
    <w:qFormat/>
    <w:rsid w:val="00A2551C"/>
    <w:rPr>
      <w:i/>
      <w:iCs/>
      <w:smallCaps/>
      <w:spacing w:val="5"/>
    </w:rPr>
  </w:style>
  <w:style w:type="paragraph" w:customStyle="1" w:styleId="ECHRHeader">
    <w:name w:val="ECHR_Header"/>
    <w:aliases w:val="Ju_Header"/>
    <w:basedOn w:val="Header"/>
    <w:uiPriority w:val="4"/>
    <w:qFormat/>
    <w:rsid w:val="00A2551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37A56"/>
    <w:pPr>
      <w:jc w:val="left"/>
    </w:pPr>
    <w:rPr>
      <w:sz w:val="8"/>
    </w:rPr>
  </w:style>
  <w:style w:type="character" w:styleId="Strong">
    <w:name w:val="Strong"/>
    <w:uiPriority w:val="99"/>
    <w:semiHidden/>
    <w:qFormat/>
    <w:rsid w:val="00A2551C"/>
    <w:rPr>
      <w:b/>
      <w:bCs/>
    </w:rPr>
  </w:style>
  <w:style w:type="paragraph" w:styleId="NoSpacing">
    <w:name w:val="No Spacing"/>
    <w:basedOn w:val="Normal"/>
    <w:link w:val="NoSpacingChar"/>
    <w:semiHidden/>
    <w:qFormat/>
    <w:rsid w:val="00A2551C"/>
    <w:rPr>
      <w:sz w:val="22"/>
      <w:lang w:val="en-US"/>
    </w:rPr>
  </w:style>
  <w:style w:type="character" w:customStyle="1" w:styleId="NoSpacingChar">
    <w:name w:val="No Spacing Char"/>
    <w:basedOn w:val="DefaultParagraphFont"/>
    <w:link w:val="NoSpacing"/>
    <w:semiHidden/>
    <w:rsid w:val="00A2551C"/>
    <w:rPr>
      <w:rFonts w:eastAsiaTheme="minorEastAsia"/>
    </w:rPr>
  </w:style>
  <w:style w:type="paragraph" w:customStyle="1" w:styleId="ECHRFooterLine">
    <w:name w:val="ECHR_Footer_Line"/>
    <w:aliases w:val="Footer_Line"/>
    <w:basedOn w:val="Normal"/>
    <w:next w:val="ECHRFooter"/>
    <w:uiPriority w:val="57"/>
    <w:semiHidden/>
    <w:rsid w:val="00D37A5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2551C"/>
  </w:style>
  <w:style w:type="paragraph" w:customStyle="1" w:styleId="DecList">
    <w:name w:val="Dec_List"/>
    <w:basedOn w:val="Normal"/>
    <w:uiPriority w:val="9"/>
    <w:semiHidden/>
    <w:qFormat/>
    <w:rsid w:val="00A2551C"/>
    <w:pPr>
      <w:spacing w:before="240"/>
      <w:ind w:left="284"/>
    </w:pPr>
  </w:style>
  <w:style w:type="paragraph" w:customStyle="1" w:styleId="OpiPara">
    <w:name w:val="Opi_Para"/>
    <w:basedOn w:val="ECHRPara"/>
    <w:uiPriority w:val="46"/>
    <w:qFormat/>
    <w:rsid w:val="00A2551C"/>
  </w:style>
  <w:style w:type="paragraph" w:customStyle="1" w:styleId="ECHRTitleCentre3">
    <w:name w:val="ECHR_Title_Centre_3"/>
    <w:aliases w:val="Ju_H_Article"/>
    <w:basedOn w:val="Normal"/>
    <w:next w:val="ECHRParaQuote"/>
    <w:uiPriority w:val="27"/>
    <w:qFormat/>
    <w:rsid w:val="00A2551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2551C"/>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A2551C"/>
    <w:pPr>
      <w:numPr>
        <w:numId w:val="34"/>
      </w:numPr>
      <w:jc w:val="left"/>
    </w:pPr>
    <w:rPr>
      <w:b/>
    </w:rPr>
  </w:style>
  <w:style w:type="paragraph" w:customStyle="1" w:styleId="JuCourt">
    <w:name w:val="Ju_Court"/>
    <w:basedOn w:val="Normal"/>
    <w:next w:val="Normal"/>
    <w:uiPriority w:val="16"/>
    <w:qFormat/>
    <w:rsid w:val="00A2551C"/>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A2551C"/>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A2551C"/>
    <w:pPr>
      <w:spacing w:after="240"/>
      <w:jc w:val="center"/>
      <w:outlineLvl w:val="0"/>
    </w:pPr>
    <w:rPr>
      <w:rFonts w:asciiTheme="majorHAnsi" w:hAnsiTheme="majorHAnsi"/>
    </w:rPr>
  </w:style>
  <w:style w:type="character" w:customStyle="1" w:styleId="JUNAMES">
    <w:name w:val="JU_NAMES"/>
    <w:uiPriority w:val="17"/>
    <w:qFormat/>
    <w:rsid w:val="00A2551C"/>
    <w:rPr>
      <w:caps w:val="0"/>
      <w:smallCaps/>
    </w:rPr>
  </w:style>
  <w:style w:type="paragraph" w:styleId="Title">
    <w:name w:val="Title"/>
    <w:basedOn w:val="Normal"/>
    <w:next w:val="Normal"/>
    <w:link w:val="TitleChar"/>
    <w:uiPriority w:val="99"/>
    <w:semiHidden/>
    <w:qFormat/>
    <w:rsid w:val="00A2551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A2551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A2551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2551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2551C"/>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A2551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A2551C"/>
    <w:pPr>
      <w:keepNext/>
      <w:keepLines/>
      <w:spacing w:before="240" w:after="120"/>
      <w:ind w:left="1236"/>
    </w:pPr>
    <w:rPr>
      <w:sz w:val="20"/>
      <w:lang w:val="en-GB"/>
    </w:rPr>
  </w:style>
  <w:style w:type="paragraph" w:customStyle="1" w:styleId="JuParaSub">
    <w:name w:val="Ju_Para_Sub"/>
    <w:basedOn w:val="ECHRPara"/>
    <w:uiPriority w:val="13"/>
    <w:qFormat/>
    <w:rsid w:val="00A2551C"/>
    <w:pPr>
      <w:ind w:left="284"/>
    </w:pPr>
  </w:style>
  <w:style w:type="paragraph" w:customStyle="1" w:styleId="JuQuotSub">
    <w:name w:val="Ju_Quot_Sub"/>
    <w:basedOn w:val="ECHRParaQuote"/>
    <w:uiPriority w:val="15"/>
    <w:qFormat/>
    <w:rsid w:val="00A2551C"/>
    <w:pPr>
      <w:ind w:left="567"/>
    </w:pPr>
  </w:style>
  <w:style w:type="paragraph" w:customStyle="1" w:styleId="JuTitle">
    <w:name w:val="Ju_Title"/>
    <w:basedOn w:val="Normal"/>
    <w:next w:val="ECHRPara"/>
    <w:uiPriority w:val="3"/>
    <w:semiHidden/>
    <w:qFormat/>
    <w:rsid w:val="00A2551C"/>
    <w:pPr>
      <w:spacing w:before="720" w:after="240"/>
      <w:jc w:val="center"/>
      <w:outlineLvl w:val="0"/>
    </w:pPr>
    <w:rPr>
      <w:rFonts w:asciiTheme="majorHAnsi" w:hAnsiTheme="majorHAnsi"/>
      <w:b/>
      <w:caps/>
    </w:rPr>
  </w:style>
  <w:style w:type="paragraph" w:styleId="Header">
    <w:name w:val="header"/>
    <w:basedOn w:val="Normal"/>
    <w:link w:val="HeaderChar"/>
    <w:uiPriority w:val="57"/>
    <w:semiHidden/>
    <w:rsid w:val="00D37A5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37A56"/>
    <w:rPr>
      <w:sz w:val="24"/>
      <w:lang w:val="en-GB"/>
    </w:rPr>
  </w:style>
  <w:style w:type="character" w:customStyle="1" w:styleId="Heading1Char">
    <w:name w:val="Heading 1 Char"/>
    <w:basedOn w:val="DefaultParagraphFont"/>
    <w:link w:val="Heading1"/>
    <w:uiPriority w:val="99"/>
    <w:semiHidden/>
    <w:rsid w:val="00D37A5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A2551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2551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37A56"/>
    <w:rPr>
      <w:rFonts w:asciiTheme="majorHAnsi" w:eastAsiaTheme="majorEastAsia" w:hAnsiTheme="majorHAnsi" w:cstheme="majorBidi"/>
      <w:b/>
      <w:bCs/>
      <w:color w:val="4D4D4D"/>
      <w:sz w:val="26"/>
      <w:szCs w:val="26"/>
      <w:lang w:val="en-GB"/>
    </w:rPr>
  </w:style>
  <w:style w:type="paragraph" w:customStyle="1" w:styleId="OpiParaSub">
    <w:name w:val="Opi_Para_Sub"/>
    <w:basedOn w:val="JuParaSub"/>
    <w:uiPriority w:val="47"/>
    <w:qFormat/>
    <w:rsid w:val="00A2551C"/>
  </w:style>
  <w:style w:type="paragraph" w:customStyle="1" w:styleId="ECHRDecisionBody">
    <w:name w:val="ECHR_Decision_Body"/>
    <w:aliases w:val="Ju_Judges"/>
    <w:basedOn w:val="Normal"/>
    <w:uiPriority w:val="11"/>
    <w:qFormat/>
    <w:rsid w:val="00A2551C"/>
    <w:pPr>
      <w:tabs>
        <w:tab w:val="left" w:pos="567"/>
        <w:tab w:val="left" w:pos="1134"/>
      </w:tabs>
      <w:jc w:val="left"/>
    </w:pPr>
  </w:style>
  <w:style w:type="character" w:customStyle="1" w:styleId="Heading3Char">
    <w:name w:val="Heading 3 Char"/>
    <w:basedOn w:val="DefaultParagraphFont"/>
    <w:link w:val="Heading3"/>
    <w:uiPriority w:val="99"/>
    <w:semiHidden/>
    <w:rsid w:val="00D37A56"/>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uiPriority w:val="12"/>
    <w:qFormat/>
    <w:rsid w:val="00A2551C"/>
    <w:pPr>
      <w:ind w:firstLine="284"/>
    </w:pPr>
  </w:style>
  <w:style w:type="character" w:customStyle="1" w:styleId="Heading4Char">
    <w:name w:val="Heading 4 Char"/>
    <w:basedOn w:val="DefaultParagraphFont"/>
    <w:link w:val="Heading4"/>
    <w:uiPriority w:val="99"/>
    <w:semiHidden/>
    <w:rsid w:val="00D37A56"/>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A2551C"/>
    <w:rPr>
      <w:rFonts w:asciiTheme="majorHAnsi" w:eastAsiaTheme="majorEastAsia" w:hAnsiTheme="majorHAnsi" w:cstheme="majorBidi"/>
      <w:b/>
      <w:bCs/>
      <w:color w:val="808080"/>
    </w:rPr>
  </w:style>
  <w:style w:type="character" w:styleId="SubtleEmphasis">
    <w:name w:val="Subtle Emphasis"/>
    <w:uiPriority w:val="99"/>
    <w:semiHidden/>
    <w:qFormat/>
    <w:rsid w:val="00A2551C"/>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2551C"/>
    <w:pPr>
      <w:keepNext/>
      <w:keepLines/>
      <w:spacing w:before="720" w:after="240"/>
      <w:outlineLvl w:val="0"/>
    </w:pPr>
    <w:rPr>
      <w:rFonts w:asciiTheme="majorHAnsi" w:hAnsiTheme="majorHAnsi"/>
      <w:sz w:val="28"/>
    </w:rPr>
  </w:style>
  <w:style w:type="character" w:styleId="Emphasis">
    <w:name w:val="Emphasis"/>
    <w:uiPriority w:val="99"/>
    <w:semiHidden/>
    <w:qFormat/>
    <w:rsid w:val="00A2551C"/>
    <w:rPr>
      <w:b/>
      <w:bCs/>
      <w:i/>
      <w:iCs/>
      <w:spacing w:val="10"/>
      <w:bdr w:val="none" w:sz="0" w:space="0" w:color="auto"/>
      <w:shd w:val="clear" w:color="auto" w:fill="auto"/>
    </w:rPr>
  </w:style>
  <w:style w:type="paragraph" w:styleId="Footer">
    <w:name w:val="footer"/>
    <w:basedOn w:val="Normal"/>
    <w:link w:val="FooterChar"/>
    <w:uiPriority w:val="57"/>
    <w:semiHidden/>
    <w:rsid w:val="00D37A5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37A56"/>
    <w:rPr>
      <w:sz w:val="24"/>
      <w:lang w:val="en-GB"/>
    </w:rPr>
  </w:style>
  <w:style w:type="character" w:styleId="FootnoteReference">
    <w:name w:val="footnote reference"/>
    <w:basedOn w:val="DefaultParagraphFont"/>
    <w:uiPriority w:val="99"/>
    <w:semiHidden/>
    <w:rsid w:val="00D37A56"/>
    <w:rPr>
      <w:vertAlign w:val="superscript"/>
    </w:rPr>
  </w:style>
  <w:style w:type="paragraph" w:styleId="FootnoteText">
    <w:name w:val="footnote text"/>
    <w:basedOn w:val="Normal"/>
    <w:link w:val="FootnoteTextChar"/>
    <w:uiPriority w:val="99"/>
    <w:semiHidden/>
    <w:rsid w:val="00D37A56"/>
    <w:rPr>
      <w:sz w:val="20"/>
      <w:szCs w:val="20"/>
    </w:rPr>
  </w:style>
  <w:style w:type="character" w:customStyle="1" w:styleId="FootnoteTextChar">
    <w:name w:val="Footnote Text Char"/>
    <w:basedOn w:val="DefaultParagraphFont"/>
    <w:link w:val="FootnoteText"/>
    <w:uiPriority w:val="99"/>
    <w:semiHidden/>
    <w:rsid w:val="00D37A56"/>
    <w:rPr>
      <w:rFonts w:eastAsiaTheme="minorEastAsia"/>
      <w:sz w:val="20"/>
      <w:szCs w:val="20"/>
      <w:lang w:val="en-GB"/>
    </w:rPr>
  </w:style>
  <w:style w:type="character" w:customStyle="1" w:styleId="Heading6Char">
    <w:name w:val="Heading 6 Char"/>
    <w:basedOn w:val="DefaultParagraphFont"/>
    <w:link w:val="Heading6"/>
    <w:uiPriority w:val="99"/>
    <w:semiHidden/>
    <w:rsid w:val="00D37A56"/>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A2551C"/>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2551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2551C"/>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37A56"/>
    <w:rPr>
      <w:color w:val="0072BC" w:themeColor="hyperlink"/>
      <w:u w:val="single"/>
    </w:rPr>
  </w:style>
  <w:style w:type="character" w:styleId="IntenseEmphasis">
    <w:name w:val="Intense Emphasis"/>
    <w:uiPriority w:val="99"/>
    <w:semiHidden/>
    <w:qFormat/>
    <w:rsid w:val="00A2551C"/>
    <w:rPr>
      <w:b/>
      <w:bCs/>
    </w:rPr>
  </w:style>
  <w:style w:type="paragraph" w:styleId="IntenseQuote">
    <w:name w:val="Intense Quote"/>
    <w:basedOn w:val="Normal"/>
    <w:next w:val="Normal"/>
    <w:link w:val="IntenseQuoteChar"/>
    <w:uiPriority w:val="99"/>
    <w:semiHidden/>
    <w:qFormat/>
    <w:rsid w:val="00A2551C"/>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A2551C"/>
    <w:rPr>
      <w:rFonts w:eastAsiaTheme="minorEastAsia"/>
      <w:b/>
      <w:bCs/>
      <w:i/>
      <w:iCs/>
      <w:lang w:bidi="en-US"/>
    </w:rPr>
  </w:style>
  <w:style w:type="character" w:styleId="IntenseReference">
    <w:name w:val="Intense Reference"/>
    <w:uiPriority w:val="99"/>
    <w:semiHidden/>
    <w:qFormat/>
    <w:rsid w:val="00A2551C"/>
    <w:rPr>
      <w:smallCaps/>
      <w:spacing w:val="5"/>
      <w:u w:val="single"/>
    </w:rPr>
  </w:style>
  <w:style w:type="paragraph" w:styleId="ListParagraph">
    <w:name w:val="List Paragraph"/>
    <w:basedOn w:val="Normal"/>
    <w:uiPriority w:val="99"/>
    <w:semiHidden/>
    <w:qFormat/>
    <w:rsid w:val="00A2551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2551C"/>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A2551C"/>
    <w:rPr>
      <w:rFonts w:eastAsiaTheme="minorEastAsia"/>
      <w:i/>
      <w:iCs/>
      <w:lang w:bidi="en-US"/>
    </w:rPr>
  </w:style>
  <w:style w:type="character" w:styleId="SubtleReference">
    <w:name w:val="Subtle Reference"/>
    <w:uiPriority w:val="99"/>
    <w:semiHidden/>
    <w:qFormat/>
    <w:rsid w:val="00A2551C"/>
    <w:rPr>
      <w:smallCaps/>
    </w:rPr>
  </w:style>
  <w:style w:type="table" w:styleId="TableGrid">
    <w:name w:val="Table Grid"/>
    <w:basedOn w:val="TableNormal"/>
    <w:uiPriority w:val="59"/>
    <w:semiHidden/>
    <w:rsid w:val="00D37A5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37A5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37A5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37A5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37A5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37A5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A2551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37A5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A2551C"/>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37A5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A2551C"/>
    <w:pPr>
      <w:tabs>
        <w:tab w:val="center" w:pos="851"/>
        <w:tab w:val="center" w:pos="6407"/>
      </w:tabs>
      <w:spacing w:before="720"/>
      <w:jc w:val="left"/>
    </w:pPr>
  </w:style>
  <w:style w:type="paragraph" w:customStyle="1" w:styleId="JuParaLast">
    <w:name w:val="Ju_Para_Last"/>
    <w:basedOn w:val="Normal"/>
    <w:next w:val="ECHRPara"/>
    <w:uiPriority w:val="30"/>
    <w:qFormat/>
    <w:rsid w:val="00A2551C"/>
    <w:pPr>
      <w:keepNext/>
      <w:keepLines/>
      <w:spacing w:before="240"/>
      <w:ind w:firstLine="284"/>
    </w:pPr>
  </w:style>
  <w:style w:type="paragraph" w:customStyle="1" w:styleId="JuCase">
    <w:name w:val="Ju_Case"/>
    <w:basedOn w:val="Normal"/>
    <w:next w:val="ECHRPara"/>
    <w:uiPriority w:val="26"/>
    <w:rsid w:val="00D37A56"/>
    <w:pPr>
      <w:ind w:firstLine="284"/>
    </w:pPr>
    <w:rPr>
      <w:b/>
    </w:rPr>
  </w:style>
  <w:style w:type="paragraph" w:customStyle="1" w:styleId="JuList">
    <w:name w:val="Ju_List"/>
    <w:basedOn w:val="Normal"/>
    <w:uiPriority w:val="28"/>
    <w:qFormat/>
    <w:rsid w:val="00A2551C"/>
    <w:pPr>
      <w:ind w:left="340" w:hanging="340"/>
    </w:pPr>
  </w:style>
  <w:style w:type="paragraph" w:customStyle="1" w:styleId="OpiQuot">
    <w:name w:val="Opi_Quot"/>
    <w:basedOn w:val="ECHRParaQuote"/>
    <w:uiPriority w:val="48"/>
    <w:qFormat/>
    <w:rsid w:val="00A2551C"/>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2551C"/>
    <w:pPr>
      <w:ind w:left="346" w:firstLine="0"/>
    </w:pPr>
  </w:style>
  <w:style w:type="paragraph" w:customStyle="1" w:styleId="JuListi">
    <w:name w:val="Ju_List_i"/>
    <w:basedOn w:val="Normal"/>
    <w:next w:val="JuLista"/>
    <w:uiPriority w:val="28"/>
    <w:qFormat/>
    <w:rsid w:val="00A2551C"/>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basedOn w:val="DefaultParagraphFont"/>
    <w:uiPriority w:val="99"/>
    <w:semiHidden/>
    <w:rsid w:val="00D37A56"/>
    <w:rPr>
      <w:vertAlign w:val="superscript"/>
    </w:rPr>
  </w:style>
  <w:style w:type="paragraph" w:styleId="EndnoteText">
    <w:name w:val="endnote text"/>
    <w:basedOn w:val="Normal"/>
    <w:link w:val="EndnoteTextChar"/>
    <w:uiPriority w:val="99"/>
    <w:semiHidden/>
    <w:rsid w:val="00D37A56"/>
    <w:rPr>
      <w:sz w:val="20"/>
      <w:szCs w:val="20"/>
    </w:rPr>
  </w:style>
  <w:style w:type="character" w:customStyle="1" w:styleId="EndnoteTextChar">
    <w:name w:val="Endnote Text Char"/>
    <w:basedOn w:val="DefaultParagraphFont"/>
    <w:link w:val="EndnoteText"/>
    <w:uiPriority w:val="99"/>
    <w:semiHidden/>
    <w:rsid w:val="00D37A56"/>
    <w:rPr>
      <w:rFonts w:eastAsiaTheme="minorEastAsia"/>
      <w:sz w:val="20"/>
      <w:szCs w:val="20"/>
      <w:lang w:val="en-GB"/>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QuotSub">
    <w:name w:val="Opi_Quot_Sub"/>
    <w:basedOn w:val="JuQuotSub"/>
    <w:uiPriority w:val="49"/>
    <w:qFormat/>
    <w:rsid w:val="00A2551C"/>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character" w:customStyle="1" w:styleId="JuITMark">
    <w:name w:val="Ju_ITMark"/>
    <w:basedOn w:val="DefaultParagraphFont"/>
    <w:uiPriority w:val="38"/>
    <w:qFormat/>
    <w:rsid w:val="00A2551C"/>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A2551C"/>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A2551C"/>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D37A5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37A5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37A5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
    <w:name w:val="Opi_H_A"/>
    <w:basedOn w:val="ECHRHeading1"/>
    <w:next w:val="OpiPara"/>
    <w:uiPriority w:val="41"/>
    <w:qFormat/>
    <w:rsid w:val="00A2551C"/>
    <w:pPr>
      <w:tabs>
        <w:tab w:val="clear" w:pos="357"/>
      </w:tabs>
      <w:outlineLvl w:val="1"/>
    </w:pPr>
    <w:rPr>
      <w:b/>
    </w:rPr>
  </w:style>
  <w:style w:type="paragraph" w:customStyle="1" w:styleId="OpiTranslation">
    <w:name w:val="Opi_Translation"/>
    <w:basedOn w:val="Normal"/>
    <w:next w:val="OpiPara"/>
    <w:uiPriority w:val="40"/>
    <w:qFormat/>
    <w:rsid w:val="00A2551C"/>
    <w:pPr>
      <w:jc w:val="center"/>
      <w:outlineLvl w:val="0"/>
    </w:pPr>
    <w:rPr>
      <w:i/>
    </w:rPr>
  </w:style>
  <w:style w:type="paragraph" w:customStyle="1" w:styleId="OpiH1">
    <w:name w:val="Opi_H_1"/>
    <w:basedOn w:val="ECHRHeading2"/>
    <w:uiPriority w:val="42"/>
    <w:qFormat/>
    <w:rsid w:val="00A2551C"/>
    <w:pPr>
      <w:ind w:left="635" w:hanging="357"/>
      <w:outlineLvl w:val="2"/>
    </w:pPr>
  </w:style>
  <w:style w:type="paragraph" w:customStyle="1" w:styleId="OpiHa0">
    <w:name w:val="Opi_H_a"/>
    <w:basedOn w:val="ECHRHeading3"/>
    <w:uiPriority w:val="43"/>
    <w:qFormat/>
    <w:rsid w:val="00A2551C"/>
    <w:pPr>
      <w:ind w:left="833" w:hanging="357"/>
      <w:outlineLvl w:val="3"/>
    </w:pPr>
    <w:rPr>
      <w:b/>
      <w:i w:val="0"/>
      <w:sz w:val="20"/>
    </w:rPr>
  </w:style>
  <w:style w:type="paragraph" w:customStyle="1" w:styleId="OpiHi">
    <w:name w:val="Opi_H_i"/>
    <w:basedOn w:val="ECHRHeading4"/>
    <w:uiPriority w:val="44"/>
    <w:qFormat/>
    <w:rsid w:val="00A2551C"/>
    <w:pPr>
      <w:ind w:left="1037" w:hanging="357"/>
      <w:outlineLvl w:val="4"/>
    </w:pPr>
    <w:rPr>
      <w:b w:val="0"/>
      <w:i/>
    </w:rPr>
  </w:style>
  <w:style w:type="paragraph" w:customStyle="1" w:styleId="DummyStyle">
    <w:name w:val="Dummy_Style"/>
    <w:basedOn w:val="Normal"/>
    <w:semiHidden/>
    <w:qFormat/>
    <w:rsid w:val="00A2551C"/>
    <w:rPr>
      <w:color w:val="00B050"/>
    </w:rPr>
  </w:style>
  <w:style w:type="paragraph" w:customStyle="1" w:styleId="JuHeaderLandscape">
    <w:name w:val="Ju_Header_Landscape"/>
    <w:basedOn w:val="ECHRHeader"/>
    <w:uiPriority w:val="4"/>
    <w:qFormat/>
    <w:rsid w:val="00A2551C"/>
    <w:pPr>
      <w:tabs>
        <w:tab w:val="clear" w:pos="3686"/>
        <w:tab w:val="clear" w:pos="7371"/>
        <w:tab w:val="center" w:pos="6146"/>
        <w:tab w:val="right" w:pos="12293"/>
      </w:tabs>
    </w:pPr>
  </w:style>
  <w:style w:type="paragraph" w:customStyle="1" w:styleId="ECHRSpacer">
    <w:name w:val="ECHR_Spacer"/>
    <w:basedOn w:val="Normal"/>
    <w:uiPriority w:val="45"/>
    <w:rsid w:val="00AA755B"/>
    <w:pPr>
      <w:jc w:val="left"/>
    </w:pPr>
    <w:rPr>
      <w:rFonts w:eastAsiaTheme="minorHAnsi"/>
      <w:sz w:val="4"/>
    </w:rPr>
  </w:style>
  <w:style w:type="paragraph" w:styleId="Revision">
    <w:name w:val="Revision"/>
    <w:hidden/>
    <w:uiPriority w:val="99"/>
    <w:semiHidden/>
    <w:rsid w:val="00F9158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7677">
      <w:bodyDiv w:val="1"/>
      <w:marLeft w:val="0"/>
      <w:marRight w:val="0"/>
      <w:marTop w:val="0"/>
      <w:marBottom w:val="0"/>
      <w:divBdr>
        <w:top w:val="none" w:sz="0" w:space="0" w:color="auto"/>
        <w:left w:val="none" w:sz="0" w:space="0" w:color="auto"/>
        <w:bottom w:val="none" w:sz="0" w:space="0" w:color="auto"/>
        <w:right w:val="none" w:sz="0" w:space="0" w:color="auto"/>
      </w:divBdr>
    </w:div>
    <w:div w:id="645160258">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39612055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51610803">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94C0C-40D5-4741-9C38-B269A1BC604D}"/>
</file>

<file path=customXml/itemProps2.xml><?xml version="1.0" encoding="utf-8"?>
<ds:datastoreItem xmlns:ds="http://schemas.openxmlformats.org/officeDocument/2006/customXml" ds:itemID="{47B103B3-0EDB-4B16-A8E5-1E9B88E8B274}"/>
</file>

<file path=customXml/itemProps3.xml><?xml version="1.0" encoding="utf-8"?>
<ds:datastoreItem xmlns:ds="http://schemas.openxmlformats.org/officeDocument/2006/customXml" ds:itemID="{EFC8F9CE-B6FA-4C7D-BC8D-1E33C922F704}"/>
</file>

<file path=customXml/itemProps4.xml><?xml version="1.0" encoding="utf-8"?>
<ds:datastoreItem xmlns:ds="http://schemas.openxmlformats.org/officeDocument/2006/customXml" ds:itemID="{21C565D3-FB19-4761-95CE-5F35F393A077}"/>
</file>

<file path=docProps/app.xml><?xml version="1.0" encoding="utf-8"?>
<Properties xmlns="http://schemas.openxmlformats.org/officeDocument/2006/extended-properties" xmlns:vt="http://schemas.openxmlformats.org/officeDocument/2006/docPropsVTypes">
  <Template>Normal.dotm</Template>
  <TotalTime>0</TotalTime>
  <Pages>1</Pages>
  <Words>13632</Words>
  <Characters>77707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2019-08-27T07:50:00Z</dcterms:created>
  <dcterms:modified xsi:type="dcterms:W3CDTF">2019-08-27T07:50:00Z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74141/10</vt:lpwstr>
  </property>
  <property fmtid="{D5CDD505-2E9C-101B-9397-08002B2CF9AE}" pid="4" name="CASEID">
    <vt:lpwstr>688190</vt:lpwstr>
  </property>
  <property fmtid="{D5CDD505-2E9C-101B-9397-08002B2CF9AE}" pid="5" name="ContentTypeId">
    <vt:lpwstr>0x010100558EB02BDB9E204AB350EDD385B68E10</vt:lpwstr>
  </property>
</Properties>
</file>