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92" w:rsidRPr="001612D5" w:rsidRDefault="007E2192" w:rsidP="001612D5">
      <w:pPr>
        <w:pStyle w:val="JuPara"/>
        <w:jc w:val="center"/>
      </w:pPr>
    </w:p>
    <w:p w:rsidR="007E2192" w:rsidRPr="001612D5" w:rsidRDefault="007E2192" w:rsidP="001612D5">
      <w:pPr>
        <w:pStyle w:val="JuPara"/>
        <w:jc w:val="center"/>
      </w:pPr>
    </w:p>
    <w:p w:rsidR="002D2C99" w:rsidRPr="001612D5" w:rsidRDefault="006B79D0" w:rsidP="001612D5">
      <w:pPr>
        <w:pStyle w:val="DecHCase"/>
      </w:pPr>
      <w:r w:rsidRPr="001612D5">
        <w:t>TROISIÈME SECTION</w:t>
      </w:r>
    </w:p>
    <w:p w:rsidR="00EF53E3" w:rsidRPr="001612D5" w:rsidRDefault="00EF53E3" w:rsidP="001612D5">
      <w:pPr>
        <w:pStyle w:val="JuPara"/>
        <w:jc w:val="center"/>
      </w:pPr>
    </w:p>
    <w:p w:rsidR="002D2C99" w:rsidRPr="001612D5" w:rsidRDefault="002D2C99" w:rsidP="001612D5">
      <w:pPr>
        <w:pStyle w:val="JuTitle"/>
      </w:pPr>
      <w:r w:rsidRPr="001612D5">
        <w:t xml:space="preserve">AFFAIRE </w:t>
      </w:r>
      <w:r w:rsidR="006B79D0" w:rsidRPr="001612D5">
        <w:t>VOLCHKOVA ET MIRONOV c. RUSSIE</w:t>
      </w:r>
    </w:p>
    <w:p w:rsidR="002D2C99" w:rsidRPr="001612D5" w:rsidRDefault="002D2C99" w:rsidP="001612D5">
      <w:pPr>
        <w:pStyle w:val="Title4"/>
      </w:pPr>
      <w:r w:rsidRPr="001612D5">
        <w:t>(</w:t>
      </w:r>
      <w:r w:rsidR="006B79D0" w:rsidRPr="001612D5">
        <w:t>Requêtes n</w:t>
      </w:r>
      <w:r w:rsidR="006B79D0" w:rsidRPr="001612D5">
        <w:rPr>
          <w:vertAlign w:val="superscript"/>
        </w:rPr>
        <w:t>os</w:t>
      </w:r>
      <w:r w:rsidR="00626F82" w:rsidRPr="001612D5">
        <w:t xml:space="preserve"> </w:t>
      </w:r>
      <w:r w:rsidR="006B79D0" w:rsidRPr="001612D5">
        <w:t>45668/05 et 2292/06</w:t>
      </w:r>
      <w:r w:rsidRPr="001612D5">
        <w:t>)</w:t>
      </w:r>
    </w:p>
    <w:p w:rsidR="002D2C99" w:rsidRPr="001612D5" w:rsidRDefault="002D2C99" w:rsidP="001612D5">
      <w:pPr>
        <w:pStyle w:val="DecHCase"/>
      </w:pPr>
    </w:p>
    <w:p w:rsidR="002D2C99" w:rsidRPr="001612D5" w:rsidRDefault="002D2C99" w:rsidP="001612D5">
      <w:pPr>
        <w:pStyle w:val="DecHCase"/>
      </w:pPr>
    </w:p>
    <w:p w:rsidR="002D2C99" w:rsidRPr="001612D5" w:rsidRDefault="002D2C99" w:rsidP="001612D5">
      <w:pPr>
        <w:pStyle w:val="DecHCase"/>
      </w:pPr>
    </w:p>
    <w:p w:rsidR="007E2192" w:rsidRPr="001612D5" w:rsidRDefault="007E2192" w:rsidP="001612D5">
      <w:pPr>
        <w:pStyle w:val="JuPara"/>
      </w:pPr>
    </w:p>
    <w:p w:rsidR="002D2C99" w:rsidRPr="001612D5" w:rsidRDefault="002D2C99" w:rsidP="001612D5">
      <w:pPr>
        <w:pStyle w:val="DecHCase"/>
      </w:pPr>
      <w:r w:rsidRPr="001612D5">
        <w:t>ARRÊT</w:t>
      </w:r>
    </w:p>
    <w:p w:rsidR="002D2C99" w:rsidRPr="001612D5" w:rsidRDefault="006B79D0" w:rsidP="001612D5">
      <w:pPr>
        <w:pStyle w:val="DecHCase"/>
        <w:rPr>
          <w:i/>
        </w:rPr>
      </w:pPr>
      <w:bookmarkStart w:id="0" w:name="JUDTYPE"/>
      <w:r w:rsidRPr="001612D5">
        <w:rPr>
          <w:i/>
        </w:rPr>
        <w:t>(Satisfaction équitable)</w:t>
      </w:r>
      <w:bookmarkEnd w:id="0"/>
    </w:p>
    <w:p w:rsidR="0088526A" w:rsidRPr="001612D5" w:rsidRDefault="0088526A" w:rsidP="001612D5">
      <w:pPr>
        <w:pStyle w:val="JuPara"/>
      </w:pPr>
    </w:p>
    <w:p w:rsidR="002D2C99" w:rsidRPr="001612D5" w:rsidRDefault="002D2C99" w:rsidP="001612D5">
      <w:pPr>
        <w:pStyle w:val="DecHCase"/>
      </w:pPr>
      <w:r w:rsidRPr="001612D5">
        <w:t>STRASBOURG</w:t>
      </w:r>
    </w:p>
    <w:p w:rsidR="0088526A" w:rsidRPr="001612D5" w:rsidRDefault="0088526A" w:rsidP="001612D5">
      <w:pPr>
        <w:pStyle w:val="JuPara"/>
      </w:pPr>
    </w:p>
    <w:p w:rsidR="002D2C99" w:rsidRPr="001612D5" w:rsidRDefault="00AD5698" w:rsidP="001612D5">
      <w:pPr>
        <w:pStyle w:val="DecHCase"/>
      </w:pPr>
      <w:r w:rsidRPr="001612D5">
        <w:t>15 octobre</w:t>
      </w:r>
      <w:r w:rsidR="006B79D0" w:rsidRPr="001612D5">
        <w:t xml:space="preserve"> 2019</w:t>
      </w:r>
    </w:p>
    <w:p w:rsidR="002D2C99" w:rsidRPr="001612D5" w:rsidRDefault="002D2C99" w:rsidP="001612D5">
      <w:pPr>
        <w:pStyle w:val="JuPara"/>
      </w:pPr>
    </w:p>
    <w:p w:rsidR="009E4EFC" w:rsidRPr="001612D5" w:rsidRDefault="009E4EFC" w:rsidP="001612D5">
      <w:pPr>
        <w:pStyle w:val="JuPara"/>
      </w:pPr>
    </w:p>
    <w:p w:rsidR="009E4EFC" w:rsidRPr="001612D5" w:rsidRDefault="009E4EFC" w:rsidP="001612D5">
      <w:pPr>
        <w:pStyle w:val="JuPara"/>
      </w:pPr>
    </w:p>
    <w:p w:rsidR="009E4EFC" w:rsidRPr="001612D5" w:rsidRDefault="009E4EFC" w:rsidP="001612D5">
      <w:pPr>
        <w:pStyle w:val="JuPara"/>
      </w:pPr>
    </w:p>
    <w:p w:rsidR="002D2C99" w:rsidRPr="001612D5" w:rsidRDefault="002D2C99" w:rsidP="001612D5">
      <w:pPr>
        <w:rPr>
          <w:i/>
        </w:rPr>
      </w:pPr>
      <w:r w:rsidRPr="001612D5">
        <w:rPr>
          <w:i/>
          <w:sz w:val="22"/>
        </w:rPr>
        <w:t>Cet arrêt</w:t>
      </w:r>
      <w:r w:rsidR="006B79D0" w:rsidRPr="001612D5">
        <w:rPr>
          <w:i/>
          <w:sz w:val="22"/>
        </w:rPr>
        <w:t xml:space="preserve"> deviendra définitif dans les conditions définies à l</w:t>
      </w:r>
      <w:r w:rsidR="001612D5" w:rsidRPr="001612D5">
        <w:rPr>
          <w:i/>
          <w:sz w:val="22"/>
        </w:rPr>
        <w:t>’</w:t>
      </w:r>
      <w:r w:rsidR="006B79D0" w:rsidRPr="001612D5">
        <w:rPr>
          <w:i/>
          <w:sz w:val="22"/>
        </w:rPr>
        <w:t>article 44 § 2 de la Convention</w:t>
      </w:r>
      <w:r w:rsidRPr="001612D5">
        <w:rPr>
          <w:i/>
          <w:sz w:val="22"/>
        </w:rPr>
        <w:t>. Il peut subir des retouches de forme.</w:t>
      </w:r>
    </w:p>
    <w:p w:rsidR="002D2C99" w:rsidRPr="001612D5" w:rsidRDefault="002D2C99" w:rsidP="001612D5">
      <w:pPr>
        <w:sectPr w:rsidR="002D2C99" w:rsidRPr="001612D5" w:rsidSect="00F5432B">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2D2C99" w:rsidRPr="001612D5" w:rsidRDefault="002D2C99" w:rsidP="001612D5">
      <w:pPr>
        <w:pStyle w:val="JuCase"/>
      </w:pPr>
      <w:r w:rsidRPr="001612D5">
        <w:lastRenderedPageBreak/>
        <w:t>En l</w:t>
      </w:r>
      <w:r w:rsidR="001612D5" w:rsidRPr="001612D5">
        <w:t>’</w:t>
      </w:r>
      <w:r w:rsidRPr="001612D5">
        <w:t xml:space="preserve">affaire </w:t>
      </w:r>
      <w:r w:rsidR="006B79D0" w:rsidRPr="001612D5">
        <w:t>Volchkova et Mironov c. Russie</w:t>
      </w:r>
      <w:r w:rsidRPr="001612D5">
        <w:t>,</w:t>
      </w:r>
    </w:p>
    <w:p w:rsidR="009E4EFC" w:rsidRPr="001612D5" w:rsidRDefault="009E4EFC" w:rsidP="001612D5">
      <w:pPr>
        <w:pStyle w:val="JuPara"/>
      </w:pPr>
      <w:r w:rsidRPr="001612D5">
        <w:t>La Cour européenne des droits de l</w:t>
      </w:r>
      <w:r w:rsidR="001612D5" w:rsidRPr="001612D5">
        <w:t>’</w:t>
      </w:r>
      <w:r w:rsidRPr="001612D5">
        <w:t>homme (troisième section), siégeant en une chambre composée de :</w:t>
      </w:r>
    </w:p>
    <w:p w:rsidR="009E4EFC" w:rsidRPr="001612D5" w:rsidRDefault="009E4EFC" w:rsidP="001612D5">
      <w:pPr>
        <w:pStyle w:val="JuJudges"/>
      </w:pPr>
      <w:r w:rsidRPr="001612D5">
        <w:tab/>
        <w:t>Paul Lemmens,</w:t>
      </w:r>
      <w:r w:rsidRPr="001612D5">
        <w:rPr>
          <w:i/>
        </w:rPr>
        <w:t xml:space="preserve"> président,</w:t>
      </w:r>
      <w:r w:rsidRPr="001612D5">
        <w:rPr>
          <w:i/>
        </w:rPr>
        <w:br/>
      </w:r>
      <w:r w:rsidRPr="001612D5">
        <w:tab/>
        <w:t>Georgios A. Serghides,</w:t>
      </w:r>
      <w:r w:rsidRPr="001612D5">
        <w:rPr>
          <w:i/>
        </w:rPr>
        <w:br/>
      </w:r>
      <w:r w:rsidRPr="001612D5">
        <w:tab/>
        <w:t>Paulo Pinto de Albuquerque,</w:t>
      </w:r>
      <w:r w:rsidRPr="001612D5">
        <w:rPr>
          <w:i/>
        </w:rPr>
        <w:br/>
      </w:r>
      <w:r w:rsidRPr="001612D5">
        <w:tab/>
        <w:t>Helen Keller,</w:t>
      </w:r>
      <w:r w:rsidRPr="001612D5">
        <w:rPr>
          <w:i/>
        </w:rPr>
        <w:br/>
      </w:r>
      <w:r w:rsidRPr="001612D5">
        <w:tab/>
        <w:t>Dmitry Dedov,</w:t>
      </w:r>
      <w:r w:rsidRPr="001612D5">
        <w:rPr>
          <w:i/>
        </w:rPr>
        <w:br/>
      </w:r>
      <w:r w:rsidRPr="001612D5">
        <w:tab/>
        <w:t>Alena Poláčková,</w:t>
      </w:r>
      <w:r w:rsidRPr="001612D5">
        <w:rPr>
          <w:i/>
        </w:rPr>
        <w:br/>
      </w:r>
      <w:r w:rsidRPr="001612D5">
        <w:tab/>
        <w:t>María Elósegui,</w:t>
      </w:r>
      <w:r w:rsidRPr="001612D5">
        <w:rPr>
          <w:i/>
        </w:rPr>
        <w:t xml:space="preserve"> juges,</w:t>
      </w:r>
      <w:r w:rsidRPr="001612D5">
        <w:br/>
        <w:t xml:space="preserve">et de </w:t>
      </w:r>
      <w:r w:rsidRPr="001612D5">
        <w:rPr>
          <w:color w:val="000000"/>
        </w:rPr>
        <w:t>Stephen Phillips</w:t>
      </w:r>
      <w:r w:rsidRPr="001612D5">
        <w:t xml:space="preserve">, </w:t>
      </w:r>
      <w:r w:rsidRPr="001612D5">
        <w:rPr>
          <w:i/>
          <w:color w:val="000000"/>
        </w:rPr>
        <w:t>greffier</w:t>
      </w:r>
      <w:r w:rsidRPr="001612D5">
        <w:rPr>
          <w:iCs/>
        </w:rPr>
        <w:t xml:space="preserve"> </w:t>
      </w:r>
      <w:r w:rsidRPr="001612D5">
        <w:rPr>
          <w:i/>
          <w:iCs/>
        </w:rPr>
        <w:t>d</w:t>
      </w:r>
      <w:r w:rsidRPr="001612D5">
        <w:rPr>
          <w:i/>
        </w:rPr>
        <w:t>e section</w:t>
      </w:r>
      <w:r w:rsidRPr="001612D5">
        <w:t>,</w:t>
      </w:r>
    </w:p>
    <w:p w:rsidR="009E4EFC" w:rsidRPr="001612D5" w:rsidRDefault="009E4EFC" w:rsidP="001612D5">
      <w:pPr>
        <w:pStyle w:val="JuPara"/>
      </w:pPr>
      <w:r w:rsidRPr="001612D5">
        <w:t>Après en avoir délibéré en chambre du conseil le 24 septembre 2019,</w:t>
      </w:r>
    </w:p>
    <w:p w:rsidR="009E4EFC" w:rsidRPr="001612D5" w:rsidRDefault="009E4EFC" w:rsidP="001612D5">
      <w:pPr>
        <w:pStyle w:val="JuPara"/>
      </w:pPr>
      <w:r w:rsidRPr="001612D5">
        <w:t>Rend l</w:t>
      </w:r>
      <w:r w:rsidR="001612D5" w:rsidRPr="001612D5">
        <w:t>’</w:t>
      </w:r>
      <w:r w:rsidRPr="001612D5">
        <w:t>arrêt que voici, adopté à cette date :</w:t>
      </w:r>
    </w:p>
    <w:p w:rsidR="009E4EFC" w:rsidRPr="001612D5" w:rsidRDefault="009E4EFC" w:rsidP="001612D5">
      <w:pPr>
        <w:pStyle w:val="JuHHead"/>
      </w:pPr>
      <w:r w:rsidRPr="001612D5">
        <w:t>PROCÉDURE</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w:t>
      </w:r>
      <w:r w:rsidRPr="001612D5">
        <w:fldChar w:fldCharType="end"/>
      </w:r>
      <w:r w:rsidRPr="001612D5">
        <w:t>.  À l</w:t>
      </w:r>
      <w:r w:rsidR="001612D5" w:rsidRPr="001612D5">
        <w:t>’</w:t>
      </w:r>
      <w:r w:rsidRPr="001612D5">
        <w:t>origine de l</w:t>
      </w:r>
      <w:r w:rsidR="001612D5" w:rsidRPr="001612D5">
        <w:t>’</w:t>
      </w:r>
      <w:r w:rsidRPr="001612D5">
        <w:t>affaire se trouvent deux requêtes (n</w:t>
      </w:r>
      <w:r w:rsidRPr="001612D5">
        <w:rPr>
          <w:vertAlign w:val="superscript"/>
        </w:rPr>
        <w:t>os</w:t>
      </w:r>
      <w:r w:rsidRPr="001612D5">
        <w:t xml:space="preserve"> 45668/05 et 2292/06) dirigées contre la Fédération de Russie et dont deux ressortissants de cet État, M</w:t>
      </w:r>
      <w:r w:rsidRPr="001612D5">
        <w:rPr>
          <w:vertAlign w:val="superscript"/>
        </w:rPr>
        <w:t>me</w:t>
      </w:r>
      <w:r w:rsidRPr="001612D5">
        <w:t xml:space="preserve"> Tatyana Grigoryevna Volchkova (« la requérante de la requête n</w:t>
      </w:r>
      <w:r w:rsidRPr="001612D5">
        <w:rPr>
          <w:vertAlign w:val="superscript"/>
        </w:rPr>
        <w:t>o</w:t>
      </w:r>
      <w:r w:rsidRPr="001612D5">
        <w:t xml:space="preserve"> 45668/05 », « la requérante ») et M. Boris Petrovich Mironov (« le requérant de la requête n</w:t>
      </w:r>
      <w:r w:rsidRPr="001612D5">
        <w:rPr>
          <w:vertAlign w:val="superscript"/>
        </w:rPr>
        <w:t>o </w:t>
      </w:r>
      <w:r w:rsidRPr="001612D5">
        <w:t>2292/06 », « le requérant ») ont saisi la Cour respectivement le 9 décembre 2005 et le 30 décembre 2005 en vertu de l</w:t>
      </w:r>
      <w:r w:rsidR="001612D5" w:rsidRPr="001612D5">
        <w:t>’</w:t>
      </w:r>
      <w:r w:rsidRPr="001612D5">
        <w:t>article 34 de la Convention de sauvegarde des droits de l</w:t>
      </w:r>
      <w:r w:rsidR="001612D5" w:rsidRPr="001612D5">
        <w:t>’</w:t>
      </w:r>
      <w:r w:rsidRPr="001612D5">
        <w:t>homme et des libertés fondamentales (« la Convention »).</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w:t>
      </w:r>
      <w:r w:rsidRPr="001612D5">
        <w:fldChar w:fldCharType="end"/>
      </w:r>
      <w:r w:rsidRPr="001612D5">
        <w:t>.  Par un arrêt du 18 mars 2017 (« l</w:t>
      </w:r>
      <w:r w:rsidR="001612D5" w:rsidRPr="001612D5">
        <w:t>’</w:t>
      </w:r>
      <w:r w:rsidRPr="001612D5">
        <w:t>arrêt au principal »), la Cour a jugé que l</w:t>
      </w:r>
      <w:r w:rsidR="001612D5" w:rsidRPr="001612D5">
        <w:t>’</w:t>
      </w:r>
      <w:r w:rsidRPr="001612D5">
        <w:t>expropriation des biens des requérants situés à Lyoubertsy avait été effectuée en violation de l</w:t>
      </w:r>
      <w:r w:rsidR="001612D5" w:rsidRPr="001612D5">
        <w:t>’</w:t>
      </w:r>
      <w:r w:rsidRPr="001612D5">
        <w:t>article 1 du Protocole n</w:t>
      </w:r>
      <w:r w:rsidRPr="001612D5">
        <w:rPr>
          <w:vertAlign w:val="superscript"/>
        </w:rPr>
        <w:t>o</w:t>
      </w:r>
      <w:r w:rsidRPr="001612D5">
        <w:t xml:space="preserve"> 1 à la Convention (</w:t>
      </w:r>
      <w:r w:rsidRPr="001612D5">
        <w:rPr>
          <w:i/>
        </w:rPr>
        <w:t>Volchkova et Mironov c. Russie</w:t>
      </w:r>
      <w:r w:rsidRPr="001612D5">
        <w:t>,</w:t>
      </w:r>
      <w:r w:rsidRPr="001612D5">
        <w:rPr>
          <w:i/>
        </w:rPr>
        <w:t xml:space="preserve"> </w:t>
      </w:r>
      <w:r w:rsidRPr="001612D5">
        <w:t>n</w:t>
      </w:r>
      <w:r w:rsidRPr="001612D5">
        <w:rPr>
          <w:vertAlign w:val="superscript"/>
        </w:rPr>
        <w:t xml:space="preserve">os </w:t>
      </w:r>
      <w:r w:rsidRPr="001612D5">
        <w:t>45668/05 et 2292/06, 28 mars 2017).</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w:t>
      </w:r>
      <w:r w:rsidRPr="001612D5">
        <w:fldChar w:fldCharType="end"/>
      </w:r>
      <w:r w:rsidRPr="001612D5">
        <w:t>.  S</w:t>
      </w:r>
      <w:r w:rsidR="001612D5" w:rsidRPr="001612D5">
        <w:t>’</w:t>
      </w:r>
      <w:r w:rsidRPr="001612D5">
        <w:t>appuyant sur l</w:t>
      </w:r>
      <w:r w:rsidR="001612D5" w:rsidRPr="001612D5">
        <w:t>’</w:t>
      </w:r>
      <w:r w:rsidRPr="001612D5">
        <w:t>article 41 de la Convention, la requérante de la requête n</w:t>
      </w:r>
      <w:r w:rsidRPr="001612D5">
        <w:rPr>
          <w:vertAlign w:val="superscript"/>
        </w:rPr>
        <w:t>o</w:t>
      </w:r>
      <w:r w:rsidRPr="001612D5">
        <w:t xml:space="preserve"> 45668/05 et le requérant de la requête n</w:t>
      </w:r>
      <w:r w:rsidRPr="001612D5">
        <w:rPr>
          <w:vertAlign w:val="superscript"/>
        </w:rPr>
        <w:t>o </w:t>
      </w:r>
      <w:r w:rsidRPr="001612D5">
        <w:t>2292/06 réclamaient respectivement 601 283 euros (EUR) et 2 569 896 EUR au titre du dommage matériel qu</w:t>
      </w:r>
      <w:r w:rsidR="001612D5" w:rsidRPr="001612D5">
        <w:t>’</w:t>
      </w:r>
      <w:r w:rsidRPr="001612D5">
        <w:t>ils estimaient avoir subi du fait de l</w:t>
      </w:r>
      <w:r w:rsidR="001612D5" w:rsidRPr="001612D5">
        <w:t>’</w:t>
      </w:r>
      <w:r w:rsidRPr="001612D5">
        <w:t>expropriation de leurs biens.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4</w:t>
      </w:r>
      <w:r w:rsidRPr="001612D5">
        <w:fldChar w:fldCharType="end"/>
      </w:r>
      <w:r w:rsidRPr="001612D5">
        <w:t>.  La question de l</w:t>
      </w:r>
      <w:r w:rsidR="001612D5" w:rsidRPr="001612D5">
        <w:t>’</w:t>
      </w:r>
      <w:r w:rsidRPr="001612D5">
        <w:t>application de l</w:t>
      </w:r>
      <w:r w:rsidR="001612D5" w:rsidRPr="001612D5">
        <w:t>’</w:t>
      </w:r>
      <w:r w:rsidRPr="001612D5">
        <w:t>article 41 de la Convention ne se trouvant pas en état pour le dommage matériel, la Cour l</w:t>
      </w:r>
      <w:r w:rsidR="001612D5" w:rsidRPr="001612D5">
        <w:t>’</w:t>
      </w:r>
      <w:r w:rsidRPr="001612D5">
        <w:t>a réservée et a invité le Gouvernement et les requérants à lui soumettre par écrit, dans les trois mois à compter du moment où l</w:t>
      </w:r>
      <w:r w:rsidR="001612D5" w:rsidRPr="001612D5">
        <w:t>’</w:t>
      </w:r>
      <w:r w:rsidRPr="001612D5">
        <w:t>arrêt serait devenu définitif, leurs observations sur ladite question et notamment à lui donner connaissance de tout accord auquel ils pourraient aboutir (</w:t>
      </w:r>
      <w:r w:rsidRPr="001612D5">
        <w:rPr>
          <w:i/>
        </w:rPr>
        <w:t>ibidem</w:t>
      </w:r>
      <w:r w:rsidRPr="001612D5">
        <w:t>, § 150, et point 7 du dispositif).</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5</w:t>
      </w:r>
      <w:r w:rsidRPr="001612D5">
        <w:fldChar w:fldCharType="end"/>
      </w:r>
      <w:r w:rsidRPr="001612D5">
        <w:t>.  Les parties n</w:t>
      </w:r>
      <w:r w:rsidR="001612D5" w:rsidRPr="001612D5">
        <w:t>’</w:t>
      </w:r>
      <w:r w:rsidRPr="001612D5">
        <w:t>ayant pas abouti à un accord, tant les requérants que le Gouvernement ont déposé des observations.</w:t>
      </w:r>
    </w:p>
    <w:p w:rsidR="009E4EFC" w:rsidRPr="001612D5" w:rsidRDefault="009E4EFC" w:rsidP="001612D5">
      <w:pPr>
        <w:pStyle w:val="JuHHead"/>
      </w:pPr>
      <w:r w:rsidRPr="001612D5">
        <w:lastRenderedPageBreak/>
        <w:t>EN DROIT</w:t>
      </w:r>
    </w:p>
    <w:p w:rsidR="009E4EFC" w:rsidRPr="001612D5" w:rsidRDefault="009E4EFC" w:rsidP="001612D5">
      <w:pPr>
        <w:pStyle w:val="JuHIRoman"/>
        <w:numPr>
          <w:ilvl w:val="0"/>
          <w:numId w:val="0"/>
        </w:numPr>
        <w:ind w:left="357"/>
        <w:rPr>
          <w:rFonts w:eastAsiaTheme="majorEastAsia"/>
        </w:rPr>
      </w:pPr>
      <w:r w:rsidRPr="001612D5">
        <w:rPr>
          <w:rFonts w:eastAsiaTheme="majorEastAsia"/>
        </w:rPr>
        <w:t>SUR L</w:t>
      </w:r>
      <w:r w:rsidR="001612D5" w:rsidRPr="001612D5">
        <w:rPr>
          <w:rFonts w:eastAsiaTheme="majorEastAsia"/>
        </w:rPr>
        <w:t>’</w:t>
      </w:r>
      <w:r w:rsidRPr="001612D5">
        <w:rPr>
          <w:rFonts w:eastAsiaTheme="majorEastAsia"/>
        </w:rPr>
        <w:t>APPLICATION DE L</w:t>
      </w:r>
      <w:r w:rsidR="001612D5" w:rsidRPr="001612D5">
        <w:rPr>
          <w:rFonts w:eastAsiaTheme="majorEastAsia"/>
        </w:rPr>
        <w:t>’</w:t>
      </w:r>
      <w:r w:rsidRPr="001612D5">
        <w:rPr>
          <w:rFonts w:eastAsiaTheme="majorEastAsia"/>
        </w:rPr>
        <w:t>ARTICLE 41 DE LA CONVENTION</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6</w:t>
      </w:r>
      <w:r w:rsidRPr="001612D5">
        <w:fldChar w:fldCharType="end"/>
      </w:r>
      <w:r w:rsidRPr="001612D5">
        <w:t>.  Aux termes de l</w:t>
      </w:r>
      <w:r w:rsidR="001612D5" w:rsidRPr="001612D5">
        <w:t>’</w:t>
      </w:r>
      <w:r w:rsidRPr="001612D5">
        <w:t>article 41 de la Convention,</w:t>
      </w:r>
    </w:p>
    <w:p w:rsidR="009E4EFC" w:rsidRPr="001612D5" w:rsidRDefault="009E4EFC" w:rsidP="001612D5">
      <w:pPr>
        <w:pStyle w:val="JuQuot"/>
      </w:pPr>
      <w:r w:rsidRPr="001612D5">
        <w:t>« Si la Cour déclare qu</w:t>
      </w:r>
      <w:r w:rsidR="001612D5" w:rsidRPr="001612D5">
        <w:t>’</w:t>
      </w:r>
      <w:r w:rsidRPr="001612D5">
        <w:t>il y a eu violation de la Convention ou de ses Protocoles, et si le droit interne de la Haute Partie contractante ne permet d</w:t>
      </w:r>
      <w:r w:rsidR="001612D5" w:rsidRPr="001612D5">
        <w:t>’</w:t>
      </w:r>
      <w:r w:rsidRPr="001612D5">
        <w:t>effacer qu</w:t>
      </w:r>
      <w:r w:rsidR="001612D5" w:rsidRPr="001612D5">
        <w:t>’</w:t>
      </w:r>
      <w:r w:rsidRPr="001612D5">
        <w:t>imparfaitement les conséquences de cette violation, la Cour accorde à la partie lésée, s</w:t>
      </w:r>
      <w:r w:rsidR="001612D5" w:rsidRPr="001612D5">
        <w:t>’</w:t>
      </w:r>
      <w:r w:rsidRPr="001612D5">
        <w:t>il y a lieu, une satisfaction équitable. »</w:t>
      </w:r>
    </w:p>
    <w:p w:rsidR="009E4EFC" w:rsidRPr="001612D5" w:rsidRDefault="009E4EFC" w:rsidP="001612D5">
      <w:pPr>
        <w:pStyle w:val="JuHA"/>
        <w:rPr>
          <w:rFonts w:eastAsiaTheme="majorEastAsia"/>
        </w:rPr>
      </w:pPr>
      <w:r w:rsidRPr="001612D5">
        <w:rPr>
          <w:rFonts w:eastAsiaTheme="majorEastAsia"/>
        </w:rPr>
        <w:t>Thèses des parties</w:t>
      </w:r>
    </w:p>
    <w:p w:rsidR="009E4EFC" w:rsidRPr="001612D5" w:rsidRDefault="009E4EFC" w:rsidP="001612D5">
      <w:pPr>
        <w:pStyle w:val="JuH1"/>
        <w:rPr>
          <w:rFonts w:eastAsiaTheme="majorEastAsia"/>
        </w:rPr>
      </w:pPr>
      <w:r w:rsidRPr="001612D5">
        <w:rPr>
          <w:rFonts w:eastAsiaTheme="majorEastAsia"/>
        </w:rPr>
        <w:t>La requérante de la requête n</w:t>
      </w:r>
      <w:r w:rsidRPr="001612D5">
        <w:rPr>
          <w:rFonts w:eastAsiaTheme="majorEastAsia"/>
          <w:vertAlign w:val="superscript"/>
        </w:rPr>
        <w:t>o</w:t>
      </w:r>
      <w:r w:rsidRPr="001612D5">
        <w:rPr>
          <w:rFonts w:eastAsiaTheme="majorEastAsia"/>
        </w:rPr>
        <w:t> 45668/05</w:t>
      </w:r>
    </w:p>
    <w:p w:rsidR="00575117"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7</w:t>
      </w:r>
      <w:r w:rsidRPr="001612D5">
        <w:fldChar w:fldCharType="end"/>
      </w:r>
      <w:r w:rsidRPr="001612D5">
        <w:t>.  La requérante de la requête n</w:t>
      </w:r>
      <w:r w:rsidRPr="001612D5">
        <w:rPr>
          <w:vertAlign w:val="superscript"/>
        </w:rPr>
        <w:t>o</w:t>
      </w:r>
      <w:r w:rsidRPr="001612D5">
        <w:t> 45668/05 demande 361 878 dollars américains (USD) (soit l</w:t>
      </w:r>
      <w:r w:rsidR="001612D5" w:rsidRPr="001612D5">
        <w:t>’</w:t>
      </w:r>
      <w:r w:rsidRPr="001612D5">
        <w:t>équivalent, selon elle, de 314 677 euros (EUR)).</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8</w:t>
      </w:r>
      <w:r w:rsidRPr="001612D5">
        <w:fldChar w:fldCharType="end"/>
      </w:r>
      <w:r w:rsidRPr="001612D5">
        <w:t>.  Cette demande, qui correspondrait à la valeur marchande de son bien en 2005, est ventilée comme suit :</w:t>
      </w:r>
    </w:p>
    <w:p w:rsidR="009E4EFC" w:rsidRPr="001612D5" w:rsidRDefault="009E4EFC" w:rsidP="001612D5">
      <w:pPr>
        <w:pStyle w:val="JuPara"/>
      </w:pPr>
      <w:r w:rsidRPr="001612D5">
        <w:t>i)  210 426 USD pour sa part du terrain, cette somme ayant été calculée en appliquant une méthode appelée « méthode d</w:t>
      </w:r>
      <w:r w:rsidR="001612D5" w:rsidRPr="001612D5">
        <w:t>’</w:t>
      </w:r>
      <w:r w:rsidRPr="001612D5">
        <w:t>utilisation future » par l</w:t>
      </w:r>
      <w:r w:rsidR="001612D5" w:rsidRPr="001612D5">
        <w:t>’</w:t>
      </w:r>
      <w:r w:rsidRPr="001612D5">
        <w:t>intéressée et selon laquelle la totalité du terrain exproprié (d</w:t>
      </w:r>
      <w:r w:rsidR="001612D5" w:rsidRPr="001612D5">
        <w:t>’</w:t>
      </w:r>
      <w:r w:rsidRPr="001612D5">
        <w:t>une superficie de 24 ares) valait 1 262 557 USD (ce montant comprenant aussi la valeur des arbres et arbustes estimée à 31 760 USD dans le rapport d</w:t>
      </w:r>
      <w:r w:rsidR="001612D5" w:rsidRPr="001612D5">
        <w:t>’</w:t>
      </w:r>
      <w:r w:rsidRPr="001612D5">
        <w:t>expertise de février 2005) ;</w:t>
      </w:r>
    </w:p>
    <w:p w:rsidR="009E4EFC" w:rsidRPr="001612D5" w:rsidRDefault="009E4EFC" w:rsidP="001612D5">
      <w:pPr>
        <w:pStyle w:val="JuPara"/>
      </w:pPr>
      <w:r w:rsidRPr="001612D5">
        <w:t>ii)  38 920 USD pour sa part de la maison expropriée, cette somme ayant été calculée sur la base d</w:t>
      </w:r>
      <w:r w:rsidR="001612D5" w:rsidRPr="001612D5">
        <w:t>’</w:t>
      </w:r>
      <w:r w:rsidRPr="001612D5">
        <w:t>annonces publiées dans des journaux entre avril et décembre 2004 et concernant la vente d</w:t>
      </w:r>
      <w:r w:rsidR="001612D5" w:rsidRPr="001612D5">
        <w:t>’</w:t>
      </w:r>
      <w:r w:rsidRPr="001612D5">
        <w:t>appartements neufs à Lyoubertsy à des prix fixés entre 596 et 975 USD le mètre carré. La requérante indique que, dans une annonce publiée en février 2007, le prix atteignait 2 995 USD le mètre carré, elle déduit de ces annonces que le prix moyen d</w:t>
      </w:r>
      <w:r w:rsidR="001612D5" w:rsidRPr="001612D5">
        <w:t>’</w:t>
      </w:r>
      <w:r w:rsidRPr="001612D5">
        <w:t>un appartement neuf à Lyoubertsy s</w:t>
      </w:r>
      <w:r w:rsidR="001612D5" w:rsidRPr="001612D5">
        <w:t>’</w:t>
      </w:r>
      <w:r w:rsidRPr="001612D5">
        <w:t>élevait en 2005 à près de 1 200 USD le mètre carré, et propose de se baser sur ce montant pour calculer la valeur de sa part de la maison. En multipliant 1 200 USD par 24 m</w:t>
      </w:r>
      <w:r w:rsidRPr="001612D5">
        <w:rPr>
          <w:vertAlign w:val="superscript"/>
        </w:rPr>
        <w:t>2</w:t>
      </w:r>
      <w:r w:rsidRPr="001612D5">
        <w:t xml:space="preserve"> (la surface qu</w:t>
      </w:r>
      <w:r w:rsidR="001612D5" w:rsidRPr="001612D5">
        <w:t>’</w:t>
      </w:r>
      <w:r w:rsidRPr="001612D5">
        <w:t>elle possédait dans la maison expropriée), elle estime donc que sa part valait 38 920 USD ;</w:t>
      </w:r>
    </w:p>
    <w:p w:rsidR="009E4EFC" w:rsidRPr="001612D5" w:rsidRDefault="009E4EFC" w:rsidP="001612D5">
      <w:pPr>
        <w:pStyle w:val="JuPara"/>
      </w:pPr>
      <w:r w:rsidRPr="001612D5">
        <w:t>iii)  6 832 USD pour les arbres et arbustes situés sur le terrain exproprié ;</w:t>
      </w:r>
    </w:p>
    <w:p w:rsidR="009E4EFC" w:rsidRPr="001612D5" w:rsidRDefault="009E4EFC" w:rsidP="001612D5">
      <w:pPr>
        <w:pStyle w:val="JuPara"/>
      </w:pPr>
      <w:r w:rsidRPr="001612D5">
        <w:t>iv)  98 400 USD correspondant à la valeur d</w:t>
      </w:r>
      <w:r w:rsidR="001612D5" w:rsidRPr="001612D5">
        <w:t>’</w:t>
      </w:r>
      <w:r w:rsidRPr="001612D5">
        <w:t>un logement neuf de 82 m</w:t>
      </w:r>
      <w:r w:rsidRPr="001612D5">
        <w:rPr>
          <w:vertAlign w:val="superscript"/>
        </w:rPr>
        <w:t>2</w:t>
      </w:r>
      <w:r w:rsidRPr="001612D5">
        <w:t xml:space="preserve"> que, selon sa propre interprétation du droit interne, la requérante de la requête n</w:t>
      </w:r>
      <w:r w:rsidRPr="001612D5">
        <w:rPr>
          <w:vertAlign w:val="superscript"/>
        </w:rPr>
        <w:t>o</w:t>
      </w:r>
      <w:r w:rsidRPr="001612D5">
        <w:t xml:space="preserve"> 45668/05 estimait avoir le droit de recevoir gratuitement à la place de l</w:t>
      </w:r>
      <w:r w:rsidR="001612D5" w:rsidRPr="001612D5">
        <w:t>’</w:t>
      </w:r>
      <w:r w:rsidRPr="001612D5">
        <w:t>ancien (82 m</w:t>
      </w:r>
      <w:r w:rsidRPr="001612D5">
        <w:rPr>
          <w:vertAlign w:val="superscript"/>
        </w:rPr>
        <w:t>2</w:t>
      </w:r>
      <w:r w:rsidRPr="001612D5">
        <w:t xml:space="preserve"> multipliés par 1 200 USD) ;</w:t>
      </w:r>
    </w:p>
    <w:p w:rsidR="009E4EFC" w:rsidRPr="001612D5" w:rsidRDefault="009E4EFC" w:rsidP="001612D5">
      <w:pPr>
        <w:pStyle w:val="JuPara"/>
      </w:pPr>
      <w:r w:rsidRPr="001612D5">
        <w:t>v)  7 300 USD pour ses affaires personnelles.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9</w:t>
      </w:r>
      <w:r w:rsidRPr="001612D5">
        <w:fldChar w:fldCharType="end"/>
      </w:r>
      <w:r w:rsidRPr="001612D5">
        <w:t>.  Enfin, la requérante réclame une somme de 286 606 EUR qui, selon elle, compense les effets de l</w:t>
      </w:r>
      <w:r w:rsidR="001612D5" w:rsidRPr="001612D5">
        <w:t>’</w:t>
      </w:r>
      <w:r w:rsidRPr="001612D5">
        <w:t>inflation entre 2005 et 2009.</w:t>
      </w:r>
    </w:p>
    <w:p w:rsidR="009E4EFC" w:rsidRPr="001612D5" w:rsidRDefault="009E4EFC" w:rsidP="001612D5">
      <w:pPr>
        <w:pStyle w:val="JuH1"/>
        <w:rPr>
          <w:rFonts w:eastAsiaTheme="majorEastAsia"/>
        </w:rPr>
      </w:pPr>
      <w:r w:rsidRPr="001612D5">
        <w:rPr>
          <w:rFonts w:eastAsiaTheme="majorEastAsia"/>
        </w:rPr>
        <w:lastRenderedPageBreak/>
        <w:t>Le requérant de la requête n</w:t>
      </w:r>
      <w:r w:rsidRPr="001612D5">
        <w:rPr>
          <w:rFonts w:eastAsiaTheme="majorEastAsia"/>
          <w:vertAlign w:val="superscript"/>
        </w:rPr>
        <w:t>o</w:t>
      </w:r>
      <w:r w:rsidRPr="001612D5">
        <w:rPr>
          <w:rFonts w:eastAsiaTheme="majorEastAsia"/>
        </w:rPr>
        <w:t xml:space="preserve"> 2292/06</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10</w:t>
      </w:r>
      <w:r w:rsidRPr="001612D5">
        <w:fldChar w:fldCharType="end"/>
      </w:r>
      <w:r w:rsidRPr="001612D5">
        <w:t>.  Le requérant de la requête n</w:t>
      </w:r>
      <w:r w:rsidRPr="001612D5">
        <w:rPr>
          <w:vertAlign w:val="superscript"/>
        </w:rPr>
        <w:t>o</w:t>
      </w:r>
      <w:r w:rsidRPr="001612D5">
        <w:t xml:space="preserve"> 2292/06 indique que, au début des négociations avec la société investisseuse, en 2004, il avait estimé la valeur de sa part de la maison et du terrain adjacent à un montant compris entre 330 000 USD et 700 000 USD. Il expose à cet égard qu</w:t>
      </w:r>
      <w:r w:rsidR="001612D5" w:rsidRPr="001612D5">
        <w:t>’</w:t>
      </w:r>
      <w:r w:rsidRPr="001612D5">
        <w:t>il était en position de fixer n</w:t>
      </w:r>
      <w:r w:rsidR="001612D5" w:rsidRPr="001612D5">
        <w:t>’</w:t>
      </w:r>
      <w:r w:rsidRPr="001612D5">
        <w:t>importe quel prix pour la vente puisque, selon lui, la société investisseuse avait commencé la construction des immeubles sur le terrain en violation flagrante de la loi et avait donc un besoin impérieux de racheter celui-ci.</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11</w:t>
      </w:r>
      <w:r w:rsidRPr="001612D5">
        <w:fldChar w:fldCharType="end"/>
      </w:r>
      <w:r w:rsidRPr="001612D5">
        <w:t>.  Le requérant indique que le montant de 3 300 000 USD qu</w:t>
      </w:r>
      <w:r w:rsidR="001612D5" w:rsidRPr="001612D5">
        <w:t>’</w:t>
      </w:r>
      <w:r w:rsidRPr="001612D5">
        <w:t>il réclame (soit l</w:t>
      </w:r>
      <w:r w:rsidR="001612D5" w:rsidRPr="001612D5">
        <w:t>’</w:t>
      </w:r>
      <w:r w:rsidRPr="001612D5">
        <w:t>équivalent, selon lui, de 2 569 896 EUR), représente une partie du bénéfice réalisé par la société investisseuse. Ce bénéfice aurait été généré par la vente d</w:t>
      </w:r>
      <w:r w:rsidR="001612D5" w:rsidRPr="001612D5">
        <w:t>’</w:t>
      </w:r>
      <w:r w:rsidRPr="001612D5">
        <w:t>appartements dans l</w:t>
      </w:r>
      <w:r w:rsidR="001612D5" w:rsidRPr="001612D5">
        <w:t>’</w:t>
      </w:r>
      <w:r w:rsidRPr="001612D5">
        <w:t>immeuble construit à la place de la maison expropriée.</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12</w:t>
      </w:r>
      <w:r w:rsidRPr="001612D5">
        <w:fldChar w:fldCharType="end"/>
      </w:r>
      <w:r w:rsidRPr="001612D5">
        <w:t>.  Le requérant ajoute que, après lui avoir versé la somme réclamée, l</w:t>
      </w:r>
      <w:r w:rsidR="001612D5" w:rsidRPr="001612D5">
        <w:t>’</w:t>
      </w:r>
      <w:r w:rsidRPr="001612D5">
        <w:t>État pourra former une action récursoire contre la société investisseuse aux fins de remboursement.</w:t>
      </w:r>
    </w:p>
    <w:p w:rsidR="009E4EFC" w:rsidRPr="001612D5" w:rsidRDefault="009E4EFC" w:rsidP="001612D5">
      <w:pPr>
        <w:pStyle w:val="JuH1"/>
        <w:rPr>
          <w:rFonts w:eastAsiaTheme="majorEastAsia"/>
        </w:rPr>
      </w:pPr>
      <w:r w:rsidRPr="001612D5">
        <w:rPr>
          <w:rFonts w:eastAsiaTheme="majorEastAsia"/>
        </w:rPr>
        <w:t>Le Gouvernement</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13</w:t>
      </w:r>
      <w:r w:rsidRPr="001612D5">
        <w:fldChar w:fldCharType="end"/>
      </w:r>
      <w:r w:rsidRPr="001612D5">
        <w:t>.  Le Gouvernement réitère ses observations sur le fond de l</w:t>
      </w:r>
      <w:r w:rsidR="001612D5" w:rsidRPr="001612D5">
        <w:t>’</w:t>
      </w:r>
      <w:r w:rsidRPr="001612D5">
        <w:t>affaire selon lesquelles la maison des requérants était inhabitable et devait être démolie. Il se réfère à cet égard à un certificat technique portant sur la maison établi le 15 octobre 2004 dans lequel il était indiqué que 45 à 60 % de la maison et de ses dépendances étaient détériorés. Il soutient aussi que, lors des négociations avec les habitants des maisons concernées par la procédure d</w:t>
      </w:r>
      <w:r w:rsidR="001612D5" w:rsidRPr="001612D5">
        <w:t>’</w:t>
      </w:r>
      <w:r w:rsidRPr="001612D5">
        <w:t>expropriation, les autorités municipales et la société investisseuse ont, à plusieurs reprises, tenté de visiter la maison des requérants, mais que celle-ci était toujours fermée et ne présentait pas de signes d</w:t>
      </w:r>
      <w:r w:rsidR="001612D5" w:rsidRPr="001612D5">
        <w:t>’</w:t>
      </w:r>
      <w:r w:rsidRPr="001612D5">
        <w:t>habitation. Quant au terrain adjacent, il aurait eu l</w:t>
      </w:r>
      <w:r w:rsidR="001612D5" w:rsidRPr="001612D5">
        <w:t>’</w:t>
      </w:r>
      <w:r w:rsidRPr="001612D5">
        <w:t>air abandonné.</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14</w:t>
      </w:r>
      <w:r w:rsidRPr="001612D5">
        <w:fldChar w:fldCharType="end"/>
      </w:r>
      <w:r w:rsidRPr="001612D5">
        <w:t>.  Le Gouvernement soutient par ailleurs que les valeurs respectives des parts de la maison et des parcelles de terrain ont été déterminées dans le rapport d</w:t>
      </w:r>
      <w:r w:rsidR="001612D5" w:rsidRPr="001612D5">
        <w:t>’</w:t>
      </w:r>
      <w:r w:rsidRPr="001612D5">
        <w:t>expertise de février 2005 (</w:t>
      </w:r>
      <w:r w:rsidRPr="001612D5">
        <w:rPr>
          <w:i/>
        </w:rPr>
        <w:t>Volchkova et Mironov</w:t>
      </w:r>
      <w:r w:rsidRPr="001612D5">
        <w:t>, précité, §§ 31</w:t>
      </w:r>
      <w:r w:rsidRPr="001612D5">
        <w:noBreakHyphen/>
        <w:t>32) sans que les requérants n</w:t>
      </w:r>
      <w:r w:rsidR="001612D5" w:rsidRPr="001612D5">
        <w:t>’</w:t>
      </w:r>
      <w:r w:rsidRPr="001612D5">
        <w:t>aient sollicité de contre-expertise et sans qu</w:t>
      </w:r>
      <w:r w:rsidR="001612D5" w:rsidRPr="001612D5">
        <w:t>’</w:t>
      </w:r>
      <w:r w:rsidRPr="001612D5">
        <w:t>ils n</w:t>
      </w:r>
      <w:r w:rsidR="001612D5" w:rsidRPr="001612D5">
        <w:t>’</w:t>
      </w:r>
      <w:r w:rsidRPr="001612D5">
        <w:t>aient soumis d</w:t>
      </w:r>
      <w:r w:rsidR="001612D5" w:rsidRPr="001612D5">
        <w:t>’</w:t>
      </w:r>
      <w:r w:rsidRPr="001612D5">
        <w:t>éléments de preuve afin de contester ledit rapport.</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15</w:t>
      </w:r>
      <w:r w:rsidRPr="001612D5">
        <w:fldChar w:fldCharType="end"/>
      </w:r>
      <w:r w:rsidRPr="001612D5">
        <w:t>.  Enfin, le Gouvernement indique que les intéressés ont décliné des offres plus avantageuses qui leur auraient été présentées par la société investisseuse et qu</w:t>
      </w:r>
      <w:r w:rsidR="001612D5" w:rsidRPr="001612D5">
        <w:t>’</w:t>
      </w:r>
      <w:r w:rsidRPr="001612D5">
        <w:t>ils n</w:t>
      </w:r>
      <w:r w:rsidR="001612D5" w:rsidRPr="001612D5">
        <w:t>’</w:t>
      </w:r>
      <w:r w:rsidRPr="001612D5">
        <w:t>ont pas souhaité participer aux négociations. Selon le Gouvernement, les requérants ont finalement obtenu non seulement des sommes d</w:t>
      </w:r>
      <w:r w:rsidR="001612D5" w:rsidRPr="001612D5">
        <w:t>’</w:t>
      </w:r>
      <w:r w:rsidRPr="001612D5">
        <w:t>argent correspondant à la valeur de leurs biens expropriés mais également de nouveaux logements. Il en conclut qu</w:t>
      </w:r>
      <w:r w:rsidR="001612D5" w:rsidRPr="001612D5">
        <w:t>’</w:t>
      </w:r>
      <w:r w:rsidRPr="001612D5">
        <w:t>une indemnité adéquate a déjà été versée aux intéressés au niveau interne, que ceux-ci ne peuvent pas prétendre à s</w:t>
      </w:r>
      <w:r w:rsidR="001612D5" w:rsidRPr="001612D5">
        <w:t>’</w:t>
      </w:r>
      <w:r w:rsidRPr="001612D5">
        <w:t>enrichir au moyen d</w:t>
      </w:r>
      <w:r w:rsidR="001612D5" w:rsidRPr="001612D5">
        <w:t>’</w:t>
      </w:r>
      <w:r w:rsidRPr="001612D5">
        <w:t>un arrêt de la Cour et qu</w:t>
      </w:r>
      <w:r w:rsidR="001612D5" w:rsidRPr="001612D5">
        <w:t>’</w:t>
      </w:r>
      <w:r w:rsidRPr="001612D5">
        <w:t>il n</w:t>
      </w:r>
      <w:r w:rsidR="001612D5" w:rsidRPr="001612D5">
        <w:t>’</w:t>
      </w:r>
      <w:r w:rsidRPr="001612D5">
        <w:t>y a donc pas lieu de leur allouer de sommes complémentaires.</w:t>
      </w:r>
    </w:p>
    <w:p w:rsidR="009E4EFC" w:rsidRPr="001612D5" w:rsidRDefault="009E4EFC" w:rsidP="001612D5">
      <w:pPr>
        <w:pStyle w:val="JuHA"/>
        <w:rPr>
          <w:rFonts w:eastAsiaTheme="majorEastAsia"/>
        </w:rPr>
      </w:pPr>
      <w:r w:rsidRPr="001612D5">
        <w:rPr>
          <w:rFonts w:eastAsiaTheme="majorEastAsia"/>
        </w:rPr>
        <w:lastRenderedPageBreak/>
        <w:t>Le droit interne pertinent</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16</w:t>
      </w:r>
      <w:r w:rsidRPr="001612D5">
        <w:fldChar w:fldCharType="end"/>
      </w:r>
      <w:r w:rsidRPr="001612D5">
        <w:t>.  Selon la loi fédérale du 4 juillet 1991 n</w:t>
      </w:r>
      <w:r w:rsidRPr="001612D5">
        <w:rPr>
          <w:vertAlign w:val="superscript"/>
        </w:rPr>
        <w:t>o</w:t>
      </w:r>
      <w:r w:rsidRPr="001612D5">
        <w:t xml:space="preserve"> 1541-1 relative à la privatisation des logements, chaque citoyen a le droit d</w:t>
      </w:r>
      <w:r w:rsidR="001612D5" w:rsidRPr="001612D5">
        <w:t>’</w:t>
      </w:r>
      <w:r w:rsidRPr="001612D5">
        <w:t>obtenir gratuitement la propriété du logement qu</w:t>
      </w:r>
      <w:r w:rsidR="001612D5" w:rsidRPr="001612D5">
        <w:t>’</w:t>
      </w:r>
      <w:r w:rsidRPr="001612D5">
        <w:t>il occupe en vertu d</w:t>
      </w:r>
      <w:r w:rsidR="001612D5" w:rsidRPr="001612D5">
        <w:t>’</w:t>
      </w:r>
      <w:r w:rsidRPr="001612D5">
        <w:t>un bail social.</w:t>
      </w:r>
    </w:p>
    <w:p w:rsidR="009E4EFC" w:rsidRPr="001612D5" w:rsidRDefault="009E4EFC" w:rsidP="001612D5">
      <w:pPr>
        <w:pStyle w:val="JuHA"/>
        <w:rPr>
          <w:rFonts w:eastAsiaTheme="majorEastAsia"/>
        </w:rPr>
      </w:pPr>
      <w:r w:rsidRPr="001612D5">
        <w:rPr>
          <w:rFonts w:eastAsiaTheme="majorEastAsia"/>
        </w:rPr>
        <w:t>Appréciation de la Cour</w:t>
      </w:r>
    </w:p>
    <w:p w:rsidR="009E4EFC" w:rsidRPr="001612D5" w:rsidRDefault="009E4EFC" w:rsidP="001612D5">
      <w:pPr>
        <w:pStyle w:val="JuH1"/>
        <w:rPr>
          <w:rFonts w:eastAsiaTheme="majorEastAsia"/>
        </w:rPr>
      </w:pPr>
      <w:r w:rsidRPr="001612D5">
        <w:rPr>
          <w:rFonts w:eastAsiaTheme="majorEastAsia"/>
        </w:rPr>
        <w:t>Les principes généraux</w:t>
      </w:r>
    </w:p>
    <w:p w:rsidR="009E4EFC" w:rsidRPr="001612D5" w:rsidRDefault="009E4EFC" w:rsidP="001612D5">
      <w:pPr>
        <w:pStyle w:val="JuPara"/>
        <w:rPr>
          <w:i/>
        </w:rPr>
      </w:pPr>
      <w:r w:rsidRPr="001612D5">
        <w:fldChar w:fldCharType="begin"/>
      </w:r>
      <w:r w:rsidRPr="001612D5">
        <w:instrText xml:space="preserve"> SEQ level0 \*arabic </w:instrText>
      </w:r>
      <w:r w:rsidRPr="001612D5">
        <w:fldChar w:fldCharType="separate"/>
      </w:r>
      <w:r w:rsidR="001612D5">
        <w:rPr>
          <w:noProof/>
        </w:rPr>
        <w:t>17</w:t>
      </w:r>
      <w:r w:rsidRPr="001612D5">
        <w:fldChar w:fldCharType="end"/>
      </w:r>
      <w:r w:rsidRPr="001612D5">
        <w:t>.  La Cour rappelle qu</w:t>
      </w:r>
      <w:r w:rsidR="001612D5" w:rsidRPr="001612D5">
        <w:t>’</w:t>
      </w:r>
      <w:r w:rsidRPr="001612D5">
        <w:t>un arrêt constatant une violation entraîne pour l</w:t>
      </w:r>
      <w:r w:rsidR="001612D5" w:rsidRPr="001612D5">
        <w:t>’</w:t>
      </w:r>
      <w:r w:rsidRPr="001612D5">
        <w:t>État défendeur l</w:t>
      </w:r>
      <w:r w:rsidR="001612D5" w:rsidRPr="001612D5">
        <w:t>’</w:t>
      </w:r>
      <w:r w:rsidRPr="001612D5">
        <w:t>obligation juridique au regard de la Convention de mettre un terme à la violation et d</w:t>
      </w:r>
      <w:r w:rsidR="001612D5" w:rsidRPr="001612D5">
        <w:t>’</w:t>
      </w:r>
      <w:r w:rsidRPr="001612D5">
        <w:t xml:space="preserve">en effacer les conséquences de manière à rétablir autant que faire se peut la situation antérieure à celle-ci. Si la nature de la violation permet une </w:t>
      </w:r>
      <w:r w:rsidRPr="001612D5">
        <w:rPr>
          <w:i/>
        </w:rPr>
        <w:t>restitutio in integrum</w:t>
      </w:r>
      <w:r w:rsidRPr="001612D5">
        <w:t>, il incombe à l</w:t>
      </w:r>
      <w:r w:rsidR="001612D5" w:rsidRPr="001612D5">
        <w:t>’</w:t>
      </w:r>
      <w:r w:rsidRPr="001612D5">
        <w:t>État défendeur de la réaliser, la Cour n</w:t>
      </w:r>
      <w:r w:rsidR="001612D5" w:rsidRPr="001612D5">
        <w:t>’</w:t>
      </w:r>
      <w:r w:rsidRPr="001612D5">
        <w:t>ayant ni la compétence ni la possibilité pratique de l</w:t>
      </w:r>
      <w:r w:rsidR="001612D5" w:rsidRPr="001612D5">
        <w:t>’</w:t>
      </w:r>
      <w:r w:rsidRPr="001612D5">
        <w:t>accomplir elle-même. Si, en revanche, le droit national ne permet pas ou ne permet qu</w:t>
      </w:r>
      <w:r w:rsidR="001612D5" w:rsidRPr="001612D5">
        <w:t>’</w:t>
      </w:r>
      <w:r w:rsidRPr="001612D5">
        <w:t>imparfaitement d</w:t>
      </w:r>
      <w:r w:rsidR="001612D5" w:rsidRPr="001612D5">
        <w:t>’</w:t>
      </w:r>
      <w:r w:rsidRPr="001612D5">
        <w:t>effacer les conséquences de la violation, l</w:t>
      </w:r>
      <w:r w:rsidR="001612D5" w:rsidRPr="001612D5">
        <w:t>’</w:t>
      </w:r>
      <w:r w:rsidRPr="001612D5">
        <w:t>article 41 de la Convention habilite la Cour à accorder, s</w:t>
      </w:r>
      <w:r w:rsidR="001612D5" w:rsidRPr="001612D5">
        <w:t>’</w:t>
      </w:r>
      <w:r w:rsidRPr="001612D5">
        <w:t>il y a lieu, à la partie lésée la satisfaction qui lui semble appropriée (</w:t>
      </w:r>
      <w:r w:rsidRPr="001612D5">
        <w:rPr>
          <w:i/>
          <w:iCs/>
        </w:rPr>
        <w:t>Tkachenko c. Russie</w:t>
      </w:r>
      <w:r w:rsidRPr="001612D5">
        <w:rPr>
          <w:lang w:eastAsia="en-GB"/>
        </w:rPr>
        <w:t xml:space="preserve">, </w:t>
      </w:r>
      <w:r w:rsidRPr="001612D5">
        <w:t>n</w:t>
      </w:r>
      <w:r w:rsidRPr="001612D5">
        <w:rPr>
          <w:vertAlign w:val="superscript"/>
        </w:rPr>
        <w:t>o</w:t>
      </w:r>
      <w:r w:rsidRPr="001612D5">
        <w:t xml:space="preserve"> 28046/05</w:t>
      </w:r>
      <w:r w:rsidRPr="001612D5">
        <w:rPr>
          <w:lang w:eastAsia="en-GB"/>
        </w:rPr>
        <w:t xml:space="preserve">, </w:t>
      </w:r>
      <w:r w:rsidRPr="001612D5">
        <w:t>§ 69, 20 mars 2018, avec les références qui y sont citées).</w:t>
      </w:r>
    </w:p>
    <w:p w:rsidR="009E4EFC" w:rsidRPr="001612D5" w:rsidRDefault="009E4EFC" w:rsidP="001612D5">
      <w:pPr>
        <w:pStyle w:val="JuPara"/>
        <w:rPr>
          <w:i/>
        </w:rPr>
      </w:pPr>
      <w:r w:rsidRPr="001612D5">
        <w:fldChar w:fldCharType="begin"/>
      </w:r>
      <w:r w:rsidRPr="001612D5">
        <w:instrText xml:space="preserve"> SEQ level0 \*arabic </w:instrText>
      </w:r>
      <w:r w:rsidRPr="001612D5">
        <w:fldChar w:fldCharType="separate"/>
      </w:r>
      <w:r w:rsidR="001612D5">
        <w:rPr>
          <w:noProof/>
        </w:rPr>
        <w:t>18</w:t>
      </w:r>
      <w:r w:rsidRPr="001612D5">
        <w:fldChar w:fldCharType="end"/>
      </w:r>
      <w:r w:rsidRPr="001612D5">
        <w:t>.  La base pour le calcul du dommage subi dépend de la nature de la violation constatée. La Cour a déjà jugé à cet égard qu</w:t>
      </w:r>
      <w:r w:rsidR="001612D5" w:rsidRPr="001612D5">
        <w:t>’</w:t>
      </w:r>
      <w:r w:rsidRPr="001612D5">
        <w:t>elle ne pouvait pas mettre sur le même plan une expropriation régulière et une expropriation contraire au principe de légalité (</w:t>
      </w:r>
      <w:r w:rsidRPr="001612D5">
        <w:rPr>
          <w:i/>
        </w:rPr>
        <w:t>Arsovski c. l</w:t>
      </w:r>
      <w:r w:rsidR="001612D5" w:rsidRPr="001612D5">
        <w:rPr>
          <w:i/>
        </w:rPr>
        <w:t>’</w:t>
      </w:r>
      <w:r w:rsidRPr="001612D5">
        <w:rPr>
          <w:i/>
        </w:rPr>
        <w:t xml:space="preserve">ex-République yougoslave de Macédoine </w:t>
      </w:r>
      <w:r w:rsidRPr="001612D5">
        <w:t>(satisfaction équitable), n</w:t>
      </w:r>
      <w:r w:rsidRPr="001612D5">
        <w:rPr>
          <w:vertAlign w:val="superscript"/>
        </w:rPr>
        <w:t>o </w:t>
      </w:r>
      <w:r w:rsidRPr="001612D5">
        <w:t>30206/06, § 19, 7 février 2019, avec les références qui y sont citées). Dans le cas où il s</w:t>
      </w:r>
      <w:r w:rsidR="001612D5" w:rsidRPr="001612D5">
        <w:t>’</w:t>
      </w:r>
      <w:r w:rsidRPr="001612D5">
        <w:t>agit d</w:t>
      </w:r>
      <w:r w:rsidR="001612D5" w:rsidRPr="001612D5">
        <w:t>’</w:t>
      </w:r>
      <w:r w:rsidRPr="001612D5">
        <w:t>une expropriation régulière en soi, le rétablissement de « la situation la plus proche possible de celle qui existerait si la violation constatée n</w:t>
      </w:r>
      <w:r w:rsidR="001612D5" w:rsidRPr="001612D5">
        <w:t>’</w:t>
      </w:r>
      <w:r w:rsidRPr="001612D5">
        <w:t>avait pas eu lieu » se limite au paiement d</w:t>
      </w:r>
      <w:r w:rsidR="001612D5" w:rsidRPr="001612D5">
        <w:t>’</w:t>
      </w:r>
      <w:r w:rsidRPr="001612D5">
        <w:t>une indemnisation adéquate qui aurait dû être versée à l</w:t>
      </w:r>
      <w:r w:rsidR="001612D5" w:rsidRPr="001612D5">
        <w:t>’</w:t>
      </w:r>
      <w:r w:rsidRPr="001612D5">
        <w:t>époque de l</w:t>
      </w:r>
      <w:r w:rsidR="001612D5" w:rsidRPr="001612D5">
        <w:t>’</w:t>
      </w:r>
      <w:r w:rsidRPr="001612D5">
        <w:t>expropriation (</w:t>
      </w:r>
      <w:r w:rsidRPr="001612D5">
        <w:rPr>
          <w:i/>
        </w:rPr>
        <w:t xml:space="preserve">Vistiņš et Perepjolkins c. Lettonie </w:t>
      </w:r>
      <w:r w:rsidR="005A4176" w:rsidRPr="001612D5">
        <w:t>(satisfaction équitable) </w:t>
      </w:r>
      <w:r w:rsidRPr="001612D5">
        <w:t>[GC]</w:t>
      </w:r>
      <w:r w:rsidRPr="001612D5">
        <w:rPr>
          <w:snapToGrid w:val="0"/>
        </w:rPr>
        <w:t>, n</w:t>
      </w:r>
      <w:r w:rsidRPr="001612D5">
        <w:rPr>
          <w:snapToGrid w:val="0"/>
          <w:vertAlign w:val="superscript"/>
        </w:rPr>
        <w:t>o</w:t>
      </w:r>
      <w:r w:rsidRPr="001612D5">
        <w:rPr>
          <w:snapToGrid w:val="0"/>
        </w:rPr>
        <w:t xml:space="preserve"> </w:t>
      </w:r>
      <w:r w:rsidRPr="001612D5">
        <w:t>71243/01</w:t>
      </w:r>
      <w:r w:rsidRPr="001612D5">
        <w:rPr>
          <w:snapToGrid w:val="0"/>
        </w:rPr>
        <w:t>, § 34, CEDH 2014</w:t>
      </w:r>
      <w:r w:rsidRPr="001612D5">
        <w:t>).</w:t>
      </w:r>
    </w:p>
    <w:p w:rsidR="009E4EFC" w:rsidRPr="001612D5" w:rsidRDefault="009E4EFC" w:rsidP="001612D5">
      <w:pPr>
        <w:pStyle w:val="JuH1"/>
        <w:rPr>
          <w:rFonts w:eastAsiaTheme="majorEastAsia"/>
        </w:rPr>
      </w:pPr>
      <w:r w:rsidRPr="001612D5">
        <w:rPr>
          <w:rFonts w:eastAsiaTheme="majorEastAsia"/>
        </w:rPr>
        <w:t>La violation constatée dans l</w:t>
      </w:r>
      <w:r w:rsidR="001612D5" w:rsidRPr="001612D5">
        <w:rPr>
          <w:rFonts w:eastAsiaTheme="majorEastAsia"/>
        </w:rPr>
        <w:t>’</w:t>
      </w:r>
      <w:r w:rsidRPr="001612D5">
        <w:rPr>
          <w:rFonts w:eastAsiaTheme="majorEastAsia"/>
        </w:rPr>
        <w:t>arrêt au principal</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19</w:t>
      </w:r>
      <w:r w:rsidRPr="001612D5">
        <w:fldChar w:fldCharType="end"/>
      </w:r>
      <w:r w:rsidRPr="001612D5">
        <w:t>.  La Cour rappelle tout d</w:t>
      </w:r>
      <w:r w:rsidR="001612D5" w:rsidRPr="001612D5">
        <w:t>’</w:t>
      </w:r>
      <w:r w:rsidRPr="001612D5">
        <w:t>abord que, dans l</w:t>
      </w:r>
      <w:r w:rsidR="001612D5" w:rsidRPr="001612D5">
        <w:t>’</w:t>
      </w:r>
      <w:r w:rsidRPr="001612D5">
        <w:t>arrêt au principal, elle n</w:t>
      </w:r>
      <w:r w:rsidR="001612D5" w:rsidRPr="001612D5">
        <w:t>’</w:t>
      </w:r>
      <w:r w:rsidRPr="001612D5">
        <w:t>a jamais déclaré que l</w:t>
      </w:r>
      <w:r w:rsidR="001612D5" w:rsidRPr="001612D5">
        <w:t>’</w:t>
      </w:r>
      <w:r w:rsidRPr="001612D5">
        <w:t>expropriation des biens des requérants était contraire au principe de légalité. En revanche, elle a estimé que les aspects de « but d</w:t>
      </w:r>
      <w:r w:rsidR="001612D5" w:rsidRPr="001612D5">
        <w:t>’</w:t>
      </w:r>
      <w:r w:rsidRPr="001612D5">
        <w:t>utilité publique » et de proportionnalité de l</w:t>
      </w:r>
      <w:r w:rsidR="001612D5" w:rsidRPr="001612D5">
        <w:t>’</w:t>
      </w:r>
      <w:r w:rsidRPr="001612D5">
        <w:t>ingérence étaient étroitement imbriqués et les a examinés ensemble (</w:t>
      </w:r>
      <w:r w:rsidRPr="001612D5">
        <w:rPr>
          <w:i/>
        </w:rPr>
        <w:t>Volchkova et Mironov</w:t>
      </w:r>
      <w:r w:rsidRPr="001612D5">
        <w:t>, précité, §§ 103-107 et 114).</w:t>
      </w:r>
    </w:p>
    <w:p w:rsidR="00575117"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20</w:t>
      </w:r>
      <w:r w:rsidRPr="001612D5">
        <w:fldChar w:fldCharType="end"/>
      </w:r>
      <w:r w:rsidRPr="001612D5">
        <w:t>.  Quant à l</w:t>
      </w:r>
      <w:r w:rsidR="001612D5" w:rsidRPr="001612D5">
        <w:t>’</w:t>
      </w:r>
      <w:r w:rsidRPr="001612D5">
        <w:t>utilité publique de la mesure d</w:t>
      </w:r>
      <w:r w:rsidR="001612D5" w:rsidRPr="001612D5">
        <w:t>’</w:t>
      </w:r>
      <w:r w:rsidRPr="001612D5">
        <w:t>expropriation, elle a considéré qu</w:t>
      </w:r>
      <w:r w:rsidR="001612D5" w:rsidRPr="001612D5">
        <w:t>’</w:t>
      </w:r>
      <w:r w:rsidRPr="001612D5">
        <w:t>un doute subsistait sur la question de savoir si la privation des biens des requérants aux fins de construction de logements collectifs poursuivait un intérêt général impérieux (</w:t>
      </w:r>
      <w:r w:rsidRPr="001612D5">
        <w:rPr>
          <w:i/>
        </w:rPr>
        <w:t>ibidem</w:t>
      </w:r>
      <w:r w:rsidRPr="001612D5">
        <w:t>, § 123).</w:t>
      </w:r>
    </w:p>
    <w:p w:rsidR="009E4EFC" w:rsidRPr="001612D5" w:rsidRDefault="009E4EFC" w:rsidP="001612D5">
      <w:pPr>
        <w:pStyle w:val="JuPara"/>
      </w:pPr>
      <w:r w:rsidRPr="001612D5">
        <w:lastRenderedPageBreak/>
        <w:fldChar w:fldCharType="begin"/>
      </w:r>
      <w:r w:rsidRPr="001612D5">
        <w:instrText xml:space="preserve"> SEQ level0 \*arabic </w:instrText>
      </w:r>
      <w:r w:rsidRPr="001612D5">
        <w:fldChar w:fldCharType="separate"/>
      </w:r>
      <w:r w:rsidR="001612D5">
        <w:rPr>
          <w:noProof/>
        </w:rPr>
        <w:t>21</w:t>
      </w:r>
      <w:r w:rsidRPr="001612D5">
        <w:fldChar w:fldCharType="end"/>
      </w:r>
      <w:r w:rsidRPr="001612D5">
        <w:t>.  Quant à la proportionnalité de l</w:t>
      </w:r>
      <w:r w:rsidR="001612D5" w:rsidRPr="001612D5">
        <w:t>’</w:t>
      </w:r>
      <w:r w:rsidRPr="001612D5">
        <w:t>ingérence et, plus particulièrement, à l</w:t>
      </w:r>
      <w:r w:rsidR="001612D5" w:rsidRPr="001612D5">
        <w:t>’</w:t>
      </w:r>
      <w:r w:rsidRPr="001612D5">
        <w:t>indemnisation, elle a observé que, dans leur appel du jugement d</w:t>
      </w:r>
      <w:r w:rsidR="001612D5" w:rsidRPr="001612D5">
        <w:t>’</w:t>
      </w:r>
      <w:r w:rsidRPr="001612D5">
        <w:t>expropriation, les requérants avaient procédé à certains calculs et contesté les montants qui leur avaient été alloués par l</w:t>
      </w:r>
      <w:r w:rsidR="001612D5" w:rsidRPr="001612D5">
        <w:t>’</w:t>
      </w:r>
      <w:r w:rsidRPr="001612D5">
        <w:t>effet dudit jugement. Elle a estimé que ces calculs n</w:t>
      </w:r>
      <w:r w:rsidR="001612D5" w:rsidRPr="001612D5">
        <w:t>’</w:t>
      </w:r>
      <w:r w:rsidRPr="001612D5">
        <w:t>apparaissaient pas être dépourvus de substance ou de fondement (« </w:t>
      </w:r>
      <w:r w:rsidRPr="001612D5">
        <w:rPr>
          <w:i/>
        </w:rPr>
        <w:t>devoid of substance or substantiation</w:t>
      </w:r>
      <w:r w:rsidRPr="001612D5">
        <w:t> ») et que, partant, la cour d</w:t>
      </w:r>
      <w:r w:rsidR="001612D5" w:rsidRPr="001612D5">
        <w:t>’</w:t>
      </w:r>
      <w:r w:rsidRPr="001612D5">
        <w:t>appel avait l</w:t>
      </w:r>
      <w:r w:rsidR="001612D5" w:rsidRPr="001612D5">
        <w:t>’</w:t>
      </w:r>
      <w:r w:rsidRPr="001612D5">
        <w:t>obligation de porter une appréciation sur ces calculs et de motiver sa décision les rejetant. La Cour a considéré dans son jugement au principal que la juridiction d</w:t>
      </w:r>
      <w:r w:rsidR="001612D5" w:rsidRPr="001612D5">
        <w:t>’</w:t>
      </w:r>
      <w:r w:rsidRPr="001612D5">
        <w:t>appel a manqué à cette obligation (</w:t>
      </w:r>
      <w:r w:rsidRPr="001612D5">
        <w:rPr>
          <w:i/>
        </w:rPr>
        <w:t>ibidem</w:t>
      </w:r>
      <w:r w:rsidRPr="001612D5">
        <w:t>, §§ 126-127).</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22</w:t>
      </w:r>
      <w:r w:rsidRPr="001612D5">
        <w:fldChar w:fldCharType="end"/>
      </w:r>
      <w:r w:rsidRPr="001612D5">
        <w:t>.  Compte tenu de ces deux facteurs tenant, d</w:t>
      </w:r>
      <w:r w:rsidR="001612D5" w:rsidRPr="001612D5">
        <w:t>’</w:t>
      </w:r>
      <w:r w:rsidRPr="001612D5">
        <w:t>une part, aux doutes subsistants quant à un intérêt général impérieux de la mesure et, d</w:t>
      </w:r>
      <w:r w:rsidR="001612D5" w:rsidRPr="001612D5">
        <w:t>’</w:t>
      </w:r>
      <w:r w:rsidRPr="001612D5">
        <w:t>autre part, au défaut de traitement par la justice des arguments présentés par les requérants pour autant qu</w:t>
      </w:r>
      <w:r w:rsidR="001612D5" w:rsidRPr="001612D5">
        <w:t>’</w:t>
      </w:r>
      <w:r w:rsidRPr="001612D5">
        <w:t>ils concernaient l</w:t>
      </w:r>
      <w:r w:rsidR="001612D5" w:rsidRPr="001612D5">
        <w:t>’</w:t>
      </w:r>
      <w:r w:rsidRPr="001612D5">
        <w:t>évaluation des biens à exproprier, la Cour a conclu à la violation de l</w:t>
      </w:r>
      <w:r w:rsidR="001612D5" w:rsidRPr="001612D5">
        <w:t>’</w:t>
      </w:r>
      <w:r w:rsidRPr="001612D5">
        <w:t>article 1 du Protocole n</w:t>
      </w:r>
      <w:r w:rsidRPr="001612D5">
        <w:rPr>
          <w:vertAlign w:val="superscript"/>
        </w:rPr>
        <w:t>o</w:t>
      </w:r>
      <w:r w:rsidRPr="001612D5">
        <w:t xml:space="preserve"> 1 à la Convention (</w:t>
      </w:r>
      <w:r w:rsidRPr="001612D5">
        <w:rPr>
          <w:i/>
        </w:rPr>
        <w:t>ibidem</w:t>
      </w:r>
      <w:r w:rsidRPr="001612D5">
        <w:t>, § 128).</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23</w:t>
      </w:r>
      <w:r w:rsidRPr="001612D5">
        <w:fldChar w:fldCharType="end"/>
      </w:r>
      <w:r w:rsidRPr="001612D5">
        <w:t>.  Dans ces conditions, elle estime que le rétablissement de « la situation la plus proche possible de celle qui existerait si la violation constatée n</w:t>
      </w:r>
      <w:r w:rsidR="001612D5" w:rsidRPr="001612D5">
        <w:t>’</w:t>
      </w:r>
      <w:r w:rsidRPr="001612D5">
        <w:t>avait pas eu lieu » se limite au paiement d</w:t>
      </w:r>
      <w:r w:rsidR="001612D5" w:rsidRPr="001612D5">
        <w:t>’</w:t>
      </w:r>
      <w:r w:rsidRPr="001612D5">
        <w:t>une indemnisation adéquate qui aurait dû être versée à l</w:t>
      </w:r>
      <w:r w:rsidR="001612D5" w:rsidRPr="001612D5">
        <w:t>’</w:t>
      </w:r>
      <w:r w:rsidRPr="001612D5">
        <w:t>époque de l</w:t>
      </w:r>
      <w:r w:rsidR="001612D5" w:rsidRPr="001612D5">
        <w:t>’</w:t>
      </w:r>
      <w:r w:rsidRPr="001612D5">
        <w:t>expropriation.</w:t>
      </w:r>
    </w:p>
    <w:p w:rsidR="009E4EFC" w:rsidRPr="001612D5" w:rsidRDefault="009E4EFC" w:rsidP="001612D5">
      <w:pPr>
        <w:pStyle w:val="JuH1"/>
        <w:rPr>
          <w:rFonts w:eastAsiaTheme="majorEastAsia"/>
        </w:rPr>
      </w:pPr>
      <w:r w:rsidRPr="001612D5">
        <w:rPr>
          <w:rFonts w:eastAsiaTheme="majorEastAsia"/>
        </w:rPr>
        <w:t>Calcul des montants à allouer à titre de dommage matériel dans la présente affaire</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24</w:t>
      </w:r>
      <w:r w:rsidRPr="001612D5">
        <w:fldChar w:fldCharType="end"/>
      </w:r>
      <w:r w:rsidRPr="001612D5">
        <w:t>.  La Cour estime que, compte tenu de la nature de la violation, l</w:t>
      </w:r>
      <w:r w:rsidR="001612D5" w:rsidRPr="001612D5">
        <w:t>’</w:t>
      </w:r>
      <w:r w:rsidRPr="001612D5">
        <w:t>indemnisation à fixer en l</w:t>
      </w:r>
      <w:r w:rsidR="001612D5" w:rsidRPr="001612D5">
        <w:t>’</w:t>
      </w:r>
      <w:r w:rsidRPr="001612D5">
        <w:t>espèce ne doit refléter ni l</w:t>
      </w:r>
      <w:r w:rsidR="001612D5" w:rsidRPr="001612D5">
        <w:t>’</w:t>
      </w:r>
      <w:r w:rsidRPr="001612D5">
        <w:t>idée d</w:t>
      </w:r>
      <w:r w:rsidR="001612D5" w:rsidRPr="001612D5">
        <w:t>’</w:t>
      </w:r>
      <w:r w:rsidRPr="001612D5">
        <w:t>un effacement total des conséquences de l</w:t>
      </w:r>
      <w:r w:rsidR="001612D5" w:rsidRPr="001612D5">
        <w:t>’</w:t>
      </w:r>
      <w:r w:rsidRPr="001612D5">
        <w:t>ingérence litigieuse ni la valeur pleine et entière des biens expropriés (</w:t>
      </w:r>
      <w:r w:rsidRPr="001612D5">
        <w:rPr>
          <w:i/>
        </w:rPr>
        <w:t>Vistiņš et Perepjolkins</w:t>
      </w:r>
      <w:r w:rsidRPr="001612D5">
        <w:t>, précité, § 36). Pour déterminer la réparation adéquate, la Cour doit s</w:t>
      </w:r>
      <w:r w:rsidR="001612D5" w:rsidRPr="001612D5">
        <w:t>’</w:t>
      </w:r>
      <w:r w:rsidRPr="001612D5">
        <w:t>inspirer des critères généraux énoncés dans sa jurisprudence relativement à l</w:t>
      </w:r>
      <w:r w:rsidR="001612D5" w:rsidRPr="001612D5">
        <w:t>’</w:t>
      </w:r>
      <w:r w:rsidRPr="001612D5">
        <w:t>article 1 du Protocole n</w:t>
      </w:r>
      <w:r w:rsidRPr="001612D5">
        <w:rPr>
          <w:vertAlign w:val="superscript"/>
        </w:rPr>
        <w:t>o</w:t>
      </w:r>
      <w:r w:rsidRPr="001612D5">
        <w:t xml:space="preserve"> 1 à la Convention selon lesquels, sans le versement d</w:t>
      </w:r>
      <w:r w:rsidR="001612D5" w:rsidRPr="001612D5">
        <w:t>’</w:t>
      </w:r>
      <w:r w:rsidRPr="001612D5">
        <w:t>une somme raisonnablement en rapport avec la valeur du bien, une privation de propriété constituerait en principe une atteinte excessive qui ne saurait se justifier sur le terrain de l</w:t>
      </w:r>
      <w:r w:rsidR="001612D5" w:rsidRPr="001612D5">
        <w:t>’</w:t>
      </w:r>
      <w:r w:rsidRPr="001612D5">
        <w:t>article 1 du Protocole n</w:t>
      </w:r>
      <w:r w:rsidRPr="001612D5">
        <w:rPr>
          <w:vertAlign w:val="superscript"/>
        </w:rPr>
        <w:t>o</w:t>
      </w:r>
      <w:r w:rsidRPr="001612D5">
        <w:t xml:space="preserve"> 1. Dès lors, elle juge approprié de fixer des sommes autant que faire se peut « raisonnablement en rapport » avec la valeur marchande des biens expropriés, c</w:t>
      </w:r>
      <w:r w:rsidR="001612D5" w:rsidRPr="001612D5">
        <w:t>’</w:t>
      </w:r>
      <w:r w:rsidRPr="001612D5">
        <w:t>est-à-dire des montants qu</w:t>
      </w:r>
      <w:r w:rsidR="001612D5" w:rsidRPr="001612D5">
        <w:t>’</w:t>
      </w:r>
      <w:r w:rsidRPr="001612D5">
        <w:t>elle aurait elle-même trouvés acceptables au regard de l</w:t>
      </w:r>
      <w:r w:rsidR="001612D5" w:rsidRPr="001612D5">
        <w:t>’</w:t>
      </w:r>
      <w:r w:rsidRPr="001612D5">
        <w:t>article 1 du Protocole n</w:t>
      </w:r>
      <w:r w:rsidRPr="001612D5">
        <w:rPr>
          <w:vertAlign w:val="superscript"/>
        </w:rPr>
        <w:t>o</w:t>
      </w:r>
      <w:r w:rsidRPr="001612D5">
        <w:t> 1. Pour ce faire, elle doit procéder à une appréciation globale des conséquences de l</w:t>
      </w:r>
      <w:r w:rsidR="001612D5" w:rsidRPr="001612D5">
        <w:t>’</w:t>
      </w:r>
      <w:r w:rsidRPr="001612D5">
        <w:t>expropriation litigieuse, c</w:t>
      </w:r>
      <w:r w:rsidR="001612D5" w:rsidRPr="001612D5">
        <w:t>’</w:t>
      </w:r>
      <w:r w:rsidRPr="001612D5">
        <w:t>est-à-dire calculer le montant de l</w:t>
      </w:r>
      <w:r w:rsidR="001612D5" w:rsidRPr="001612D5">
        <w:t>’</w:t>
      </w:r>
      <w:r w:rsidRPr="001612D5">
        <w:t>indemnisation d</w:t>
      </w:r>
      <w:r w:rsidR="001612D5" w:rsidRPr="001612D5">
        <w:t>’</w:t>
      </w:r>
      <w:r w:rsidRPr="001612D5">
        <w:t>après la valeur des biens au moment où les requérants en ont perdu la propriété (</w:t>
      </w:r>
      <w:r w:rsidRPr="001612D5">
        <w:rPr>
          <w:i/>
        </w:rPr>
        <w:t>ibidem</w:t>
      </w:r>
      <w:r w:rsidRPr="001612D5">
        <w:t>).</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25</w:t>
      </w:r>
      <w:r w:rsidRPr="001612D5">
        <w:fldChar w:fldCharType="end"/>
      </w:r>
      <w:r w:rsidRPr="001612D5">
        <w:t>.  Elle note qu</w:t>
      </w:r>
      <w:r w:rsidR="001612D5" w:rsidRPr="001612D5">
        <w:t>’</w:t>
      </w:r>
      <w:r w:rsidRPr="001612D5">
        <w:t>aucune des parties n</w:t>
      </w:r>
      <w:r w:rsidR="001612D5" w:rsidRPr="001612D5">
        <w:t>’</w:t>
      </w:r>
      <w:r w:rsidRPr="001612D5">
        <w:t>a soumis de rapport d</w:t>
      </w:r>
      <w:r w:rsidR="001612D5" w:rsidRPr="001612D5">
        <w:t>’</w:t>
      </w:r>
      <w:r w:rsidRPr="001612D5">
        <w:t>expertise ou rapport similaire évaluant les biens expropriés. Le Gouvernement se réfère au rapport de février 2005 qui, selon lui, n</w:t>
      </w:r>
      <w:r w:rsidR="001612D5" w:rsidRPr="001612D5">
        <w:t>’</w:t>
      </w:r>
      <w:r w:rsidRPr="001612D5">
        <w:t xml:space="preserve">a pas été contesté par les requérants. </w:t>
      </w:r>
      <w:r w:rsidRPr="001612D5">
        <w:lastRenderedPageBreak/>
        <w:t xml:space="preserve">Ceux-ci soumettent leurs propres calculs relatifs aux indemnités à accorder (paragraphes </w:t>
      </w:r>
      <w:r w:rsidR="0088526A" w:rsidRPr="001612D5">
        <w:rPr>
          <w:noProof/>
        </w:rPr>
        <w:t>7</w:t>
      </w:r>
      <w:r w:rsidRPr="001612D5">
        <w:t>-</w:t>
      </w:r>
      <w:r w:rsidR="0088526A" w:rsidRPr="001612D5">
        <w:rPr>
          <w:noProof/>
        </w:rPr>
        <w:t>12</w:t>
      </w:r>
      <w:r w:rsidRPr="001612D5">
        <w:t xml:space="preserve"> ci-dessus).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26</w:t>
      </w:r>
      <w:r w:rsidRPr="001612D5">
        <w:fldChar w:fldCharType="end"/>
      </w:r>
      <w:r w:rsidRPr="001612D5">
        <w:t>.  La Cour indique ne pas pouvoir s</w:t>
      </w:r>
      <w:r w:rsidR="001612D5" w:rsidRPr="001612D5">
        <w:t>’</w:t>
      </w:r>
      <w:r w:rsidRPr="001612D5">
        <w:t xml:space="preserve">appuyer sur les calculs proposés par les requérants car ceux-ci se fondent sur des données qui sont sans aucun rapport avec les biens dont ils ont été privés et comptent plusieurs fois les mêmes biens (paragraphes </w:t>
      </w:r>
      <w:r w:rsidR="0088526A" w:rsidRPr="001612D5">
        <w:rPr>
          <w:noProof/>
        </w:rPr>
        <w:t>8</w:t>
      </w:r>
      <w:r w:rsidRPr="001612D5">
        <w:t xml:space="preserve"> et </w:t>
      </w:r>
      <w:r w:rsidR="0088526A" w:rsidRPr="001612D5">
        <w:rPr>
          <w:noProof/>
        </w:rPr>
        <w:t>11</w:t>
      </w:r>
      <w:r w:rsidRPr="001612D5">
        <w:t xml:space="preserve"> ci-dessus).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27</w:t>
      </w:r>
      <w:r w:rsidRPr="001612D5">
        <w:fldChar w:fldCharType="end"/>
      </w:r>
      <w:r w:rsidRPr="001612D5">
        <w:t>.  Elle estime par ailleurs qu</w:t>
      </w:r>
      <w:r w:rsidR="001612D5" w:rsidRPr="001612D5">
        <w:t>’</w:t>
      </w:r>
      <w:r w:rsidRPr="001612D5">
        <w:t>il convient de tenir compte du fait que les requérants ont obtenu, à la place de leurs biens expropriés, des baux sociaux pour d</w:t>
      </w:r>
      <w:r w:rsidR="001612D5" w:rsidRPr="001612D5">
        <w:t>’</w:t>
      </w:r>
      <w:r w:rsidRPr="001612D5">
        <w:t>autres logements situés à Lyoubertsy : un bail d</w:t>
      </w:r>
      <w:r w:rsidR="001612D5" w:rsidRPr="001612D5">
        <w:t>’</w:t>
      </w:r>
      <w:r w:rsidRPr="001612D5">
        <w:t>un appartement d</w:t>
      </w:r>
      <w:r w:rsidR="001612D5" w:rsidRPr="001612D5">
        <w:t>’</w:t>
      </w:r>
      <w:r w:rsidRPr="001612D5">
        <w:t>une pièce d</w:t>
      </w:r>
      <w:r w:rsidR="001612D5" w:rsidRPr="001612D5">
        <w:t>’</w:t>
      </w:r>
      <w:r w:rsidRPr="001612D5">
        <w:t>une surface de 31 m</w:t>
      </w:r>
      <w:r w:rsidRPr="001612D5">
        <w:rPr>
          <w:vertAlign w:val="superscript"/>
        </w:rPr>
        <w:t>2</w:t>
      </w:r>
      <w:r w:rsidRPr="001612D5">
        <w:t xml:space="preserve"> à la place de la surface de 24 m</w:t>
      </w:r>
      <w:r w:rsidRPr="001612D5">
        <w:rPr>
          <w:vertAlign w:val="superscript"/>
        </w:rPr>
        <w:t>2</w:t>
      </w:r>
      <w:r w:rsidRPr="001612D5">
        <w:t xml:space="preserve"> que la requérante de la requête n</w:t>
      </w:r>
      <w:r w:rsidRPr="001612D5">
        <w:rPr>
          <w:vertAlign w:val="superscript"/>
        </w:rPr>
        <w:t>o</w:t>
      </w:r>
      <w:r w:rsidRPr="001612D5">
        <w:t> 45668/05 possédait dans la maison expropriée et un bail d</w:t>
      </w:r>
      <w:r w:rsidR="001612D5" w:rsidRPr="001612D5">
        <w:t>’</w:t>
      </w:r>
      <w:r w:rsidRPr="001612D5">
        <w:t>un appartement de quatre pièces d</w:t>
      </w:r>
      <w:r w:rsidR="001612D5" w:rsidRPr="001612D5">
        <w:t>’</w:t>
      </w:r>
      <w:r w:rsidRPr="001612D5">
        <w:t>une surface de 70 m</w:t>
      </w:r>
      <w:r w:rsidRPr="001612D5">
        <w:rPr>
          <w:vertAlign w:val="superscript"/>
        </w:rPr>
        <w:t>2</w:t>
      </w:r>
      <w:r w:rsidRPr="001612D5">
        <w:t xml:space="preserve"> à la place de la surface de 78 m</w:t>
      </w:r>
      <w:r w:rsidRPr="001612D5">
        <w:rPr>
          <w:vertAlign w:val="superscript"/>
        </w:rPr>
        <w:t>2</w:t>
      </w:r>
      <w:r w:rsidRPr="001612D5">
        <w:t xml:space="preserve"> que le requérant de la requête n</w:t>
      </w:r>
      <w:r w:rsidRPr="001612D5">
        <w:rPr>
          <w:vertAlign w:val="superscript"/>
        </w:rPr>
        <w:t>o</w:t>
      </w:r>
      <w:r w:rsidRPr="001612D5">
        <w:t xml:space="preserve"> 2292/06 possédait dans la même maison (comparer les paragraphes 7-8 et 35 de l</w:t>
      </w:r>
      <w:r w:rsidR="001612D5" w:rsidRPr="001612D5">
        <w:t>’</w:t>
      </w:r>
      <w:r w:rsidRPr="001612D5">
        <w:t>arrêt au principal). Ces nouveaux logements se situaient à proximité de la maison expropriée : à 2 et 2,5 km respectivement de la maison. Rien n</w:t>
      </w:r>
      <w:r w:rsidR="001612D5" w:rsidRPr="001612D5">
        <w:t>’</w:t>
      </w:r>
      <w:r w:rsidRPr="001612D5">
        <w:t>indique que ces nouveaux logements avaient une valeur inférieure aux parts respectives des requérants de la maison expropriée. Par ailleurs, rien n</w:t>
      </w:r>
      <w:r w:rsidR="001612D5" w:rsidRPr="001612D5">
        <w:t>’</w:t>
      </w:r>
      <w:r w:rsidRPr="001612D5">
        <w:t>empêche les intéressés d</w:t>
      </w:r>
      <w:r w:rsidR="001612D5" w:rsidRPr="001612D5">
        <w:t>’</w:t>
      </w:r>
      <w:r w:rsidRPr="001612D5">
        <w:t xml:space="preserve">obtenir gratuitement la propriété de leurs nouveaux logements sur le fondement de la loi fédérale relative à la privatisation des logements (paragraphe </w:t>
      </w:r>
      <w:r w:rsidR="0088526A" w:rsidRPr="001612D5">
        <w:rPr>
          <w:noProof/>
        </w:rPr>
        <w:t>16</w:t>
      </w:r>
      <w:r w:rsidRPr="001612D5">
        <w:t xml:space="preserve"> ci-dessus).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28</w:t>
      </w:r>
      <w:r w:rsidRPr="001612D5">
        <w:fldChar w:fldCharType="end"/>
      </w:r>
      <w:r w:rsidRPr="001612D5">
        <w:t>.  Enfin, la Cour note que, en plus desdits nouveaux logements, la requérante de la requête n</w:t>
      </w:r>
      <w:r w:rsidRPr="001612D5">
        <w:rPr>
          <w:vertAlign w:val="superscript"/>
        </w:rPr>
        <w:t>o</w:t>
      </w:r>
      <w:r w:rsidRPr="001612D5">
        <w:t xml:space="preserve"> 45668/05 et le requérant de la requête n</w:t>
      </w:r>
      <w:r w:rsidRPr="001612D5">
        <w:rPr>
          <w:vertAlign w:val="superscript"/>
        </w:rPr>
        <w:t>o </w:t>
      </w:r>
      <w:r w:rsidRPr="001612D5">
        <w:t>2292/06 ont obtenu respectivement une indemnité de 28 500 USD et une indemnité de 85 600 USD, le total correspondant, selon le rapport d</w:t>
      </w:r>
      <w:r w:rsidR="001612D5" w:rsidRPr="001612D5">
        <w:t>’</w:t>
      </w:r>
      <w:r w:rsidRPr="001612D5">
        <w:t>expertise de février 2005, à la valeur des biens à exproprier (les parts de la maison ainsi que les parcelles de terrain) (paragraphes 32 et 35 de l</w:t>
      </w:r>
      <w:r w:rsidR="001612D5" w:rsidRPr="001612D5">
        <w:t>’</w:t>
      </w:r>
      <w:r w:rsidRPr="001612D5">
        <w:t>arrêt au principal). Il s</w:t>
      </w:r>
      <w:r w:rsidR="001612D5" w:rsidRPr="001612D5">
        <w:t>’</w:t>
      </w:r>
      <w:r w:rsidRPr="001612D5">
        <w:t>ensuit que les intéressés ont été indemnisés deux fois pour leurs parts dans la maison : en nature et en espèces.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29</w:t>
      </w:r>
      <w:r w:rsidRPr="001612D5">
        <w:fldChar w:fldCharType="end"/>
      </w:r>
      <w:r w:rsidRPr="001612D5">
        <w:t xml:space="preserve">.  Dans ces circonstances, la Cour considère que les requérants ont été correctement indemnisés pour leurs parts de la maison (comparer avec </w:t>
      </w:r>
      <w:r w:rsidRPr="001612D5">
        <w:rPr>
          <w:i/>
        </w:rPr>
        <w:t>Sigunovy c. Russie</w:t>
      </w:r>
      <w:r w:rsidRPr="001612D5">
        <w:t xml:space="preserve"> (déc.) [comité], n</w:t>
      </w:r>
      <w:r w:rsidRPr="001612D5">
        <w:rPr>
          <w:vertAlign w:val="superscript"/>
        </w:rPr>
        <w:t>o</w:t>
      </w:r>
      <w:r w:rsidRPr="001612D5">
        <w:t xml:space="preserve"> 18836/11, §§ 58-59, 12 février 2019).</w:t>
      </w:r>
    </w:p>
    <w:p w:rsidR="00575117"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30</w:t>
      </w:r>
      <w:r w:rsidRPr="001612D5">
        <w:fldChar w:fldCharType="end"/>
      </w:r>
      <w:r w:rsidRPr="001612D5">
        <w:t>.  Reste à déterminer quelle indemnité aurait été raisonnablement en rapport avec la valeur marchande des parcelles de terrain en question. En l</w:t>
      </w:r>
      <w:r w:rsidR="001612D5" w:rsidRPr="001612D5">
        <w:t>’</w:t>
      </w:r>
      <w:r w:rsidRPr="001612D5">
        <w:t>absence de rapports d</w:t>
      </w:r>
      <w:r w:rsidR="001612D5" w:rsidRPr="001612D5">
        <w:t>’</w:t>
      </w:r>
      <w:r w:rsidRPr="001612D5">
        <w:t>expertise présentés par les parties, la Cour estime qu</w:t>
      </w:r>
      <w:r w:rsidR="001612D5" w:rsidRPr="001612D5">
        <w:t>’</w:t>
      </w:r>
      <w:r w:rsidRPr="001612D5">
        <w:t>il convient de se baser sur les montants initialement proposés par la société investisseuse lors des négociations de vente des parcelles appartenant aux requérants : jusqu</w:t>
      </w:r>
      <w:r w:rsidR="001612D5" w:rsidRPr="001612D5">
        <w:t>’</w:t>
      </w:r>
      <w:r w:rsidRPr="001612D5">
        <w:t>à 50 000 USD pour la requérante et jusqu</w:t>
      </w:r>
      <w:r w:rsidR="001612D5" w:rsidRPr="001612D5">
        <w:t>’</w:t>
      </w:r>
      <w:r w:rsidRPr="001612D5">
        <w:t>à 140 000 USD pour le requérant (paragraphe 26 de l</w:t>
      </w:r>
      <w:r w:rsidR="001612D5" w:rsidRPr="001612D5">
        <w:t>’</w:t>
      </w:r>
      <w:r w:rsidRPr="001612D5">
        <w:t>arrêt au principal). Elle considère que ces montants que la société investisseuse était prête à payer correspondaient à la valeur marchande desdites parcelles.</w:t>
      </w:r>
    </w:p>
    <w:p w:rsidR="009E4EFC" w:rsidRPr="001612D5" w:rsidRDefault="009E4EFC" w:rsidP="001612D5">
      <w:pPr>
        <w:pStyle w:val="JuPara"/>
        <w:rPr>
          <w:rFonts w:eastAsia="Times New Roman"/>
        </w:rPr>
      </w:pPr>
      <w:r w:rsidRPr="001612D5">
        <w:fldChar w:fldCharType="begin"/>
      </w:r>
      <w:r w:rsidRPr="001612D5">
        <w:instrText xml:space="preserve"> SEQ level0 \*arabic </w:instrText>
      </w:r>
      <w:r w:rsidRPr="001612D5">
        <w:fldChar w:fldCharType="separate"/>
      </w:r>
      <w:r w:rsidR="001612D5">
        <w:rPr>
          <w:noProof/>
        </w:rPr>
        <w:t>31</w:t>
      </w:r>
      <w:r w:rsidRPr="001612D5">
        <w:fldChar w:fldCharType="end"/>
      </w:r>
      <w:r w:rsidRPr="001612D5">
        <w:t>.  Eu égard à toutes les circonstances pertinentes de l</w:t>
      </w:r>
      <w:r w:rsidR="001612D5" w:rsidRPr="001612D5">
        <w:t>’</w:t>
      </w:r>
      <w:r w:rsidRPr="001612D5">
        <w:t>affaire</w:t>
      </w:r>
      <w:r w:rsidRPr="001612D5">
        <w:rPr>
          <w:rFonts w:eastAsia="Times New Roman"/>
        </w:rPr>
        <w:t xml:space="preserve">, et, en particulier, au fait que les requérants ont reçu une double indemnisation pour leurs parts de la maison (paragraphe </w:t>
      </w:r>
      <w:r w:rsidR="0088526A" w:rsidRPr="001612D5">
        <w:rPr>
          <w:noProof/>
        </w:rPr>
        <w:t>28</w:t>
      </w:r>
      <w:r w:rsidRPr="001612D5">
        <w:rPr>
          <w:rFonts w:eastAsia="Times New Roman"/>
        </w:rPr>
        <w:t xml:space="preserve"> ci-dessus), ainsi qu</w:t>
      </w:r>
      <w:r w:rsidR="001612D5" w:rsidRPr="001612D5">
        <w:rPr>
          <w:rFonts w:eastAsia="Times New Roman"/>
        </w:rPr>
        <w:t>’</w:t>
      </w:r>
      <w:r w:rsidRPr="001612D5">
        <w:rPr>
          <w:rFonts w:eastAsia="Times New Roman"/>
        </w:rPr>
        <w:t xml:space="preserve">aux valeurs des </w:t>
      </w:r>
      <w:r w:rsidRPr="001612D5">
        <w:rPr>
          <w:rFonts w:eastAsia="Times New Roman"/>
        </w:rPr>
        <w:lastRenderedPageBreak/>
        <w:t>biens à exproprier telles qu</w:t>
      </w:r>
      <w:r w:rsidR="001612D5" w:rsidRPr="001612D5">
        <w:rPr>
          <w:rFonts w:eastAsia="Times New Roman"/>
        </w:rPr>
        <w:t>’</w:t>
      </w:r>
      <w:r w:rsidRPr="001612D5">
        <w:rPr>
          <w:rFonts w:eastAsia="Times New Roman"/>
        </w:rPr>
        <w:t>indiquées dans le rapport de février 2005 (paragraphe 32 de l</w:t>
      </w:r>
      <w:r w:rsidR="001612D5" w:rsidRPr="001612D5">
        <w:rPr>
          <w:rFonts w:eastAsia="Times New Roman"/>
        </w:rPr>
        <w:t>’</w:t>
      </w:r>
      <w:r w:rsidRPr="001612D5">
        <w:rPr>
          <w:rFonts w:eastAsia="Times New Roman"/>
        </w:rPr>
        <w:t>arrêt au principal) et aux conclusions rendues dans l</w:t>
      </w:r>
      <w:r w:rsidR="001612D5" w:rsidRPr="001612D5">
        <w:rPr>
          <w:rFonts w:eastAsia="Times New Roman"/>
        </w:rPr>
        <w:t>’</w:t>
      </w:r>
      <w:r w:rsidRPr="001612D5">
        <w:rPr>
          <w:rFonts w:eastAsia="Times New Roman"/>
        </w:rPr>
        <w:t>arrêt au principal, notamment, à l</w:t>
      </w:r>
      <w:r w:rsidR="001612D5" w:rsidRPr="001612D5">
        <w:rPr>
          <w:rFonts w:eastAsia="Times New Roman"/>
        </w:rPr>
        <w:t>’</w:t>
      </w:r>
      <w:r w:rsidRPr="001612D5">
        <w:rPr>
          <w:rFonts w:eastAsia="Times New Roman"/>
        </w:rPr>
        <w:t>absence de constat d</w:t>
      </w:r>
      <w:r w:rsidR="001612D5" w:rsidRPr="001612D5">
        <w:rPr>
          <w:rFonts w:eastAsia="Times New Roman"/>
        </w:rPr>
        <w:t>’</w:t>
      </w:r>
      <w:r w:rsidRPr="001612D5">
        <w:rPr>
          <w:rFonts w:eastAsia="Times New Roman"/>
        </w:rPr>
        <w:t>illégalité de l</w:t>
      </w:r>
      <w:r w:rsidR="001612D5" w:rsidRPr="001612D5">
        <w:rPr>
          <w:rFonts w:eastAsia="Times New Roman"/>
        </w:rPr>
        <w:t>’</w:t>
      </w:r>
      <w:r w:rsidRPr="001612D5">
        <w:rPr>
          <w:rFonts w:eastAsia="Times New Roman"/>
        </w:rPr>
        <w:t>expropriation, la Cour estime appropriées les sommes respectives de 40 000 USD et 112 000 USD pour les parcelles expropriées.</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32</w:t>
      </w:r>
      <w:r w:rsidRPr="001612D5">
        <w:fldChar w:fldCharType="end"/>
      </w:r>
      <w:r w:rsidRPr="001612D5">
        <w:t>.  </w:t>
      </w:r>
      <w:bookmarkStart w:id="1" w:name="_GoBack"/>
      <w:r w:rsidRPr="001612D5">
        <w:t>Elle considère en outre qu</w:t>
      </w:r>
      <w:r w:rsidR="001612D5" w:rsidRPr="001612D5">
        <w:t>’</w:t>
      </w:r>
      <w:r w:rsidRPr="001612D5">
        <w:t>il convient de déduire de ces sommes celles déjà versées aux requérants en vertu du jugement d</w:t>
      </w:r>
      <w:r w:rsidR="001612D5" w:rsidRPr="001612D5">
        <w:t>’</w:t>
      </w:r>
      <w:r w:rsidRPr="001612D5">
        <w:t>expropriation au titre de la valeur de leurs parcelles, à savoir 23 300 USD pour la requérante et 70 000 USD pour le requérant (paragraphes 32 et 35 de l</w:t>
      </w:r>
      <w:r w:rsidR="001612D5" w:rsidRPr="001612D5">
        <w:t>’</w:t>
      </w:r>
      <w:r w:rsidRPr="001612D5">
        <w:t>arrêt au principal), de sorte que l</w:t>
      </w:r>
      <w:r w:rsidR="001612D5" w:rsidRPr="001612D5">
        <w:t>’</w:t>
      </w:r>
      <w:r w:rsidRPr="001612D5">
        <w:t>on parvient aux montants de 16 700 USD et 42 000</w:t>
      </w:r>
      <w:r w:rsidR="00FD42BF" w:rsidRPr="001612D5">
        <w:t> </w:t>
      </w:r>
      <w:r w:rsidRPr="001612D5">
        <w:t>USD.</w:t>
      </w:r>
    </w:p>
    <w:bookmarkEnd w:id="1"/>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33</w:t>
      </w:r>
      <w:r w:rsidRPr="001612D5">
        <w:fldChar w:fldCharType="end"/>
      </w:r>
      <w:r w:rsidRPr="001612D5">
        <w:t>.  Eu égard au fait que tant les juridictions internes que les requérants ont calculé les indemnités en dollars américains, la Cour estime qu</w:t>
      </w:r>
      <w:r w:rsidR="001612D5" w:rsidRPr="001612D5">
        <w:t>’</w:t>
      </w:r>
      <w:r w:rsidRPr="001612D5">
        <w:t>il convient d</w:t>
      </w:r>
      <w:r w:rsidR="001612D5" w:rsidRPr="001612D5">
        <w:t>’</w:t>
      </w:r>
      <w:r w:rsidRPr="001612D5">
        <w:t>allouer les sommes à titre de satisfaction équitable en dollars américains également.</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34</w:t>
      </w:r>
      <w:r w:rsidRPr="001612D5">
        <w:fldChar w:fldCharType="end"/>
      </w:r>
      <w:r w:rsidRPr="001612D5">
        <w:t>.  Enfin, elle considère que l</w:t>
      </w:r>
      <w:r w:rsidR="001612D5" w:rsidRPr="001612D5">
        <w:t>’</w:t>
      </w:r>
      <w:r w:rsidRPr="001612D5">
        <w:t>augmentation considérable du cours du dollar depuis 2005 (l</w:t>
      </w:r>
      <w:r w:rsidR="001612D5" w:rsidRPr="001612D5">
        <w:t>’</w:t>
      </w:r>
      <w:r w:rsidRPr="001612D5">
        <w:t>année où le jugement d</w:t>
      </w:r>
      <w:r w:rsidR="001612D5" w:rsidRPr="001612D5">
        <w:t>’</w:t>
      </w:r>
      <w:r w:rsidRPr="001612D5">
        <w:t>expropriation a été rendu) par rapport à celui du rouble russe suffit en l</w:t>
      </w:r>
      <w:r w:rsidR="001612D5" w:rsidRPr="001612D5">
        <w:t>’</w:t>
      </w:r>
      <w:r w:rsidRPr="001612D5">
        <w:t>espèce à compenser les effets de l</w:t>
      </w:r>
      <w:r w:rsidR="001612D5" w:rsidRPr="001612D5">
        <w:t>’</w:t>
      </w:r>
      <w:r w:rsidRPr="001612D5">
        <w:t>inflation.</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35</w:t>
      </w:r>
      <w:r w:rsidRPr="001612D5">
        <w:fldChar w:fldCharType="end"/>
      </w:r>
      <w:r w:rsidRPr="001612D5">
        <w:t>.  En conclusion, la Cour alloue 16 700 USD à la requérante de la requête n</w:t>
      </w:r>
      <w:r w:rsidRPr="001612D5">
        <w:rPr>
          <w:vertAlign w:val="superscript"/>
        </w:rPr>
        <w:t>o</w:t>
      </w:r>
      <w:r w:rsidRPr="001612D5">
        <w:t xml:space="preserve"> 45668/05 et 42 000 USD au requérant de la requête n</w:t>
      </w:r>
      <w:r w:rsidRPr="001612D5">
        <w:rPr>
          <w:vertAlign w:val="superscript"/>
        </w:rPr>
        <w:t>o </w:t>
      </w:r>
      <w:r w:rsidRPr="001612D5">
        <w:t>2292/06 pour dommage matériel.</w:t>
      </w:r>
    </w:p>
    <w:p w:rsidR="009E4EFC" w:rsidRPr="001612D5" w:rsidRDefault="009E4EFC" w:rsidP="001612D5">
      <w:pPr>
        <w:pStyle w:val="JuPara"/>
      </w:pPr>
      <w:r w:rsidRPr="001612D5">
        <w:fldChar w:fldCharType="begin"/>
      </w:r>
      <w:r w:rsidRPr="001612D5">
        <w:instrText xml:space="preserve"> SEQ level0 \*arabic </w:instrText>
      </w:r>
      <w:r w:rsidRPr="001612D5">
        <w:fldChar w:fldCharType="separate"/>
      </w:r>
      <w:r w:rsidR="001612D5">
        <w:rPr>
          <w:noProof/>
        </w:rPr>
        <w:t>36</w:t>
      </w:r>
      <w:r w:rsidRPr="001612D5">
        <w:fldChar w:fldCharType="end"/>
      </w:r>
      <w:r w:rsidRPr="001612D5">
        <w:t>.  Elle juge approprié de calquer le taux des intérêts moratoires sur le taux d</w:t>
      </w:r>
      <w:r w:rsidR="001612D5" w:rsidRPr="001612D5">
        <w:t>’</w:t>
      </w:r>
      <w:r w:rsidRPr="001612D5">
        <w:t>intérêt de la facilité de prêt marginal de la Banque centrale européenne majoré de trois points de pourcentage.</w:t>
      </w:r>
    </w:p>
    <w:p w:rsidR="009E4EFC" w:rsidRPr="001612D5" w:rsidRDefault="009E4EFC" w:rsidP="001612D5">
      <w:pPr>
        <w:pStyle w:val="JuHHead"/>
      </w:pPr>
      <w:r w:rsidRPr="001612D5">
        <w:t>PAR CES MOTIFS, LA COUR, À L</w:t>
      </w:r>
      <w:r w:rsidR="001612D5" w:rsidRPr="001612D5">
        <w:t>’</w:t>
      </w:r>
      <w:r w:rsidRPr="001612D5">
        <w:t>UNANIMITÉ,</w:t>
      </w:r>
    </w:p>
    <w:p w:rsidR="00575117" w:rsidRPr="001612D5" w:rsidRDefault="009E4EFC" w:rsidP="001612D5">
      <w:pPr>
        <w:pStyle w:val="JuList"/>
      </w:pPr>
      <w:r w:rsidRPr="001612D5">
        <w:rPr>
          <w:i/>
        </w:rPr>
        <w:t>Dit</w:t>
      </w:r>
    </w:p>
    <w:p w:rsidR="009E4EFC" w:rsidRPr="001612D5" w:rsidRDefault="009E4EFC" w:rsidP="001612D5">
      <w:pPr>
        <w:pStyle w:val="JuLista"/>
      </w:pPr>
      <w:r w:rsidRPr="001612D5">
        <w:t>que l</w:t>
      </w:r>
      <w:r w:rsidR="001612D5" w:rsidRPr="001612D5">
        <w:t>’</w:t>
      </w:r>
      <w:r w:rsidRPr="001612D5">
        <w:t>État défendeur doit verser aux requérants pour dommage matériel, dans les trois mois à compter du jour où l</w:t>
      </w:r>
      <w:r w:rsidR="001612D5" w:rsidRPr="001612D5">
        <w:t>’</w:t>
      </w:r>
      <w:r w:rsidRPr="001612D5">
        <w:t>arrêt sera devenu définitif conformément à l</w:t>
      </w:r>
      <w:r w:rsidR="001612D5" w:rsidRPr="001612D5">
        <w:t>’</w:t>
      </w:r>
      <w:r w:rsidRPr="001612D5">
        <w:t xml:space="preserve">article 44 § 2 de la Convention les montants suivants, à convertir </w:t>
      </w:r>
      <w:r w:rsidRPr="001612D5">
        <w:rPr>
          <w:bCs/>
        </w:rPr>
        <w:t>dans la monnaie de l</w:t>
      </w:r>
      <w:r w:rsidR="001612D5" w:rsidRPr="001612D5">
        <w:rPr>
          <w:bCs/>
        </w:rPr>
        <w:t>’</w:t>
      </w:r>
      <w:r w:rsidRPr="001612D5">
        <w:t>État</w:t>
      </w:r>
      <w:r w:rsidRPr="001612D5">
        <w:rPr>
          <w:bCs/>
        </w:rPr>
        <w:t xml:space="preserve"> défendeur</w:t>
      </w:r>
      <w:r w:rsidRPr="001612D5">
        <w:rPr>
          <w:b/>
          <w:bCs/>
        </w:rPr>
        <w:t xml:space="preserve"> </w:t>
      </w:r>
      <w:r w:rsidRPr="001612D5">
        <w:t>au taux applicable à la date du règlement :</w:t>
      </w:r>
    </w:p>
    <w:p w:rsidR="009E4EFC" w:rsidRPr="001612D5" w:rsidRDefault="009E4EFC" w:rsidP="001612D5">
      <w:pPr>
        <w:pStyle w:val="JuListi"/>
      </w:pPr>
      <w:r w:rsidRPr="001612D5">
        <w:t>16 700 USD (seize mille sept cents dollars américains) à la requérante de la requête n</w:t>
      </w:r>
      <w:r w:rsidRPr="001612D5">
        <w:rPr>
          <w:vertAlign w:val="superscript"/>
        </w:rPr>
        <w:t>o</w:t>
      </w:r>
      <w:r w:rsidRPr="001612D5">
        <w:t xml:space="preserve"> 45668/05 (M</w:t>
      </w:r>
      <w:r w:rsidRPr="001612D5">
        <w:rPr>
          <w:vertAlign w:val="superscript"/>
        </w:rPr>
        <w:t>me</w:t>
      </w:r>
      <w:r w:rsidRPr="001612D5">
        <w:t xml:space="preserve"> Volchkova) ;</w:t>
      </w:r>
    </w:p>
    <w:p w:rsidR="009E4EFC" w:rsidRPr="001612D5" w:rsidRDefault="009E4EFC" w:rsidP="001612D5">
      <w:pPr>
        <w:pStyle w:val="JuListi"/>
      </w:pPr>
      <w:r w:rsidRPr="001612D5">
        <w:t>42 000 USD (quarante-deux mille dollars américains) au requérant de la requête n</w:t>
      </w:r>
      <w:r w:rsidRPr="001612D5">
        <w:rPr>
          <w:vertAlign w:val="superscript"/>
        </w:rPr>
        <w:t>o </w:t>
      </w:r>
      <w:r w:rsidRPr="001612D5">
        <w:t>2292/06 (M. Mironov) ;</w:t>
      </w:r>
    </w:p>
    <w:p w:rsidR="009E4EFC" w:rsidRPr="001612D5" w:rsidRDefault="009E4EFC" w:rsidP="001612D5">
      <w:pPr>
        <w:pStyle w:val="JuLista"/>
      </w:pPr>
      <w:r w:rsidRPr="001612D5">
        <w:t>qu</w:t>
      </w:r>
      <w:r w:rsidR="001612D5" w:rsidRPr="001612D5">
        <w:t>’</w:t>
      </w:r>
      <w:r w:rsidRPr="001612D5">
        <w:t>à compter de l</w:t>
      </w:r>
      <w:r w:rsidR="001612D5" w:rsidRPr="001612D5">
        <w:t>’</w:t>
      </w:r>
      <w:r w:rsidRPr="001612D5">
        <w:t>expiration dudit délai et jusqu</w:t>
      </w:r>
      <w:r w:rsidR="001612D5" w:rsidRPr="001612D5">
        <w:t>’</w:t>
      </w:r>
      <w:r w:rsidRPr="001612D5">
        <w:t>au versement, ces montants seront à majorer d</w:t>
      </w:r>
      <w:r w:rsidR="001612D5" w:rsidRPr="001612D5">
        <w:t>’</w:t>
      </w:r>
      <w:r w:rsidRPr="001612D5">
        <w:t>un intérêt simple à un taux égal à celui de la facilité de prêt marginal de la Banque centrale européenne applicable pendant cette période, augmenté de trois points de pourcentage ;</w:t>
      </w:r>
    </w:p>
    <w:p w:rsidR="009E4EFC" w:rsidRPr="001612D5" w:rsidRDefault="009E4EFC" w:rsidP="001612D5">
      <w:pPr>
        <w:pStyle w:val="JuPara"/>
      </w:pPr>
    </w:p>
    <w:p w:rsidR="009E4EFC" w:rsidRPr="001612D5" w:rsidRDefault="009E4EFC" w:rsidP="001612D5">
      <w:pPr>
        <w:pStyle w:val="JuList"/>
      </w:pPr>
      <w:r w:rsidRPr="001612D5">
        <w:rPr>
          <w:i/>
        </w:rPr>
        <w:lastRenderedPageBreak/>
        <w:t>Rejette</w:t>
      </w:r>
      <w:r w:rsidRPr="001612D5">
        <w:t xml:space="preserve"> la demande de satisfaction équitable pour le surplus.</w:t>
      </w:r>
    </w:p>
    <w:p w:rsidR="009E4EFC" w:rsidRPr="001612D5" w:rsidRDefault="009E4EFC" w:rsidP="001612D5">
      <w:pPr>
        <w:pStyle w:val="JuParaLast"/>
      </w:pPr>
      <w:r w:rsidRPr="001612D5">
        <w:t>Fait en français, puis communiqué par écrit le 15 octobre 2019, en application de l</w:t>
      </w:r>
      <w:r w:rsidR="001612D5" w:rsidRPr="001612D5">
        <w:t>’</w:t>
      </w:r>
      <w:r w:rsidRPr="001612D5">
        <w:t>article 77 §§ 2 et 3 du règlement de la Cour.</w:t>
      </w:r>
    </w:p>
    <w:p w:rsidR="009E4EFC" w:rsidRPr="001612D5" w:rsidRDefault="009E4EFC" w:rsidP="001612D5">
      <w:pPr>
        <w:pStyle w:val="JuSigned"/>
      </w:pPr>
      <w:r w:rsidRPr="001612D5">
        <w:tab/>
        <w:t>Stephen Phillips</w:t>
      </w:r>
      <w:r w:rsidRPr="001612D5">
        <w:tab/>
        <w:t>Paul Lemmens</w:t>
      </w:r>
      <w:r w:rsidRPr="001612D5">
        <w:br/>
      </w:r>
      <w:r w:rsidRPr="001612D5">
        <w:tab/>
      </w:r>
      <w:r w:rsidRPr="001612D5">
        <w:rPr>
          <w:szCs w:val="24"/>
        </w:rPr>
        <w:t>Greffier</w:t>
      </w:r>
      <w:r w:rsidRPr="001612D5">
        <w:tab/>
        <w:t>Président</w:t>
      </w:r>
    </w:p>
    <w:sectPr w:rsidR="009E4EFC" w:rsidRPr="001612D5">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65" w:rsidRPr="001D19C3" w:rsidRDefault="00DE3A65" w:rsidP="002D2C99">
      <w:r w:rsidRPr="001D19C3">
        <w:separator/>
      </w:r>
    </w:p>
  </w:endnote>
  <w:endnote w:type="continuationSeparator" w:id="0">
    <w:p w:rsidR="00DE3A65" w:rsidRPr="001D19C3" w:rsidRDefault="00DE3A65" w:rsidP="002D2C99">
      <w:r w:rsidRPr="001D19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D0" w:rsidRPr="00150BFA" w:rsidRDefault="006B79D0" w:rsidP="0020718E">
    <w:pPr>
      <w:jc w:val="center"/>
    </w:pPr>
    <w:r>
      <w:rPr>
        <w:noProof/>
        <w:lang w:val="ru-RU" w:eastAsia="ru-RU"/>
      </w:rPr>
      <w:drawing>
        <wp:inline distT="0" distB="0" distL="0" distR="0" wp14:anchorId="74B3199F" wp14:editId="15EAE11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D2C99" w:rsidRPr="001D19C3" w:rsidRDefault="002D2C99" w:rsidP="005072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DE3A65" w:rsidP="005072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DE3A65" w:rsidP="005072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65" w:rsidRPr="001D19C3" w:rsidRDefault="00DE3A65" w:rsidP="002D2C99">
      <w:r w:rsidRPr="001D19C3">
        <w:separator/>
      </w:r>
    </w:p>
  </w:footnote>
  <w:footnote w:type="continuationSeparator" w:id="0">
    <w:p w:rsidR="00DE3A65" w:rsidRPr="001D19C3" w:rsidRDefault="00DE3A65" w:rsidP="002D2C99">
      <w:r w:rsidRPr="001D19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D0" w:rsidRPr="00A45145" w:rsidRDefault="006B79D0" w:rsidP="00A45145">
    <w:pPr>
      <w:jc w:val="center"/>
    </w:pPr>
    <w:r>
      <w:rPr>
        <w:noProof/>
        <w:lang w:val="ru-RU" w:eastAsia="ru-RU"/>
      </w:rPr>
      <w:drawing>
        <wp:inline distT="0" distB="0" distL="0" distR="0" wp14:anchorId="0FE327D8" wp14:editId="187C541A">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D2C99" w:rsidRPr="001D19C3" w:rsidRDefault="002D2C99" w:rsidP="00F5432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F5432B" w:rsidRDefault="006B79D0" w:rsidP="00F5432B">
    <w:pPr>
      <w:pStyle w:val="JuHeader"/>
    </w:pPr>
    <w:r>
      <w:rPr>
        <w:rStyle w:val="aff7"/>
        <w:lang w:val="en-GB"/>
      </w:rPr>
      <w:fldChar w:fldCharType="begin"/>
    </w:r>
    <w:r w:rsidRPr="006B79D0">
      <w:rPr>
        <w:rStyle w:val="aff7"/>
      </w:rPr>
      <w:instrText xml:space="preserve"> PAGE </w:instrText>
    </w:r>
    <w:r>
      <w:rPr>
        <w:rStyle w:val="aff7"/>
        <w:lang w:val="en-GB"/>
      </w:rPr>
      <w:fldChar w:fldCharType="separate"/>
    </w:r>
    <w:r w:rsidR="00373AFD">
      <w:rPr>
        <w:rStyle w:val="aff7"/>
        <w:noProof/>
      </w:rPr>
      <w:t>6</w:t>
    </w:r>
    <w:r>
      <w:rPr>
        <w:rStyle w:val="aff7"/>
        <w:lang w:val="en-GB"/>
      </w:rPr>
      <w:fldChar w:fldCharType="end"/>
    </w:r>
    <w:r w:rsidR="00420F04" w:rsidRPr="006B79D0">
      <w:tab/>
      <w:t xml:space="preserve">ARRÊT </w:t>
    </w:r>
    <w:r w:rsidRPr="006B79D0">
      <w:t>VOLCHKOVA ET MIRONOV c. RUSSIE</w:t>
    </w:r>
    <w:r w:rsidR="00420F04" w:rsidRPr="006B79D0">
      <w:t xml:space="preserve"> </w:t>
    </w:r>
    <w:r w:rsidRPr="006B79D0">
      <w:t>(SATISFACTION ÉQUITABLE)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7100AD" w:rsidRDefault="00420F04" w:rsidP="00420F04">
    <w:pPr>
      <w:pStyle w:val="JuHeader"/>
    </w:pPr>
    <w:r>
      <w:tab/>
    </w:r>
    <w:r w:rsidRPr="006B79D0">
      <w:t xml:space="preserve">ARRÊT </w:t>
    </w:r>
    <w:r w:rsidR="006B79D0" w:rsidRPr="006B79D0">
      <w:t>VOLCHKOVA ET MIRONOV c. RUSSIE</w:t>
    </w:r>
    <w:r w:rsidRPr="006B79D0">
      <w:t xml:space="preserve"> </w:t>
    </w:r>
    <w:r w:rsidR="006B79D0" w:rsidRPr="006B79D0">
      <w:t>(SATISFACTION ÉQUITABLE)</w:t>
    </w:r>
    <w:r w:rsidRPr="007100AD">
      <w:tab/>
    </w:r>
    <w:r w:rsidR="006B79D0">
      <w:rPr>
        <w:rStyle w:val="aff7"/>
        <w:lang w:val="en-GB"/>
      </w:rPr>
      <w:fldChar w:fldCharType="begin"/>
    </w:r>
    <w:r w:rsidR="006B79D0" w:rsidRPr="006B79D0">
      <w:rPr>
        <w:rStyle w:val="aff7"/>
      </w:rPr>
      <w:instrText xml:space="preserve"> PAGE </w:instrText>
    </w:r>
    <w:r w:rsidR="006B79D0">
      <w:rPr>
        <w:rStyle w:val="aff7"/>
        <w:lang w:val="en-GB"/>
      </w:rPr>
      <w:fldChar w:fldCharType="separate"/>
    </w:r>
    <w:r w:rsidR="00373AFD">
      <w:rPr>
        <w:rStyle w:val="aff7"/>
        <w:noProof/>
      </w:rPr>
      <w:t>7</w:t>
    </w:r>
    <w:r w:rsidR="006B79D0">
      <w:rPr>
        <w:rStyle w:val="aff7"/>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DA5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212E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3B35D95"/>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0A56F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5"/>
  </w:num>
  <w:num w:numId="4">
    <w:abstractNumId w:val="11"/>
  </w:num>
  <w:num w:numId="5">
    <w:abstractNumId w:val="10"/>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12"/>
  </w:num>
  <w:num w:numId="21">
    <w:abstractNumId w:val="22"/>
  </w:num>
  <w:num w:numId="22">
    <w:abstractNumId w:val="20"/>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6B79D0"/>
    <w:rsid w:val="000031BA"/>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44C5"/>
    <w:rsid w:val="000E7D45"/>
    <w:rsid w:val="000F7851"/>
    <w:rsid w:val="00104E23"/>
    <w:rsid w:val="00111B0C"/>
    <w:rsid w:val="00120D6C"/>
    <w:rsid w:val="001257EC"/>
    <w:rsid w:val="00127B42"/>
    <w:rsid w:val="00133D33"/>
    <w:rsid w:val="00134D64"/>
    <w:rsid w:val="00135A30"/>
    <w:rsid w:val="0013612C"/>
    <w:rsid w:val="00137FF6"/>
    <w:rsid w:val="00141650"/>
    <w:rsid w:val="001612D5"/>
    <w:rsid w:val="00162A12"/>
    <w:rsid w:val="00166530"/>
    <w:rsid w:val="001832BD"/>
    <w:rsid w:val="001943B5"/>
    <w:rsid w:val="00195134"/>
    <w:rsid w:val="001A145B"/>
    <w:rsid w:val="001A674C"/>
    <w:rsid w:val="001B3B24"/>
    <w:rsid w:val="001C0F98"/>
    <w:rsid w:val="001C2A42"/>
    <w:rsid w:val="001D19C3"/>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0F6"/>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6456"/>
    <w:rsid w:val="00337EE4"/>
    <w:rsid w:val="00340FFD"/>
    <w:rsid w:val="003506B1"/>
    <w:rsid w:val="00356AC7"/>
    <w:rsid w:val="003609FA"/>
    <w:rsid w:val="003710C8"/>
    <w:rsid w:val="00373AFD"/>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60FF3"/>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675CB"/>
    <w:rsid w:val="0057271C"/>
    <w:rsid w:val="00572845"/>
    <w:rsid w:val="00575117"/>
    <w:rsid w:val="00592772"/>
    <w:rsid w:val="0059574A"/>
    <w:rsid w:val="005A1B9B"/>
    <w:rsid w:val="005A4176"/>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6F82"/>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9D0"/>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27D7"/>
    <w:rsid w:val="007850EE"/>
    <w:rsid w:val="00785B95"/>
    <w:rsid w:val="00790E96"/>
    <w:rsid w:val="00793366"/>
    <w:rsid w:val="007A6695"/>
    <w:rsid w:val="007A716F"/>
    <w:rsid w:val="007B270A"/>
    <w:rsid w:val="007C0149"/>
    <w:rsid w:val="007C0695"/>
    <w:rsid w:val="007C419A"/>
    <w:rsid w:val="007C4CC8"/>
    <w:rsid w:val="007C5426"/>
    <w:rsid w:val="007C5798"/>
    <w:rsid w:val="007D4832"/>
    <w:rsid w:val="007E2192"/>
    <w:rsid w:val="007E21B2"/>
    <w:rsid w:val="007E2C4E"/>
    <w:rsid w:val="007F1905"/>
    <w:rsid w:val="007F2D18"/>
    <w:rsid w:val="00801300"/>
    <w:rsid w:val="00802C64"/>
    <w:rsid w:val="00805E52"/>
    <w:rsid w:val="008061D0"/>
    <w:rsid w:val="00810B38"/>
    <w:rsid w:val="008204C7"/>
    <w:rsid w:val="00820992"/>
    <w:rsid w:val="00823602"/>
    <w:rsid w:val="00824AFB"/>
    <w:rsid w:val="008255F5"/>
    <w:rsid w:val="0083014E"/>
    <w:rsid w:val="0083214A"/>
    <w:rsid w:val="00834220"/>
    <w:rsid w:val="00845723"/>
    <w:rsid w:val="00851EF9"/>
    <w:rsid w:val="008577FD"/>
    <w:rsid w:val="00860B03"/>
    <w:rsid w:val="0086497A"/>
    <w:rsid w:val="008713A1"/>
    <w:rsid w:val="008754AB"/>
    <w:rsid w:val="008802A9"/>
    <w:rsid w:val="0088060C"/>
    <w:rsid w:val="0088526A"/>
    <w:rsid w:val="00893576"/>
    <w:rsid w:val="00893E73"/>
    <w:rsid w:val="008B02DC"/>
    <w:rsid w:val="008B57CE"/>
    <w:rsid w:val="008C26DE"/>
    <w:rsid w:val="008D2225"/>
    <w:rsid w:val="008D4752"/>
    <w:rsid w:val="008E271C"/>
    <w:rsid w:val="008E418E"/>
    <w:rsid w:val="008E5BC6"/>
    <w:rsid w:val="008E6A25"/>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A39C8"/>
    <w:rsid w:val="009B1B5F"/>
    <w:rsid w:val="009B6673"/>
    <w:rsid w:val="009C191B"/>
    <w:rsid w:val="009C2BD6"/>
    <w:rsid w:val="009E1F32"/>
    <w:rsid w:val="009E4EFC"/>
    <w:rsid w:val="009E776C"/>
    <w:rsid w:val="009F65DC"/>
    <w:rsid w:val="00A1726E"/>
    <w:rsid w:val="00A204CF"/>
    <w:rsid w:val="00A23D49"/>
    <w:rsid w:val="00A242AC"/>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3ABA"/>
    <w:rsid w:val="00AD4891"/>
    <w:rsid w:val="00AD5698"/>
    <w:rsid w:val="00AE0A2E"/>
    <w:rsid w:val="00AE354C"/>
    <w:rsid w:val="00AF4B07"/>
    <w:rsid w:val="00AF6186"/>
    <w:rsid w:val="00AF7A3A"/>
    <w:rsid w:val="00B160DB"/>
    <w:rsid w:val="00B20836"/>
    <w:rsid w:val="00B235BB"/>
    <w:rsid w:val="00B27A44"/>
    <w:rsid w:val="00B30BBF"/>
    <w:rsid w:val="00B33C03"/>
    <w:rsid w:val="00B356FD"/>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5E5"/>
    <w:rsid w:val="00CB2951"/>
    <w:rsid w:val="00CD282B"/>
    <w:rsid w:val="00CD4C35"/>
    <w:rsid w:val="00CD7369"/>
    <w:rsid w:val="00CE0B0E"/>
    <w:rsid w:val="00CE3831"/>
    <w:rsid w:val="00CF3DC2"/>
    <w:rsid w:val="00D00ABB"/>
    <w:rsid w:val="00D02EEC"/>
    <w:rsid w:val="00D03551"/>
    <w:rsid w:val="00D06A63"/>
    <w:rsid w:val="00D07E0E"/>
    <w:rsid w:val="00D11478"/>
    <w:rsid w:val="00D15ED0"/>
    <w:rsid w:val="00D20A92"/>
    <w:rsid w:val="00D21B3E"/>
    <w:rsid w:val="00D21FED"/>
    <w:rsid w:val="00D24251"/>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3A65"/>
    <w:rsid w:val="00DE4D35"/>
    <w:rsid w:val="00DE76CD"/>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185E"/>
    <w:rsid w:val="00EA4BD7"/>
    <w:rsid w:val="00EA592A"/>
    <w:rsid w:val="00EA7B58"/>
    <w:rsid w:val="00EB14E4"/>
    <w:rsid w:val="00EB32A5"/>
    <w:rsid w:val="00EB34ED"/>
    <w:rsid w:val="00EB7BE0"/>
    <w:rsid w:val="00EC315E"/>
    <w:rsid w:val="00EC69C0"/>
    <w:rsid w:val="00ED077C"/>
    <w:rsid w:val="00ED1190"/>
    <w:rsid w:val="00ED6544"/>
    <w:rsid w:val="00EE0277"/>
    <w:rsid w:val="00EE3E00"/>
    <w:rsid w:val="00EE5DD2"/>
    <w:rsid w:val="00EF53E3"/>
    <w:rsid w:val="00F00A79"/>
    <w:rsid w:val="00F00E86"/>
    <w:rsid w:val="00F07C1E"/>
    <w:rsid w:val="00F105DB"/>
    <w:rsid w:val="00F132BC"/>
    <w:rsid w:val="00F13D80"/>
    <w:rsid w:val="00F16AAA"/>
    <w:rsid w:val="00F21161"/>
    <w:rsid w:val="00F218EF"/>
    <w:rsid w:val="00F21BC7"/>
    <w:rsid w:val="00F266A2"/>
    <w:rsid w:val="00F32269"/>
    <w:rsid w:val="00F5432B"/>
    <w:rsid w:val="00F56A6F"/>
    <w:rsid w:val="00F5709C"/>
    <w:rsid w:val="00F64EF1"/>
    <w:rsid w:val="00F8765F"/>
    <w:rsid w:val="00F90767"/>
    <w:rsid w:val="00F93802"/>
    <w:rsid w:val="00FA685B"/>
    <w:rsid w:val="00FB0C01"/>
    <w:rsid w:val="00FC18F2"/>
    <w:rsid w:val="00FC39E5"/>
    <w:rsid w:val="00FC3A78"/>
    <w:rsid w:val="00FD1005"/>
    <w:rsid w:val="00FD42BF"/>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F93802"/>
    <w:rPr>
      <w:rFonts w:eastAsiaTheme="minorEastAsia"/>
      <w:sz w:val="24"/>
      <w:lang w:val="fr-FR"/>
    </w:rPr>
  </w:style>
  <w:style w:type="paragraph" w:styleId="1">
    <w:name w:val="heading 1"/>
    <w:basedOn w:val="a2"/>
    <w:next w:val="a2"/>
    <w:link w:val="10"/>
    <w:uiPriority w:val="99"/>
    <w:semiHidden/>
    <w:rsid w:val="00F93802"/>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F93802"/>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F93802"/>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F93802"/>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F93802"/>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F9380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F93802"/>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F93802"/>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F93802"/>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F93802"/>
    <w:rPr>
      <w:rFonts w:ascii="Tahoma" w:hAnsi="Tahoma" w:cs="Tahoma"/>
      <w:sz w:val="16"/>
      <w:szCs w:val="16"/>
    </w:rPr>
  </w:style>
  <w:style w:type="character" w:customStyle="1" w:styleId="a7">
    <w:name w:val="Текст выноски Знак"/>
    <w:basedOn w:val="a3"/>
    <w:link w:val="a6"/>
    <w:uiPriority w:val="99"/>
    <w:semiHidden/>
    <w:rsid w:val="00F93802"/>
    <w:rPr>
      <w:rFonts w:ascii="Tahoma" w:eastAsiaTheme="minorEastAsia" w:hAnsi="Tahoma" w:cs="Tahoma"/>
      <w:sz w:val="16"/>
      <w:szCs w:val="16"/>
      <w:lang w:val="fr-FR"/>
    </w:rPr>
  </w:style>
  <w:style w:type="character" w:styleId="a8">
    <w:name w:val="Book Title"/>
    <w:uiPriority w:val="99"/>
    <w:semiHidden/>
    <w:qFormat/>
    <w:rsid w:val="00F93802"/>
    <w:rPr>
      <w:i/>
      <w:iCs/>
      <w:smallCaps/>
      <w:spacing w:val="5"/>
    </w:rPr>
  </w:style>
  <w:style w:type="paragraph" w:customStyle="1" w:styleId="JuHeader">
    <w:name w:val="Ju_Header"/>
    <w:aliases w:val="_Header,ECHR_Header"/>
    <w:basedOn w:val="a9"/>
    <w:uiPriority w:val="4"/>
    <w:qFormat/>
    <w:rsid w:val="00F93802"/>
    <w:pPr>
      <w:tabs>
        <w:tab w:val="clear" w:pos="4536"/>
        <w:tab w:val="clear" w:pos="9072"/>
        <w:tab w:val="center" w:pos="3686"/>
        <w:tab w:val="right" w:pos="7371"/>
      </w:tabs>
    </w:pPr>
    <w:rPr>
      <w:sz w:val="18"/>
    </w:rPr>
  </w:style>
  <w:style w:type="paragraph" w:customStyle="1" w:styleId="NormalJustified">
    <w:name w:val="Normal_Justified"/>
    <w:basedOn w:val="a2"/>
    <w:semiHidden/>
    <w:rsid w:val="00F93802"/>
    <w:pPr>
      <w:jc w:val="both"/>
    </w:pPr>
  </w:style>
  <w:style w:type="character" w:styleId="aa">
    <w:name w:val="Strong"/>
    <w:uiPriority w:val="99"/>
    <w:semiHidden/>
    <w:qFormat/>
    <w:rsid w:val="00F93802"/>
    <w:rPr>
      <w:b/>
      <w:bCs/>
    </w:rPr>
  </w:style>
  <w:style w:type="paragraph" w:styleId="ab">
    <w:name w:val="No Spacing"/>
    <w:basedOn w:val="a2"/>
    <w:link w:val="ac"/>
    <w:semiHidden/>
    <w:qFormat/>
    <w:rsid w:val="00F93802"/>
  </w:style>
  <w:style w:type="character" w:customStyle="1" w:styleId="ac">
    <w:name w:val="Без интервала Знак"/>
    <w:basedOn w:val="a3"/>
    <w:link w:val="ab"/>
    <w:semiHidden/>
    <w:rsid w:val="00F93802"/>
    <w:rPr>
      <w:rFonts w:eastAsiaTheme="minorEastAsia"/>
      <w:sz w:val="24"/>
      <w:lang w:val="fr-FR"/>
    </w:rPr>
  </w:style>
  <w:style w:type="paragraph" w:customStyle="1" w:styleId="JuQuot">
    <w:name w:val="Ju_Quot"/>
    <w:aliases w:val="_Quote,ECHR_Para_Quote"/>
    <w:basedOn w:val="NormalJustified"/>
    <w:uiPriority w:val="14"/>
    <w:qFormat/>
    <w:rsid w:val="00F93802"/>
    <w:pPr>
      <w:spacing w:before="120" w:after="120"/>
      <w:ind w:left="425" w:firstLine="142"/>
    </w:pPr>
    <w:rPr>
      <w:sz w:val="20"/>
    </w:rPr>
  </w:style>
  <w:style w:type="paragraph" w:customStyle="1" w:styleId="DecList">
    <w:name w:val="Dec_List"/>
    <w:aliases w:val="_List"/>
    <w:basedOn w:val="JuList"/>
    <w:uiPriority w:val="9"/>
    <w:qFormat/>
    <w:rsid w:val="00F93802"/>
    <w:pPr>
      <w:numPr>
        <w:numId w:val="0"/>
      </w:numPr>
      <w:ind w:left="340"/>
    </w:pPr>
  </w:style>
  <w:style w:type="paragraph" w:customStyle="1" w:styleId="JuList">
    <w:name w:val="Ju_List"/>
    <w:aliases w:val="_List_1"/>
    <w:basedOn w:val="NormalJustified"/>
    <w:uiPriority w:val="28"/>
    <w:qFormat/>
    <w:rsid w:val="00F93802"/>
    <w:pPr>
      <w:numPr>
        <w:numId w:val="2"/>
      </w:numPr>
      <w:spacing w:before="280" w:after="60"/>
    </w:pPr>
    <w:rPr>
      <w:rFonts w:eastAsiaTheme="minorHAnsi"/>
    </w:rPr>
  </w:style>
  <w:style w:type="paragraph" w:customStyle="1" w:styleId="JuLista">
    <w:name w:val="Ju_List_a"/>
    <w:aliases w:val="_List_2"/>
    <w:basedOn w:val="NormalJustified"/>
    <w:uiPriority w:val="28"/>
    <w:qFormat/>
    <w:rsid w:val="00F93802"/>
    <w:pPr>
      <w:numPr>
        <w:ilvl w:val="1"/>
        <w:numId w:val="2"/>
      </w:numPr>
    </w:pPr>
  </w:style>
  <w:style w:type="paragraph" w:customStyle="1" w:styleId="JuListi">
    <w:name w:val="Ju_List_i"/>
    <w:aliases w:val="_List_3"/>
    <w:basedOn w:val="NormalJustified"/>
    <w:uiPriority w:val="28"/>
    <w:qFormat/>
    <w:rsid w:val="00F93802"/>
    <w:pPr>
      <w:numPr>
        <w:ilvl w:val="2"/>
        <w:numId w:val="2"/>
      </w:numPr>
    </w:pPr>
  </w:style>
  <w:style w:type="paragraph" w:customStyle="1" w:styleId="JuHArticle">
    <w:name w:val="Ju_H_Article"/>
    <w:aliases w:val="_Title_Quote,ECHR_Title_Centre_3"/>
    <w:basedOn w:val="a2"/>
    <w:next w:val="JuQuot"/>
    <w:uiPriority w:val="27"/>
    <w:qFormat/>
    <w:rsid w:val="00F93802"/>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30"/>
    <w:qFormat/>
    <w:rsid w:val="00F93802"/>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7"/>
    <w:qFormat/>
    <w:rsid w:val="00F93802"/>
    <w:pPr>
      <w:keepNext/>
      <w:keepLines/>
      <w:spacing w:after="240"/>
      <w:ind w:firstLine="0"/>
      <w:jc w:val="center"/>
      <w:outlineLvl w:val="0"/>
    </w:pPr>
    <w:rPr>
      <w:rFonts w:asciiTheme="majorHAnsi" w:hAnsiTheme="majorHAnsi"/>
      <w:sz w:val="28"/>
    </w:rPr>
  </w:style>
  <w:style w:type="paragraph" w:customStyle="1" w:styleId="JuHHead">
    <w:name w:val="Ju_H_Head"/>
    <w:aliases w:val="_Head_1,ECHR_Title_1"/>
    <w:basedOn w:val="a2"/>
    <w:next w:val="JuPara"/>
    <w:uiPriority w:val="18"/>
    <w:qFormat/>
    <w:rsid w:val="00F93802"/>
    <w:pPr>
      <w:keepNext/>
      <w:keepLines/>
      <w:numPr>
        <w:numId w:val="1"/>
      </w:numPr>
      <w:spacing w:before="100" w:beforeAutospacing="1" w:after="240"/>
      <w:jc w:val="both"/>
      <w:outlineLvl w:val="0"/>
    </w:pPr>
    <w:rPr>
      <w:caps/>
      <w:sz w:val="28"/>
    </w:rPr>
  </w:style>
  <w:style w:type="paragraph" w:customStyle="1" w:styleId="JuTitle">
    <w:name w:val="Ju_Title"/>
    <w:aliases w:val="_Title_2"/>
    <w:basedOn w:val="a2"/>
    <w:next w:val="JuPara"/>
    <w:uiPriority w:val="3"/>
    <w:qFormat/>
    <w:rsid w:val="00F93802"/>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F93802"/>
    <w:pPr>
      <w:keepNext/>
      <w:keepLines/>
      <w:tabs>
        <w:tab w:val="right" w:pos="7938"/>
      </w:tabs>
      <w:ind w:firstLine="0"/>
      <w:jc w:val="center"/>
    </w:pPr>
    <w:rPr>
      <w:rFonts w:eastAsiaTheme="minorHAnsi"/>
      <w:i/>
    </w:rPr>
  </w:style>
  <w:style w:type="paragraph" w:styleId="ad">
    <w:name w:val="Title"/>
    <w:basedOn w:val="a2"/>
    <w:next w:val="a2"/>
    <w:link w:val="ae"/>
    <w:uiPriority w:val="99"/>
    <w:semiHidden/>
    <w:qFormat/>
    <w:rsid w:val="00F9380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F93802"/>
    <w:rPr>
      <w:rFonts w:asciiTheme="majorHAnsi" w:eastAsiaTheme="majorEastAsia" w:hAnsiTheme="majorHAnsi" w:cstheme="majorBidi"/>
      <w:spacing w:val="5"/>
      <w:sz w:val="52"/>
      <w:szCs w:val="52"/>
      <w:lang w:val="fr-FR" w:bidi="en-US"/>
    </w:rPr>
  </w:style>
  <w:style w:type="numbering" w:customStyle="1" w:styleId="ECHRA1StyleBulletedSquare">
    <w:name w:val="ECHR_A1_Style_Bulleted_Square"/>
    <w:basedOn w:val="a5"/>
    <w:rsid w:val="00F93802"/>
    <w:pPr>
      <w:numPr>
        <w:numId w:val="6"/>
      </w:numPr>
    </w:pPr>
  </w:style>
  <w:style w:type="numbering" w:customStyle="1" w:styleId="ECHRA1StyleList">
    <w:name w:val="ECHR_A1_Style_List"/>
    <w:basedOn w:val="a5"/>
    <w:uiPriority w:val="99"/>
    <w:rsid w:val="00F93802"/>
    <w:pPr>
      <w:numPr>
        <w:numId w:val="7"/>
      </w:numPr>
    </w:pPr>
  </w:style>
  <w:style w:type="numbering" w:customStyle="1" w:styleId="ECHRA1StyleNumberedList">
    <w:name w:val="ECHR_A1_Style_Numbered_List"/>
    <w:basedOn w:val="a5"/>
    <w:rsid w:val="00F93802"/>
    <w:pPr>
      <w:numPr>
        <w:numId w:val="8"/>
      </w:numPr>
    </w:pPr>
  </w:style>
  <w:style w:type="table" w:customStyle="1" w:styleId="ECHRTable2019">
    <w:name w:val="ECHR_Table_2019"/>
    <w:basedOn w:val="a4"/>
    <w:uiPriority w:val="99"/>
    <w:rsid w:val="00F93802"/>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F93802"/>
    <w:rPr>
      <w:sz w:val="8"/>
    </w:rPr>
  </w:style>
  <w:style w:type="paragraph" w:customStyle="1" w:styleId="JuHIRoman">
    <w:name w:val="Ju_H_I_Roman"/>
    <w:aliases w:val="_Head_2,ECHR_Heading_1"/>
    <w:basedOn w:val="a2"/>
    <w:next w:val="JuPara"/>
    <w:uiPriority w:val="19"/>
    <w:qFormat/>
    <w:rsid w:val="00F93802"/>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a2"/>
    <w:next w:val="JuPara"/>
    <w:uiPriority w:val="20"/>
    <w:qFormat/>
    <w:rsid w:val="00F93802"/>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a2"/>
    <w:next w:val="JuPara"/>
    <w:uiPriority w:val="21"/>
    <w:qFormat/>
    <w:rsid w:val="00F93802"/>
    <w:pPr>
      <w:keepNext/>
      <w:keepLines/>
      <w:numPr>
        <w:ilvl w:val="3"/>
        <w:numId w:val="1"/>
      </w:numPr>
      <w:spacing w:before="100" w:beforeAutospacing="1" w:after="120"/>
      <w:jc w:val="both"/>
      <w:outlineLvl w:val="3"/>
    </w:pPr>
    <w:rPr>
      <w:i/>
    </w:rPr>
  </w:style>
  <w:style w:type="paragraph" w:styleId="a9">
    <w:name w:val="header"/>
    <w:basedOn w:val="a2"/>
    <w:link w:val="af0"/>
    <w:uiPriority w:val="57"/>
    <w:semiHidden/>
    <w:rsid w:val="00F93802"/>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F93802"/>
    <w:rPr>
      <w:sz w:val="24"/>
      <w:lang w:val="fr-FR"/>
    </w:rPr>
  </w:style>
  <w:style w:type="character" w:customStyle="1" w:styleId="10">
    <w:name w:val="Заголовок 1 Знак"/>
    <w:basedOn w:val="a3"/>
    <w:link w:val="1"/>
    <w:uiPriority w:val="99"/>
    <w:semiHidden/>
    <w:rsid w:val="00F93802"/>
    <w:rPr>
      <w:rFonts w:asciiTheme="majorHAnsi" w:eastAsiaTheme="majorEastAsia" w:hAnsiTheme="majorHAnsi" w:cstheme="majorBidi"/>
      <w:b/>
      <w:bCs/>
      <w:color w:val="333333"/>
      <w:sz w:val="28"/>
      <w:szCs w:val="28"/>
      <w:lang w:val="fr-FR"/>
    </w:rPr>
  </w:style>
  <w:style w:type="paragraph" w:customStyle="1" w:styleId="JuHa0">
    <w:name w:val="Ju_H_a"/>
    <w:aliases w:val="_Head_5,ECHR_Heading_4"/>
    <w:basedOn w:val="a2"/>
    <w:next w:val="JuPara"/>
    <w:uiPriority w:val="22"/>
    <w:qFormat/>
    <w:rsid w:val="00F93802"/>
    <w:pPr>
      <w:keepNext/>
      <w:keepLines/>
      <w:numPr>
        <w:ilvl w:val="4"/>
        <w:numId w:val="1"/>
      </w:numPr>
      <w:spacing w:before="100" w:beforeAutospacing="1" w:after="120"/>
      <w:jc w:val="both"/>
      <w:outlineLvl w:val="4"/>
    </w:pPr>
    <w:rPr>
      <w:b/>
      <w:sz w:val="20"/>
    </w:rPr>
  </w:style>
  <w:style w:type="paragraph" w:customStyle="1" w:styleId="JuHi">
    <w:name w:val="Ju_H_i"/>
    <w:aliases w:val="_Head_6,ECHR_Heading_5"/>
    <w:basedOn w:val="a2"/>
    <w:next w:val="JuPara"/>
    <w:uiPriority w:val="23"/>
    <w:qFormat/>
    <w:rsid w:val="00F93802"/>
    <w:pPr>
      <w:keepNext/>
      <w:keepLines/>
      <w:numPr>
        <w:ilvl w:val="5"/>
        <w:numId w:val="1"/>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F93802"/>
    <w:rPr>
      <w:rFonts w:asciiTheme="majorHAnsi" w:eastAsiaTheme="majorEastAsia" w:hAnsiTheme="majorHAnsi" w:cstheme="majorBidi"/>
      <w:b/>
      <w:bCs/>
      <w:color w:val="4D4D4D"/>
      <w:sz w:val="26"/>
      <w:szCs w:val="26"/>
      <w:lang w:val="fr-FR"/>
    </w:rPr>
  </w:style>
  <w:style w:type="paragraph" w:customStyle="1" w:styleId="JuHalpha">
    <w:name w:val="Ju_H_alpha"/>
    <w:aliases w:val="_Head_7,ECHR_Heading_6"/>
    <w:basedOn w:val="a2"/>
    <w:next w:val="JuPara"/>
    <w:uiPriority w:val="24"/>
    <w:qFormat/>
    <w:rsid w:val="00F93802"/>
    <w:pPr>
      <w:keepNext/>
      <w:keepLines/>
      <w:numPr>
        <w:ilvl w:val="6"/>
        <w:numId w:val="1"/>
      </w:numPr>
      <w:spacing w:before="100" w:beforeAutospacing="1" w:after="120"/>
      <w:jc w:val="both"/>
      <w:outlineLvl w:val="6"/>
    </w:pPr>
    <w:rPr>
      <w:sz w:val="20"/>
    </w:rPr>
  </w:style>
  <w:style w:type="paragraph" w:customStyle="1" w:styleId="JuH">
    <w:name w:val="Ju_H_–"/>
    <w:aliases w:val="_Head_8,ECHR_Heading_7"/>
    <w:basedOn w:val="a2"/>
    <w:next w:val="JuPara"/>
    <w:uiPriority w:val="25"/>
    <w:qFormat/>
    <w:rsid w:val="00F93802"/>
    <w:pPr>
      <w:keepNext/>
      <w:keepLines/>
      <w:numPr>
        <w:ilvl w:val="7"/>
        <w:numId w:val="1"/>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F93802"/>
    <w:rPr>
      <w:rFonts w:asciiTheme="majorHAnsi" w:eastAsiaTheme="majorEastAsia" w:hAnsiTheme="majorHAnsi" w:cstheme="majorBidi"/>
      <w:b/>
      <w:bCs/>
      <w:color w:val="5F5F5F"/>
      <w:sz w:val="24"/>
      <w:lang w:val="fr-FR"/>
    </w:rPr>
  </w:style>
  <w:style w:type="paragraph" w:customStyle="1" w:styleId="JuCourt">
    <w:name w:val="Ju_Court"/>
    <w:basedOn w:val="a2"/>
    <w:next w:val="a2"/>
    <w:uiPriority w:val="16"/>
    <w:qFormat/>
    <w:rsid w:val="00F9380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a2"/>
    <w:uiPriority w:val="31"/>
    <w:qFormat/>
    <w:rsid w:val="00F93802"/>
    <w:pPr>
      <w:tabs>
        <w:tab w:val="center" w:pos="6407"/>
      </w:tabs>
      <w:spacing w:before="720"/>
      <w:jc w:val="right"/>
    </w:pPr>
  </w:style>
  <w:style w:type="character" w:customStyle="1" w:styleId="42">
    <w:name w:val="Заголовок 4 Знак"/>
    <w:basedOn w:val="a3"/>
    <w:link w:val="41"/>
    <w:uiPriority w:val="99"/>
    <w:semiHidden/>
    <w:rsid w:val="00F93802"/>
    <w:rPr>
      <w:rFonts w:asciiTheme="majorHAnsi" w:eastAsiaTheme="majorEastAsia" w:hAnsiTheme="majorHAnsi" w:cstheme="majorBidi"/>
      <w:b/>
      <w:bCs/>
      <w:i/>
      <w:iCs/>
      <w:color w:val="777777"/>
      <w:sz w:val="24"/>
      <w:lang w:val="fr-FR"/>
    </w:rPr>
  </w:style>
  <w:style w:type="character" w:customStyle="1" w:styleId="JuITMark">
    <w:name w:val="Ju_ITMark"/>
    <w:basedOn w:val="a3"/>
    <w:uiPriority w:val="38"/>
    <w:qFormat/>
    <w:rsid w:val="00F93802"/>
    <w:rPr>
      <w:vanish w:val="0"/>
      <w:color w:val="auto"/>
      <w:sz w:val="14"/>
      <w:bdr w:val="none" w:sz="0" w:space="0" w:color="auto"/>
      <w:shd w:val="clear" w:color="auto" w:fill="BEE5FF" w:themeFill="background1" w:themeFillTint="33"/>
    </w:rPr>
  </w:style>
  <w:style w:type="character" w:customStyle="1" w:styleId="52">
    <w:name w:val="Заголовок 5 Знак"/>
    <w:basedOn w:val="a3"/>
    <w:link w:val="51"/>
    <w:uiPriority w:val="99"/>
    <w:semiHidden/>
    <w:rsid w:val="00F93802"/>
    <w:rPr>
      <w:rFonts w:asciiTheme="majorHAnsi" w:eastAsiaTheme="majorEastAsia" w:hAnsiTheme="majorHAnsi" w:cstheme="majorBidi"/>
      <w:b/>
      <w:bCs/>
      <w:color w:val="808080"/>
      <w:sz w:val="24"/>
      <w:lang w:val="fr-FR"/>
    </w:rPr>
  </w:style>
  <w:style w:type="character" w:customStyle="1" w:styleId="JUNAMES">
    <w:name w:val="JU_NAMES"/>
    <w:uiPriority w:val="17"/>
    <w:qFormat/>
    <w:rsid w:val="00F93802"/>
    <w:rPr>
      <w:caps w:val="0"/>
      <w:smallCaps/>
    </w:rPr>
  </w:style>
  <w:style w:type="paragraph" w:customStyle="1" w:styleId="JuSigned">
    <w:name w:val="Ju_Signed"/>
    <w:aliases w:val="_Signature"/>
    <w:basedOn w:val="a2"/>
    <w:next w:val="JuPara"/>
    <w:uiPriority w:val="32"/>
    <w:qFormat/>
    <w:rsid w:val="00F93802"/>
    <w:pPr>
      <w:tabs>
        <w:tab w:val="center" w:pos="851"/>
        <w:tab w:val="center" w:pos="6407"/>
      </w:tabs>
      <w:spacing w:before="720"/>
    </w:pPr>
  </w:style>
  <w:style w:type="character" w:styleId="af1">
    <w:name w:val="Subtle Emphasis"/>
    <w:uiPriority w:val="99"/>
    <w:semiHidden/>
    <w:qFormat/>
    <w:rsid w:val="00F93802"/>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F9380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af2">
    <w:name w:val="Subtitle"/>
    <w:basedOn w:val="a2"/>
    <w:next w:val="a2"/>
    <w:link w:val="af3"/>
    <w:uiPriority w:val="99"/>
    <w:semiHidden/>
    <w:qFormat/>
    <w:rsid w:val="00F93802"/>
    <w:pPr>
      <w:spacing w:after="600"/>
    </w:pPr>
    <w:rPr>
      <w:rFonts w:asciiTheme="majorHAnsi" w:eastAsiaTheme="majorEastAsia" w:hAnsiTheme="majorHAnsi" w:cstheme="majorBidi"/>
      <w:i/>
      <w:iCs/>
      <w:spacing w:val="13"/>
      <w:szCs w:val="24"/>
      <w:lang w:bidi="en-US"/>
    </w:rPr>
  </w:style>
  <w:style w:type="character" w:styleId="af4">
    <w:name w:val="Emphasis"/>
    <w:uiPriority w:val="99"/>
    <w:semiHidden/>
    <w:qFormat/>
    <w:rsid w:val="00F93802"/>
    <w:rPr>
      <w:b/>
      <w:bCs/>
      <w:i/>
      <w:iCs/>
      <w:spacing w:val="10"/>
      <w:bdr w:val="none" w:sz="0" w:space="0" w:color="auto"/>
      <w:shd w:val="clear" w:color="auto" w:fill="auto"/>
    </w:rPr>
  </w:style>
  <w:style w:type="paragraph" w:styleId="af">
    <w:name w:val="footer"/>
    <w:basedOn w:val="a2"/>
    <w:link w:val="af5"/>
    <w:uiPriority w:val="57"/>
    <w:semiHidden/>
    <w:rsid w:val="00F93802"/>
    <w:pPr>
      <w:tabs>
        <w:tab w:val="center" w:pos="4536"/>
        <w:tab w:val="right" w:pos="9696"/>
      </w:tabs>
      <w:ind w:left="-680" w:right="-680"/>
    </w:pPr>
    <w:rPr>
      <w:rFonts w:eastAsiaTheme="minorHAnsi"/>
    </w:rPr>
  </w:style>
  <w:style w:type="character" w:customStyle="1" w:styleId="af5">
    <w:name w:val="Нижний колонтитул Знак"/>
    <w:basedOn w:val="a3"/>
    <w:link w:val="af"/>
    <w:uiPriority w:val="57"/>
    <w:semiHidden/>
    <w:rsid w:val="00F93802"/>
    <w:rPr>
      <w:sz w:val="24"/>
      <w:lang w:val="fr-FR"/>
    </w:rPr>
  </w:style>
  <w:style w:type="character" w:styleId="af6">
    <w:name w:val="footnote reference"/>
    <w:basedOn w:val="a3"/>
    <w:uiPriority w:val="99"/>
    <w:semiHidden/>
    <w:rsid w:val="00F93802"/>
    <w:rPr>
      <w:vertAlign w:val="superscript"/>
    </w:rPr>
  </w:style>
  <w:style w:type="paragraph" w:styleId="af7">
    <w:name w:val="footnote text"/>
    <w:basedOn w:val="a2"/>
    <w:link w:val="af8"/>
    <w:uiPriority w:val="99"/>
    <w:semiHidden/>
    <w:rsid w:val="00F93802"/>
    <w:rPr>
      <w:sz w:val="20"/>
      <w:szCs w:val="20"/>
    </w:rPr>
  </w:style>
  <w:style w:type="character" w:customStyle="1" w:styleId="af8">
    <w:name w:val="Текст сноски Знак"/>
    <w:basedOn w:val="a3"/>
    <w:link w:val="af7"/>
    <w:uiPriority w:val="99"/>
    <w:semiHidden/>
    <w:rsid w:val="00F93802"/>
    <w:rPr>
      <w:rFonts w:eastAsiaTheme="minorEastAsia"/>
      <w:sz w:val="20"/>
      <w:szCs w:val="20"/>
      <w:lang w:val="fr-FR"/>
    </w:rPr>
  </w:style>
  <w:style w:type="character" w:customStyle="1" w:styleId="60">
    <w:name w:val="Заголовок 6 Знак"/>
    <w:basedOn w:val="a3"/>
    <w:link w:val="6"/>
    <w:uiPriority w:val="99"/>
    <w:semiHidden/>
    <w:rsid w:val="00F93802"/>
    <w:rPr>
      <w:rFonts w:asciiTheme="majorHAnsi" w:eastAsiaTheme="majorEastAsia" w:hAnsiTheme="majorHAnsi" w:cstheme="majorBidi"/>
      <w:b/>
      <w:bCs/>
      <w:i/>
      <w:iCs/>
      <w:color w:val="7F7F7F" w:themeColor="text1" w:themeTint="80"/>
      <w:sz w:val="24"/>
      <w:lang w:val="fr-FR" w:bidi="en-US"/>
    </w:rPr>
  </w:style>
  <w:style w:type="character" w:customStyle="1" w:styleId="70">
    <w:name w:val="Заголовок 7 Знак"/>
    <w:basedOn w:val="a3"/>
    <w:link w:val="7"/>
    <w:uiPriority w:val="99"/>
    <w:semiHidden/>
    <w:rsid w:val="00F93802"/>
    <w:rPr>
      <w:rFonts w:asciiTheme="majorHAnsi" w:eastAsiaTheme="majorEastAsia" w:hAnsiTheme="majorHAnsi" w:cstheme="majorBidi"/>
      <w:i/>
      <w:iCs/>
      <w:sz w:val="24"/>
      <w:lang w:val="fr-FR" w:bidi="en-US"/>
    </w:rPr>
  </w:style>
  <w:style w:type="character" w:customStyle="1" w:styleId="80">
    <w:name w:val="Заголовок 8 Знак"/>
    <w:basedOn w:val="a3"/>
    <w:link w:val="8"/>
    <w:uiPriority w:val="99"/>
    <w:semiHidden/>
    <w:rsid w:val="00F93802"/>
    <w:rPr>
      <w:rFonts w:asciiTheme="majorHAnsi" w:eastAsiaTheme="majorEastAsia" w:hAnsiTheme="majorHAnsi" w:cstheme="majorBidi"/>
      <w:sz w:val="20"/>
      <w:szCs w:val="20"/>
      <w:lang w:val="fr-FR" w:bidi="en-US"/>
    </w:rPr>
  </w:style>
  <w:style w:type="character" w:customStyle="1" w:styleId="90">
    <w:name w:val="Заголовок 9 Знак"/>
    <w:basedOn w:val="a3"/>
    <w:link w:val="9"/>
    <w:uiPriority w:val="99"/>
    <w:semiHidden/>
    <w:rsid w:val="00F93802"/>
    <w:rPr>
      <w:rFonts w:asciiTheme="majorHAnsi" w:eastAsiaTheme="majorEastAsia" w:hAnsiTheme="majorHAnsi" w:cstheme="majorBidi"/>
      <w:i/>
      <w:iCs/>
      <w:spacing w:val="5"/>
      <w:sz w:val="20"/>
      <w:szCs w:val="20"/>
      <w:lang w:val="fr-FR" w:bidi="en-US"/>
    </w:rPr>
  </w:style>
  <w:style w:type="character" w:styleId="af9">
    <w:name w:val="Hyperlink"/>
    <w:basedOn w:val="a3"/>
    <w:uiPriority w:val="99"/>
    <w:semiHidden/>
    <w:rsid w:val="00F93802"/>
    <w:rPr>
      <w:color w:val="0072BC" w:themeColor="hyperlink"/>
      <w:u w:val="single"/>
    </w:rPr>
  </w:style>
  <w:style w:type="character" w:styleId="afa">
    <w:name w:val="Intense Emphasis"/>
    <w:uiPriority w:val="99"/>
    <w:semiHidden/>
    <w:qFormat/>
    <w:rsid w:val="00F93802"/>
    <w:rPr>
      <w:b/>
      <w:bCs/>
    </w:rPr>
  </w:style>
  <w:style w:type="paragraph" w:styleId="afb">
    <w:name w:val="Intense Quote"/>
    <w:basedOn w:val="a2"/>
    <w:next w:val="a2"/>
    <w:link w:val="afc"/>
    <w:uiPriority w:val="99"/>
    <w:semiHidden/>
    <w:qFormat/>
    <w:rsid w:val="00F93802"/>
    <w:pPr>
      <w:pBdr>
        <w:bottom w:val="single" w:sz="4" w:space="1" w:color="auto"/>
      </w:pBdr>
      <w:spacing w:before="200" w:after="280"/>
      <w:ind w:left="1008" w:right="1152"/>
    </w:pPr>
    <w:rPr>
      <w:b/>
      <w:bCs/>
      <w:i/>
      <w:iCs/>
      <w:lang w:bidi="en-US"/>
    </w:rPr>
  </w:style>
  <w:style w:type="character" w:customStyle="1" w:styleId="afc">
    <w:name w:val="Выделенная цитата Знак"/>
    <w:basedOn w:val="a3"/>
    <w:link w:val="afb"/>
    <w:uiPriority w:val="99"/>
    <w:semiHidden/>
    <w:rsid w:val="00F93802"/>
    <w:rPr>
      <w:rFonts w:eastAsiaTheme="minorEastAsia"/>
      <w:b/>
      <w:bCs/>
      <w:i/>
      <w:iCs/>
      <w:sz w:val="24"/>
      <w:lang w:val="fr-FR" w:bidi="en-US"/>
    </w:rPr>
  </w:style>
  <w:style w:type="character" w:styleId="afd">
    <w:name w:val="Intense Reference"/>
    <w:uiPriority w:val="99"/>
    <w:semiHidden/>
    <w:qFormat/>
    <w:rsid w:val="00F93802"/>
    <w:rPr>
      <w:smallCaps/>
      <w:spacing w:val="5"/>
      <w:u w:val="single"/>
    </w:rPr>
  </w:style>
  <w:style w:type="paragraph" w:styleId="afe">
    <w:name w:val="List Paragraph"/>
    <w:basedOn w:val="a2"/>
    <w:uiPriority w:val="99"/>
    <w:semiHidden/>
    <w:qFormat/>
    <w:rsid w:val="00F93802"/>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F93802"/>
    <w:pPr>
      <w:spacing w:before="200"/>
      <w:ind w:left="360" w:right="360"/>
    </w:pPr>
    <w:rPr>
      <w:i/>
      <w:iCs/>
      <w:lang w:bidi="en-US"/>
    </w:rPr>
  </w:style>
  <w:style w:type="character" w:customStyle="1" w:styleId="24">
    <w:name w:val="Цитата 2 Знак"/>
    <w:basedOn w:val="a3"/>
    <w:link w:val="23"/>
    <w:uiPriority w:val="99"/>
    <w:semiHidden/>
    <w:rsid w:val="00F93802"/>
    <w:rPr>
      <w:rFonts w:eastAsiaTheme="minorEastAsia"/>
      <w:i/>
      <w:iCs/>
      <w:sz w:val="24"/>
      <w:lang w:val="fr-FR" w:bidi="en-US"/>
    </w:rPr>
  </w:style>
  <w:style w:type="character" w:styleId="aff">
    <w:name w:val="Subtle Reference"/>
    <w:uiPriority w:val="99"/>
    <w:semiHidden/>
    <w:qFormat/>
    <w:rsid w:val="00F93802"/>
    <w:rPr>
      <w:smallCaps/>
    </w:rPr>
  </w:style>
  <w:style w:type="table" w:styleId="aff0">
    <w:name w:val="Table Grid"/>
    <w:basedOn w:val="a4"/>
    <w:uiPriority w:val="59"/>
    <w:semiHidden/>
    <w:rsid w:val="00F938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F93802"/>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F93802"/>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F93802"/>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F93802"/>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F93802"/>
    <w:pPr>
      <w:tabs>
        <w:tab w:val="right" w:leader="dot" w:pos="7371"/>
      </w:tabs>
      <w:spacing w:after="60" w:line="240" w:lineRule="exact"/>
      <w:ind w:left="1701" w:right="567" w:hanging="340"/>
    </w:pPr>
    <w:rPr>
      <w:sz w:val="20"/>
    </w:rPr>
  </w:style>
  <w:style w:type="paragraph" w:styleId="aff1">
    <w:name w:val="TOC Heading"/>
    <w:basedOn w:val="a2"/>
    <w:next w:val="a2"/>
    <w:uiPriority w:val="99"/>
    <w:semiHidden/>
    <w:qFormat/>
    <w:rsid w:val="00F9380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F93802"/>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F93802"/>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F93802"/>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F9380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af3">
    <w:name w:val="Подзаголовок Знак"/>
    <w:basedOn w:val="a3"/>
    <w:link w:val="af2"/>
    <w:uiPriority w:val="99"/>
    <w:semiHidden/>
    <w:rsid w:val="00F93802"/>
    <w:rPr>
      <w:rFonts w:asciiTheme="majorHAnsi" w:eastAsiaTheme="majorEastAsia" w:hAnsiTheme="majorHAnsi" w:cstheme="majorBidi"/>
      <w:i/>
      <w:iCs/>
      <w:spacing w:val="13"/>
      <w:sz w:val="24"/>
      <w:szCs w:val="24"/>
      <w:lang w:val="fr-FR" w:bidi="en-US"/>
    </w:rPr>
  </w:style>
  <w:style w:type="numbering" w:styleId="111111">
    <w:name w:val="Outline List 2"/>
    <w:basedOn w:val="a5"/>
    <w:uiPriority w:val="99"/>
    <w:semiHidden/>
    <w:unhideWhenUsed/>
    <w:rsid w:val="00F93802"/>
    <w:pPr>
      <w:numPr>
        <w:numId w:val="3"/>
      </w:numPr>
    </w:pPr>
  </w:style>
  <w:style w:type="numbering" w:styleId="1ai">
    <w:name w:val="Outline List 1"/>
    <w:basedOn w:val="a5"/>
    <w:uiPriority w:val="99"/>
    <w:semiHidden/>
    <w:unhideWhenUsed/>
    <w:rsid w:val="00F93802"/>
    <w:pPr>
      <w:numPr>
        <w:numId w:val="4"/>
      </w:numPr>
    </w:pPr>
  </w:style>
  <w:style w:type="paragraph" w:customStyle="1" w:styleId="JuPara">
    <w:name w:val="Ju_Para"/>
    <w:aliases w:val="_Para"/>
    <w:basedOn w:val="NormalJustified"/>
    <w:link w:val="JuParaChar"/>
    <w:uiPriority w:val="8"/>
    <w:qFormat/>
    <w:rsid w:val="00F93802"/>
    <w:pPr>
      <w:ind w:firstLine="284"/>
    </w:pPr>
  </w:style>
  <w:style w:type="numbering" w:styleId="a0">
    <w:name w:val="Outline List 3"/>
    <w:basedOn w:val="a5"/>
    <w:uiPriority w:val="99"/>
    <w:semiHidden/>
    <w:unhideWhenUsed/>
    <w:rsid w:val="00F93802"/>
    <w:pPr>
      <w:numPr>
        <w:numId w:val="5"/>
      </w:numPr>
    </w:pPr>
  </w:style>
  <w:style w:type="table" w:customStyle="1" w:styleId="ECHRTableSimpleBox">
    <w:name w:val="ECHR_Table_Simple_Box"/>
    <w:basedOn w:val="a4"/>
    <w:uiPriority w:val="99"/>
    <w:rsid w:val="00F93802"/>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93802"/>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aff3">
    <w:name w:val="Bibliography"/>
    <w:basedOn w:val="a2"/>
    <w:next w:val="a2"/>
    <w:uiPriority w:val="99"/>
    <w:semiHidden/>
    <w:rsid w:val="00F93802"/>
  </w:style>
  <w:style w:type="table" w:customStyle="1" w:styleId="ECHRTableForInternalUse">
    <w:name w:val="ECHR_Table_For_Internal_Use"/>
    <w:basedOn w:val="a4"/>
    <w:uiPriority w:val="99"/>
    <w:rsid w:val="00F93802"/>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4">
    <w:name w:val="Block Text"/>
    <w:basedOn w:val="a2"/>
    <w:uiPriority w:val="99"/>
    <w:semiHidden/>
    <w:rsid w:val="00F9380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5">
    <w:name w:val="Body Text"/>
    <w:basedOn w:val="a2"/>
    <w:link w:val="aff6"/>
    <w:uiPriority w:val="99"/>
    <w:semiHidden/>
    <w:rsid w:val="00F93802"/>
    <w:pPr>
      <w:spacing w:after="120"/>
    </w:pPr>
  </w:style>
  <w:style w:type="table" w:customStyle="1" w:styleId="ECHRHeaderTable">
    <w:name w:val="ECHR_Header_Table"/>
    <w:basedOn w:val="a4"/>
    <w:uiPriority w:val="99"/>
    <w:rsid w:val="00F93802"/>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aff6">
    <w:name w:val="Основной текст Знак"/>
    <w:basedOn w:val="a3"/>
    <w:link w:val="aff5"/>
    <w:uiPriority w:val="99"/>
    <w:semiHidden/>
    <w:rsid w:val="00F93802"/>
    <w:rPr>
      <w:rFonts w:eastAsiaTheme="minorEastAsia"/>
      <w:sz w:val="24"/>
      <w:lang w:val="fr-FR"/>
    </w:rPr>
  </w:style>
  <w:style w:type="paragraph" w:styleId="26">
    <w:name w:val="Body Text 2"/>
    <w:basedOn w:val="a2"/>
    <w:link w:val="27"/>
    <w:uiPriority w:val="99"/>
    <w:semiHidden/>
    <w:rsid w:val="00F93802"/>
    <w:pPr>
      <w:spacing w:after="120" w:line="480" w:lineRule="auto"/>
    </w:p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ECHR_Decision_Body"/>
    <w:basedOn w:val="a2"/>
    <w:uiPriority w:val="11"/>
    <w:qFormat/>
    <w:rsid w:val="00F93802"/>
    <w:pPr>
      <w:tabs>
        <w:tab w:val="left" w:pos="567"/>
        <w:tab w:val="left" w:pos="1134"/>
      </w:tabs>
    </w:pPr>
  </w:style>
  <w:style w:type="table" w:customStyle="1" w:styleId="ECHRHeaderTableReduced">
    <w:name w:val="ECHR_Header_Table_Reduced"/>
    <w:basedOn w:val="a4"/>
    <w:uiPriority w:val="99"/>
    <w:rsid w:val="00F93802"/>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10"/>
    <w:rsid w:val="00F93802"/>
    <w:pPr>
      <w:ind w:firstLine="284"/>
    </w:pPr>
    <w:rPr>
      <w:b/>
    </w:rPr>
  </w:style>
  <w:style w:type="character" w:styleId="aff7">
    <w:name w:val="page number"/>
    <w:uiPriority w:val="99"/>
    <w:semiHidden/>
    <w:rsid w:val="00F93802"/>
    <w:rPr>
      <w:sz w:val="18"/>
    </w:rPr>
  </w:style>
  <w:style w:type="paragraph" w:styleId="20">
    <w:name w:val="List Bullet 2"/>
    <w:basedOn w:val="a2"/>
    <w:uiPriority w:val="99"/>
    <w:semiHidden/>
    <w:rsid w:val="00F93802"/>
    <w:pPr>
      <w:numPr>
        <w:numId w:val="10"/>
      </w:numPr>
      <w:contextualSpacing/>
    </w:pPr>
  </w:style>
  <w:style w:type="character" w:customStyle="1" w:styleId="27">
    <w:name w:val="Основной текст 2 Знак"/>
    <w:basedOn w:val="a3"/>
    <w:link w:val="26"/>
    <w:uiPriority w:val="99"/>
    <w:semiHidden/>
    <w:rsid w:val="00F93802"/>
    <w:rPr>
      <w:rFonts w:eastAsiaTheme="minorEastAsia"/>
      <w:sz w:val="24"/>
      <w:lang w:val="fr-FR"/>
    </w:rPr>
  </w:style>
  <w:style w:type="paragraph" w:styleId="34">
    <w:name w:val="Body Text 3"/>
    <w:basedOn w:val="a2"/>
    <w:link w:val="35"/>
    <w:uiPriority w:val="99"/>
    <w:semiHidden/>
    <w:rsid w:val="00F93802"/>
    <w:pPr>
      <w:spacing w:after="120"/>
    </w:pPr>
    <w:rPr>
      <w:sz w:val="16"/>
      <w:szCs w:val="16"/>
    </w:rPr>
  </w:style>
  <w:style w:type="character" w:customStyle="1" w:styleId="35">
    <w:name w:val="Основной текст 3 Знак"/>
    <w:basedOn w:val="a3"/>
    <w:link w:val="34"/>
    <w:uiPriority w:val="99"/>
    <w:semiHidden/>
    <w:rsid w:val="00F93802"/>
    <w:rPr>
      <w:rFonts w:eastAsiaTheme="minorEastAsia"/>
      <w:sz w:val="16"/>
      <w:szCs w:val="16"/>
      <w:lang w:val="fr-FR"/>
    </w:rPr>
  </w:style>
  <w:style w:type="paragraph" w:styleId="aff8">
    <w:name w:val="Body Text First Indent"/>
    <w:basedOn w:val="aff5"/>
    <w:link w:val="aff9"/>
    <w:uiPriority w:val="99"/>
    <w:semiHidden/>
    <w:rsid w:val="00F93802"/>
    <w:pPr>
      <w:spacing w:after="0"/>
      <w:ind w:firstLine="360"/>
    </w:pPr>
  </w:style>
  <w:style w:type="character" w:customStyle="1" w:styleId="aff9">
    <w:name w:val="Красная строка Знак"/>
    <w:basedOn w:val="aff6"/>
    <w:link w:val="aff8"/>
    <w:uiPriority w:val="99"/>
    <w:semiHidden/>
    <w:rsid w:val="00F93802"/>
    <w:rPr>
      <w:rFonts w:eastAsiaTheme="minorEastAsia"/>
      <w:sz w:val="24"/>
      <w:lang w:val="fr-FR"/>
    </w:rPr>
  </w:style>
  <w:style w:type="paragraph" w:styleId="affa">
    <w:name w:val="Body Text Indent"/>
    <w:basedOn w:val="a2"/>
    <w:link w:val="affb"/>
    <w:uiPriority w:val="99"/>
    <w:semiHidden/>
    <w:rsid w:val="00F93802"/>
    <w:pPr>
      <w:spacing w:after="120"/>
      <w:ind w:left="283"/>
    </w:pPr>
  </w:style>
  <w:style w:type="character" w:customStyle="1" w:styleId="affb">
    <w:name w:val="Основной текст с отступом Знак"/>
    <w:basedOn w:val="a3"/>
    <w:link w:val="affa"/>
    <w:uiPriority w:val="99"/>
    <w:semiHidden/>
    <w:rsid w:val="00F93802"/>
    <w:rPr>
      <w:rFonts w:eastAsiaTheme="minorEastAsia"/>
      <w:sz w:val="24"/>
      <w:lang w:val="fr-FR"/>
    </w:rPr>
  </w:style>
  <w:style w:type="paragraph" w:styleId="28">
    <w:name w:val="Body Text First Indent 2"/>
    <w:basedOn w:val="affa"/>
    <w:link w:val="29"/>
    <w:uiPriority w:val="99"/>
    <w:semiHidden/>
    <w:rsid w:val="00F93802"/>
    <w:pPr>
      <w:spacing w:after="0"/>
      <w:ind w:left="360" w:firstLine="360"/>
    </w:pPr>
  </w:style>
  <w:style w:type="character" w:customStyle="1" w:styleId="29">
    <w:name w:val="Красная строка 2 Знак"/>
    <w:basedOn w:val="affb"/>
    <w:link w:val="28"/>
    <w:uiPriority w:val="99"/>
    <w:semiHidden/>
    <w:rsid w:val="00F93802"/>
    <w:rPr>
      <w:rFonts w:eastAsiaTheme="minorEastAsia"/>
      <w:sz w:val="24"/>
      <w:lang w:val="fr-FR"/>
    </w:rPr>
  </w:style>
  <w:style w:type="paragraph" w:styleId="2a">
    <w:name w:val="Body Text Indent 2"/>
    <w:basedOn w:val="a2"/>
    <w:link w:val="2b"/>
    <w:uiPriority w:val="99"/>
    <w:semiHidden/>
    <w:rsid w:val="00F93802"/>
    <w:pPr>
      <w:spacing w:after="120" w:line="480" w:lineRule="auto"/>
      <w:ind w:left="283"/>
    </w:pPr>
  </w:style>
  <w:style w:type="character" w:customStyle="1" w:styleId="2b">
    <w:name w:val="Основной текст с отступом 2 Знак"/>
    <w:basedOn w:val="a3"/>
    <w:link w:val="2a"/>
    <w:uiPriority w:val="99"/>
    <w:semiHidden/>
    <w:rsid w:val="00F93802"/>
    <w:rPr>
      <w:rFonts w:eastAsiaTheme="minorEastAsia"/>
      <w:sz w:val="24"/>
      <w:lang w:val="fr-FR"/>
    </w:rPr>
  </w:style>
  <w:style w:type="paragraph" w:styleId="36">
    <w:name w:val="Body Text Indent 3"/>
    <w:basedOn w:val="a2"/>
    <w:link w:val="37"/>
    <w:uiPriority w:val="99"/>
    <w:semiHidden/>
    <w:rsid w:val="00F93802"/>
    <w:pPr>
      <w:spacing w:after="120"/>
      <w:ind w:left="283"/>
    </w:pPr>
    <w:rPr>
      <w:sz w:val="16"/>
      <w:szCs w:val="16"/>
    </w:rPr>
  </w:style>
  <w:style w:type="character" w:customStyle="1" w:styleId="37">
    <w:name w:val="Основной текст с отступом 3 Знак"/>
    <w:basedOn w:val="a3"/>
    <w:link w:val="36"/>
    <w:uiPriority w:val="99"/>
    <w:semiHidden/>
    <w:rsid w:val="00F93802"/>
    <w:rPr>
      <w:rFonts w:eastAsiaTheme="minorEastAsia"/>
      <w:sz w:val="16"/>
      <w:szCs w:val="16"/>
      <w:lang w:val="fr-FR"/>
    </w:rPr>
  </w:style>
  <w:style w:type="paragraph" w:styleId="affc">
    <w:name w:val="caption"/>
    <w:basedOn w:val="a2"/>
    <w:next w:val="a2"/>
    <w:uiPriority w:val="99"/>
    <w:semiHidden/>
    <w:qFormat/>
    <w:rsid w:val="00F93802"/>
    <w:pPr>
      <w:spacing w:after="200"/>
    </w:pPr>
    <w:rPr>
      <w:b/>
      <w:bCs/>
      <w:color w:val="0072BC" w:themeColor="accent1"/>
      <w:sz w:val="18"/>
      <w:szCs w:val="18"/>
    </w:rPr>
  </w:style>
  <w:style w:type="paragraph" w:styleId="affd">
    <w:name w:val="Closing"/>
    <w:basedOn w:val="a2"/>
    <w:link w:val="affe"/>
    <w:uiPriority w:val="99"/>
    <w:semiHidden/>
    <w:rsid w:val="00F93802"/>
    <w:pPr>
      <w:ind w:left="4252"/>
    </w:pPr>
  </w:style>
  <w:style w:type="character" w:customStyle="1" w:styleId="affe">
    <w:name w:val="Прощание Знак"/>
    <w:basedOn w:val="a3"/>
    <w:link w:val="affd"/>
    <w:uiPriority w:val="99"/>
    <w:semiHidden/>
    <w:rsid w:val="00F93802"/>
    <w:rPr>
      <w:rFonts w:eastAsiaTheme="minorEastAsia"/>
      <w:sz w:val="24"/>
      <w:lang w:val="fr-FR"/>
    </w:rPr>
  </w:style>
  <w:style w:type="table" w:styleId="afff">
    <w:name w:val="Colorful Grid"/>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F9380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F9380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F9380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F9380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F9380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F9380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F9380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F9380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F9380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F9380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F9380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F9380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F9380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F9380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F9380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F93802"/>
    <w:rPr>
      <w:sz w:val="16"/>
      <w:szCs w:val="16"/>
    </w:rPr>
  </w:style>
  <w:style w:type="paragraph" w:styleId="afff3">
    <w:name w:val="annotation text"/>
    <w:basedOn w:val="a2"/>
    <w:link w:val="afff4"/>
    <w:uiPriority w:val="99"/>
    <w:semiHidden/>
    <w:rsid w:val="00F93802"/>
    <w:rPr>
      <w:sz w:val="20"/>
      <w:szCs w:val="20"/>
    </w:rPr>
  </w:style>
  <w:style w:type="character" w:customStyle="1" w:styleId="afff4">
    <w:name w:val="Текст примечания Знак"/>
    <w:basedOn w:val="a3"/>
    <w:link w:val="afff3"/>
    <w:uiPriority w:val="99"/>
    <w:semiHidden/>
    <w:rsid w:val="00F93802"/>
    <w:rPr>
      <w:rFonts w:eastAsiaTheme="minorEastAsia"/>
      <w:sz w:val="20"/>
      <w:szCs w:val="20"/>
      <w:lang w:val="fr-FR"/>
    </w:rPr>
  </w:style>
  <w:style w:type="paragraph" w:styleId="afff5">
    <w:name w:val="annotation subject"/>
    <w:basedOn w:val="afff3"/>
    <w:next w:val="afff3"/>
    <w:link w:val="afff6"/>
    <w:uiPriority w:val="99"/>
    <w:semiHidden/>
    <w:rsid w:val="00F93802"/>
    <w:rPr>
      <w:b/>
      <w:bCs/>
    </w:rPr>
  </w:style>
  <w:style w:type="character" w:customStyle="1" w:styleId="afff6">
    <w:name w:val="Тема примечания Знак"/>
    <w:basedOn w:val="afff4"/>
    <w:link w:val="afff5"/>
    <w:uiPriority w:val="99"/>
    <w:semiHidden/>
    <w:rsid w:val="00F93802"/>
    <w:rPr>
      <w:rFonts w:eastAsiaTheme="minorEastAsia"/>
      <w:b/>
      <w:bCs/>
      <w:sz w:val="20"/>
      <w:szCs w:val="20"/>
      <w:lang w:val="fr-FR"/>
    </w:rPr>
  </w:style>
  <w:style w:type="table" w:styleId="afff7">
    <w:name w:val="Dark List"/>
    <w:basedOn w:val="a4"/>
    <w:uiPriority w:val="99"/>
    <w:semiHidden/>
    <w:rsid w:val="00F9380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F9380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F9380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F9380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F9380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F9380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F9380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F93802"/>
  </w:style>
  <w:style w:type="character" w:customStyle="1" w:styleId="afff9">
    <w:name w:val="Дата Знак"/>
    <w:basedOn w:val="a3"/>
    <w:link w:val="afff8"/>
    <w:uiPriority w:val="99"/>
    <w:semiHidden/>
    <w:rsid w:val="00F93802"/>
    <w:rPr>
      <w:rFonts w:eastAsiaTheme="minorEastAsia"/>
      <w:sz w:val="24"/>
      <w:lang w:val="fr-FR"/>
    </w:rPr>
  </w:style>
  <w:style w:type="paragraph" w:styleId="afffa">
    <w:name w:val="Document Map"/>
    <w:basedOn w:val="a2"/>
    <w:link w:val="afffb"/>
    <w:uiPriority w:val="99"/>
    <w:semiHidden/>
    <w:rsid w:val="00F93802"/>
    <w:rPr>
      <w:rFonts w:ascii="Tahoma" w:hAnsi="Tahoma" w:cs="Tahoma"/>
      <w:sz w:val="16"/>
      <w:szCs w:val="16"/>
    </w:rPr>
  </w:style>
  <w:style w:type="character" w:customStyle="1" w:styleId="afffb">
    <w:name w:val="Схема документа Знак"/>
    <w:basedOn w:val="a3"/>
    <w:link w:val="afffa"/>
    <w:uiPriority w:val="99"/>
    <w:semiHidden/>
    <w:rsid w:val="00F93802"/>
    <w:rPr>
      <w:rFonts w:ascii="Tahoma" w:eastAsiaTheme="minorEastAsia" w:hAnsi="Tahoma" w:cs="Tahoma"/>
      <w:sz w:val="16"/>
      <w:szCs w:val="16"/>
      <w:lang w:val="fr-FR"/>
    </w:rPr>
  </w:style>
  <w:style w:type="paragraph" w:styleId="afffc">
    <w:name w:val="E-mail Signature"/>
    <w:basedOn w:val="a2"/>
    <w:link w:val="afffd"/>
    <w:uiPriority w:val="99"/>
    <w:semiHidden/>
    <w:rsid w:val="00F93802"/>
  </w:style>
  <w:style w:type="character" w:customStyle="1" w:styleId="afffd">
    <w:name w:val="Электронная подпись Знак"/>
    <w:basedOn w:val="a3"/>
    <w:link w:val="afffc"/>
    <w:uiPriority w:val="99"/>
    <w:semiHidden/>
    <w:rsid w:val="00F93802"/>
    <w:rPr>
      <w:rFonts w:eastAsiaTheme="minorEastAsia"/>
      <w:sz w:val="24"/>
      <w:lang w:val="fr-FR"/>
    </w:rPr>
  </w:style>
  <w:style w:type="character" w:styleId="afffe">
    <w:name w:val="endnote reference"/>
    <w:basedOn w:val="a3"/>
    <w:uiPriority w:val="99"/>
    <w:semiHidden/>
    <w:rsid w:val="00F93802"/>
    <w:rPr>
      <w:vertAlign w:val="superscript"/>
    </w:rPr>
  </w:style>
  <w:style w:type="paragraph" w:styleId="affff">
    <w:name w:val="endnote text"/>
    <w:basedOn w:val="a2"/>
    <w:link w:val="affff0"/>
    <w:uiPriority w:val="99"/>
    <w:semiHidden/>
    <w:rsid w:val="00F93802"/>
    <w:rPr>
      <w:sz w:val="20"/>
      <w:szCs w:val="20"/>
    </w:rPr>
  </w:style>
  <w:style w:type="character" w:customStyle="1" w:styleId="affff0">
    <w:name w:val="Текст концевой сноски Знак"/>
    <w:basedOn w:val="a3"/>
    <w:link w:val="affff"/>
    <w:uiPriority w:val="99"/>
    <w:semiHidden/>
    <w:rsid w:val="00F93802"/>
    <w:rPr>
      <w:rFonts w:eastAsiaTheme="minorEastAsia"/>
      <w:sz w:val="20"/>
      <w:szCs w:val="20"/>
      <w:lang w:val="fr-FR"/>
    </w:rPr>
  </w:style>
  <w:style w:type="paragraph" w:styleId="affff1">
    <w:name w:val="envelope address"/>
    <w:basedOn w:val="a2"/>
    <w:uiPriority w:val="99"/>
    <w:semiHidden/>
    <w:rsid w:val="00F9380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F93802"/>
    <w:rPr>
      <w:rFonts w:asciiTheme="majorHAnsi" w:eastAsiaTheme="majorEastAsia" w:hAnsiTheme="majorHAnsi" w:cstheme="majorBidi"/>
      <w:sz w:val="20"/>
      <w:szCs w:val="20"/>
    </w:rPr>
  </w:style>
  <w:style w:type="character" w:styleId="affff2">
    <w:name w:val="FollowedHyperlink"/>
    <w:basedOn w:val="a3"/>
    <w:uiPriority w:val="99"/>
    <w:semiHidden/>
    <w:rsid w:val="00F93802"/>
    <w:rPr>
      <w:color w:val="7030A0" w:themeColor="followedHyperlink"/>
      <w:u w:val="single"/>
    </w:rPr>
  </w:style>
  <w:style w:type="character" w:styleId="HTML">
    <w:name w:val="HTML Acronym"/>
    <w:basedOn w:val="a3"/>
    <w:uiPriority w:val="99"/>
    <w:semiHidden/>
    <w:rsid w:val="00F93802"/>
  </w:style>
  <w:style w:type="paragraph" w:styleId="HTML0">
    <w:name w:val="HTML Address"/>
    <w:basedOn w:val="a2"/>
    <w:link w:val="HTML1"/>
    <w:uiPriority w:val="99"/>
    <w:semiHidden/>
    <w:rsid w:val="00F93802"/>
    <w:rPr>
      <w:i/>
      <w:iCs/>
    </w:rPr>
  </w:style>
  <w:style w:type="character" w:customStyle="1" w:styleId="HTML1">
    <w:name w:val="Адрес HTML Знак"/>
    <w:basedOn w:val="a3"/>
    <w:link w:val="HTML0"/>
    <w:uiPriority w:val="99"/>
    <w:semiHidden/>
    <w:rsid w:val="00F93802"/>
    <w:rPr>
      <w:rFonts w:eastAsiaTheme="minorEastAsia"/>
      <w:i/>
      <w:iCs/>
      <w:sz w:val="24"/>
      <w:lang w:val="fr-FR"/>
    </w:rPr>
  </w:style>
  <w:style w:type="character" w:styleId="HTML2">
    <w:name w:val="HTML Cite"/>
    <w:basedOn w:val="a3"/>
    <w:uiPriority w:val="99"/>
    <w:semiHidden/>
    <w:rsid w:val="00F93802"/>
    <w:rPr>
      <w:i/>
      <w:iCs/>
    </w:rPr>
  </w:style>
  <w:style w:type="character" w:styleId="HTML3">
    <w:name w:val="HTML Code"/>
    <w:basedOn w:val="a3"/>
    <w:uiPriority w:val="99"/>
    <w:semiHidden/>
    <w:rsid w:val="00F93802"/>
    <w:rPr>
      <w:rFonts w:ascii="Consolas" w:hAnsi="Consolas" w:cs="Consolas"/>
      <w:sz w:val="20"/>
      <w:szCs w:val="20"/>
    </w:rPr>
  </w:style>
  <w:style w:type="character" w:styleId="HTML4">
    <w:name w:val="HTML Definition"/>
    <w:basedOn w:val="a3"/>
    <w:uiPriority w:val="99"/>
    <w:semiHidden/>
    <w:rsid w:val="00F93802"/>
    <w:rPr>
      <w:i/>
      <w:iCs/>
    </w:rPr>
  </w:style>
  <w:style w:type="character" w:styleId="HTML5">
    <w:name w:val="HTML Keyboard"/>
    <w:basedOn w:val="a3"/>
    <w:uiPriority w:val="99"/>
    <w:semiHidden/>
    <w:rsid w:val="00F93802"/>
    <w:rPr>
      <w:rFonts w:ascii="Consolas" w:hAnsi="Consolas" w:cs="Consolas"/>
      <w:sz w:val="20"/>
      <w:szCs w:val="20"/>
    </w:rPr>
  </w:style>
  <w:style w:type="paragraph" w:styleId="HTML6">
    <w:name w:val="HTML Preformatted"/>
    <w:basedOn w:val="a2"/>
    <w:link w:val="HTML7"/>
    <w:uiPriority w:val="99"/>
    <w:semiHidden/>
    <w:rsid w:val="00F93802"/>
    <w:rPr>
      <w:rFonts w:ascii="Consolas" w:hAnsi="Consolas" w:cs="Consolas"/>
      <w:sz w:val="20"/>
      <w:szCs w:val="20"/>
    </w:rPr>
  </w:style>
  <w:style w:type="character" w:customStyle="1" w:styleId="HTML7">
    <w:name w:val="Стандартный HTML Знак"/>
    <w:basedOn w:val="a3"/>
    <w:link w:val="HTML6"/>
    <w:uiPriority w:val="99"/>
    <w:semiHidden/>
    <w:rsid w:val="00F93802"/>
    <w:rPr>
      <w:rFonts w:ascii="Consolas" w:eastAsiaTheme="minorEastAsia" w:hAnsi="Consolas" w:cs="Consolas"/>
      <w:sz w:val="20"/>
      <w:szCs w:val="20"/>
      <w:lang w:val="fr-FR"/>
    </w:rPr>
  </w:style>
  <w:style w:type="character" w:styleId="HTML8">
    <w:name w:val="HTML Sample"/>
    <w:basedOn w:val="a3"/>
    <w:uiPriority w:val="99"/>
    <w:semiHidden/>
    <w:rsid w:val="00F93802"/>
    <w:rPr>
      <w:rFonts w:ascii="Consolas" w:hAnsi="Consolas" w:cs="Consolas"/>
      <w:sz w:val="24"/>
      <w:szCs w:val="24"/>
    </w:rPr>
  </w:style>
  <w:style w:type="character" w:styleId="HTML9">
    <w:name w:val="HTML Typewriter"/>
    <w:basedOn w:val="a3"/>
    <w:uiPriority w:val="99"/>
    <w:semiHidden/>
    <w:rsid w:val="00F93802"/>
    <w:rPr>
      <w:rFonts w:ascii="Consolas" w:hAnsi="Consolas" w:cs="Consolas"/>
      <w:sz w:val="20"/>
      <w:szCs w:val="20"/>
    </w:rPr>
  </w:style>
  <w:style w:type="character" w:styleId="HTMLa">
    <w:name w:val="HTML Variable"/>
    <w:basedOn w:val="a3"/>
    <w:uiPriority w:val="99"/>
    <w:semiHidden/>
    <w:rsid w:val="00F93802"/>
    <w:rPr>
      <w:i/>
      <w:iCs/>
    </w:rPr>
  </w:style>
  <w:style w:type="paragraph" w:styleId="12">
    <w:name w:val="index 1"/>
    <w:basedOn w:val="a2"/>
    <w:next w:val="a2"/>
    <w:autoRedefine/>
    <w:uiPriority w:val="99"/>
    <w:semiHidden/>
    <w:rsid w:val="00F93802"/>
    <w:pPr>
      <w:ind w:left="240" w:hanging="240"/>
    </w:pPr>
  </w:style>
  <w:style w:type="paragraph" w:styleId="2d">
    <w:name w:val="index 2"/>
    <w:basedOn w:val="a2"/>
    <w:next w:val="a2"/>
    <w:autoRedefine/>
    <w:uiPriority w:val="99"/>
    <w:semiHidden/>
    <w:rsid w:val="00F93802"/>
    <w:pPr>
      <w:ind w:left="480" w:hanging="240"/>
    </w:pPr>
  </w:style>
  <w:style w:type="paragraph" w:styleId="38">
    <w:name w:val="index 3"/>
    <w:basedOn w:val="a2"/>
    <w:next w:val="a2"/>
    <w:autoRedefine/>
    <w:uiPriority w:val="99"/>
    <w:semiHidden/>
    <w:rsid w:val="00F93802"/>
    <w:pPr>
      <w:ind w:left="720" w:hanging="240"/>
    </w:pPr>
  </w:style>
  <w:style w:type="paragraph" w:styleId="44">
    <w:name w:val="index 4"/>
    <w:basedOn w:val="a2"/>
    <w:next w:val="a2"/>
    <w:autoRedefine/>
    <w:uiPriority w:val="99"/>
    <w:semiHidden/>
    <w:rsid w:val="00F93802"/>
    <w:pPr>
      <w:ind w:left="960" w:hanging="240"/>
    </w:pPr>
  </w:style>
  <w:style w:type="paragraph" w:styleId="54">
    <w:name w:val="index 5"/>
    <w:basedOn w:val="a2"/>
    <w:next w:val="a2"/>
    <w:autoRedefine/>
    <w:uiPriority w:val="99"/>
    <w:semiHidden/>
    <w:rsid w:val="00F93802"/>
    <w:pPr>
      <w:ind w:left="1200" w:hanging="240"/>
    </w:pPr>
  </w:style>
  <w:style w:type="paragraph" w:styleId="61">
    <w:name w:val="index 6"/>
    <w:basedOn w:val="a2"/>
    <w:next w:val="a2"/>
    <w:autoRedefine/>
    <w:uiPriority w:val="99"/>
    <w:semiHidden/>
    <w:rsid w:val="00F93802"/>
    <w:pPr>
      <w:ind w:left="1440" w:hanging="240"/>
    </w:pPr>
  </w:style>
  <w:style w:type="paragraph" w:styleId="71">
    <w:name w:val="index 7"/>
    <w:basedOn w:val="a2"/>
    <w:next w:val="a2"/>
    <w:autoRedefine/>
    <w:uiPriority w:val="99"/>
    <w:semiHidden/>
    <w:rsid w:val="00F93802"/>
    <w:pPr>
      <w:ind w:left="1680" w:hanging="240"/>
    </w:pPr>
  </w:style>
  <w:style w:type="paragraph" w:styleId="81">
    <w:name w:val="index 8"/>
    <w:basedOn w:val="a2"/>
    <w:next w:val="a2"/>
    <w:autoRedefine/>
    <w:uiPriority w:val="99"/>
    <w:semiHidden/>
    <w:rsid w:val="00F93802"/>
    <w:pPr>
      <w:ind w:left="1920" w:hanging="240"/>
    </w:pPr>
  </w:style>
  <w:style w:type="paragraph" w:styleId="91">
    <w:name w:val="index 9"/>
    <w:basedOn w:val="a2"/>
    <w:next w:val="a2"/>
    <w:autoRedefine/>
    <w:uiPriority w:val="99"/>
    <w:semiHidden/>
    <w:rsid w:val="00F93802"/>
    <w:pPr>
      <w:ind w:left="2160" w:hanging="240"/>
    </w:pPr>
  </w:style>
  <w:style w:type="paragraph" w:styleId="affff3">
    <w:name w:val="index heading"/>
    <w:basedOn w:val="a2"/>
    <w:next w:val="12"/>
    <w:uiPriority w:val="99"/>
    <w:semiHidden/>
    <w:rsid w:val="00F93802"/>
    <w:rPr>
      <w:rFonts w:asciiTheme="majorHAnsi" w:eastAsiaTheme="majorEastAsia" w:hAnsiTheme="majorHAnsi" w:cstheme="majorBidi"/>
      <w:b/>
      <w:bCs/>
    </w:rPr>
  </w:style>
  <w:style w:type="table" w:styleId="affff4">
    <w:name w:val="Light Grid"/>
    <w:basedOn w:val="a4"/>
    <w:uiPriority w:val="99"/>
    <w:semiHidden/>
    <w:rsid w:val="00F938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F9380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F9380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F9380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F9380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F9380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F9380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F938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F9380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F9380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F9380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F9380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F9380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F9380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F938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F9380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F9380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F9380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F9380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F9380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F9380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F93802"/>
  </w:style>
  <w:style w:type="paragraph" w:styleId="affff8">
    <w:name w:val="List"/>
    <w:basedOn w:val="a2"/>
    <w:uiPriority w:val="99"/>
    <w:semiHidden/>
    <w:rsid w:val="00F93802"/>
    <w:pPr>
      <w:ind w:left="283" w:hanging="283"/>
      <w:contextualSpacing/>
    </w:pPr>
  </w:style>
  <w:style w:type="paragraph" w:styleId="2e">
    <w:name w:val="List 2"/>
    <w:basedOn w:val="a2"/>
    <w:uiPriority w:val="99"/>
    <w:semiHidden/>
    <w:rsid w:val="00F93802"/>
    <w:pPr>
      <w:ind w:left="566" w:hanging="283"/>
      <w:contextualSpacing/>
    </w:pPr>
  </w:style>
  <w:style w:type="paragraph" w:styleId="39">
    <w:name w:val="List 3"/>
    <w:basedOn w:val="a2"/>
    <w:uiPriority w:val="99"/>
    <w:semiHidden/>
    <w:rsid w:val="00F93802"/>
    <w:pPr>
      <w:ind w:left="849" w:hanging="283"/>
      <w:contextualSpacing/>
    </w:pPr>
  </w:style>
  <w:style w:type="paragraph" w:styleId="45">
    <w:name w:val="List 4"/>
    <w:basedOn w:val="a2"/>
    <w:uiPriority w:val="99"/>
    <w:semiHidden/>
    <w:rsid w:val="00F93802"/>
    <w:pPr>
      <w:ind w:left="1132" w:hanging="283"/>
      <w:contextualSpacing/>
    </w:pPr>
  </w:style>
  <w:style w:type="paragraph" w:styleId="55">
    <w:name w:val="List 5"/>
    <w:basedOn w:val="a2"/>
    <w:uiPriority w:val="99"/>
    <w:semiHidden/>
    <w:rsid w:val="00F93802"/>
    <w:pPr>
      <w:ind w:left="1415" w:hanging="283"/>
      <w:contextualSpacing/>
    </w:pPr>
  </w:style>
  <w:style w:type="paragraph" w:styleId="a1">
    <w:name w:val="List Bullet"/>
    <w:basedOn w:val="a2"/>
    <w:uiPriority w:val="99"/>
    <w:semiHidden/>
    <w:rsid w:val="00F93802"/>
    <w:pPr>
      <w:numPr>
        <w:numId w:val="9"/>
      </w:numPr>
    </w:pPr>
  </w:style>
  <w:style w:type="paragraph" w:styleId="30">
    <w:name w:val="List Bullet 3"/>
    <w:basedOn w:val="a2"/>
    <w:uiPriority w:val="99"/>
    <w:semiHidden/>
    <w:rsid w:val="00F93802"/>
    <w:pPr>
      <w:numPr>
        <w:numId w:val="11"/>
      </w:numPr>
      <w:contextualSpacing/>
    </w:pPr>
  </w:style>
  <w:style w:type="paragraph" w:styleId="40">
    <w:name w:val="List Bullet 4"/>
    <w:basedOn w:val="a2"/>
    <w:uiPriority w:val="99"/>
    <w:semiHidden/>
    <w:rsid w:val="00F93802"/>
    <w:pPr>
      <w:numPr>
        <w:numId w:val="12"/>
      </w:numPr>
      <w:contextualSpacing/>
    </w:pPr>
  </w:style>
  <w:style w:type="paragraph" w:styleId="50">
    <w:name w:val="List Bullet 5"/>
    <w:basedOn w:val="a2"/>
    <w:uiPriority w:val="99"/>
    <w:semiHidden/>
    <w:rsid w:val="00F93802"/>
    <w:pPr>
      <w:numPr>
        <w:numId w:val="13"/>
      </w:numPr>
      <w:contextualSpacing/>
    </w:pPr>
  </w:style>
  <w:style w:type="paragraph" w:styleId="affff9">
    <w:name w:val="List Continue"/>
    <w:basedOn w:val="a2"/>
    <w:uiPriority w:val="99"/>
    <w:semiHidden/>
    <w:rsid w:val="00F93802"/>
    <w:pPr>
      <w:spacing w:after="120"/>
      <w:ind w:left="283"/>
      <w:contextualSpacing/>
    </w:pPr>
  </w:style>
  <w:style w:type="paragraph" w:styleId="2f">
    <w:name w:val="List Continue 2"/>
    <w:basedOn w:val="a2"/>
    <w:uiPriority w:val="99"/>
    <w:semiHidden/>
    <w:rsid w:val="00F93802"/>
    <w:pPr>
      <w:spacing w:after="120"/>
      <w:ind w:left="566"/>
      <w:contextualSpacing/>
    </w:pPr>
  </w:style>
  <w:style w:type="paragraph" w:styleId="3a">
    <w:name w:val="List Continue 3"/>
    <w:basedOn w:val="a2"/>
    <w:uiPriority w:val="99"/>
    <w:semiHidden/>
    <w:rsid w:val="00F93802"/>
    <w:pPr>
      <w:spacing w:after="120"/>
      <w:ind w:left="849"/>
      <w:contextualSpacing/>
    </w:pPr>
  </w:style>
  <w:style w:type="paragraph" w:styleId="46">
    <w:name w:val="List Continue 4"/>
    <w:basedOn w:val="a2"/>
    <w:uiPriority w:val="99"/>
    <w:semiHidden/>
    <w:rsid w:val="00F93802"/>
    <w:pPr>
      <w:spacing w:after="120"/>
      <w:ind w:left="1132"/>
      <w:contextualSpacing/>
    </w:pPr>
  </w:style>
  <w:style w:type="paragraph" w:styleId="56">
    <w:name w:val="List Continue 5"/>
    <w:basedOn w:val="a2"/>
    <w:uiPriority w:val="99"/>
    <w:semiHidden/>
    <w:rsid w:val="00F93802"/>
    <w:pPr>
      <w:spacing w:after="120"/>
      <w:ind w:left="1415"/>
      <w:contextualSpacing/>
    </w:pPr>
  </w:style>
  <w:style w:type="paragraph" w:styleId="a">
    <w:name w:val="List Number"/>
    <w:basedOn w:val="a2"/>
    <w:uiPriority w:val="99"/>
    <w:semiHidden/>
    <w:rsid w:val="00F93802"/>
    <w:pPr>
      <w:numPr>
        <w:numId w:val="14"/>
      </w:numPr>
      <w:contextualSpacing/>
    </w:pPr>
  </w:style>
  <w:style w:type="paragraph" w:styleId="2">
    <w:name w:val="List Number 2"/>
    <w:basedOn w:val="a2"/>
    <w:uiPriority w:val="99"/>
    <w:semiHidden/>
    <w:rsid w:val="00F93802"/>
    <w:pPr>
      <w:numPr>
        <w:numId w:val="15"/>
      </w:numPr>
      <w:contextualSpacing/>
    </w:pPr>
  </w:style>
  <w:style w:type="paragraph" w:styleId="3">
    <w:name w:val="List Number 3"/>
    <w:basedOn w:val="a2"/>
    <w:uiPriority w:val="99"/>
    <w:semiHidden/>
    <w:rsid w:val="00F93802"/>
    <w:pPr>
      <w:numPr>
        <w:numId w:val="16"/>
      </w:numPr>
      <w:contextualSpacing/>
    </w:pPr>
  </w:style>
  <w:style w:type="paragraph" w:styleId="4">
    <w:name w:val="List Number 4"/>
    <w:basedOn w:val="a2"/>
    <w:uiPriority w:val="99"/>
    <w:semiHidden/>
    <w:rsid w:val="00F93802"/>
    <w:pPr>
      <w:numPr>
        <w:numId w:val="17"/>
      </w:numPr>
      <w:contextualSpacing/>
    </w:pPr>
  </w:style>
  <w:style w:type="paragraph" w:styleId="5">
    <w:name w:val="List Number 5"/>
    <w:basedOn w:val="a2"/>
    <w:uiPriority w:val="99"/>
    <w:semiHidden/>
    <w:rsid w:val="00F93802"/>
    <w:pPr>
      <w:numPr>
        <w:numId w:val="18"/>
      </w:numPr>
      <w:contextualSpacing/>
    </w:pPr>
  </w:style>
  <w:style w:type="paragraph" w:styleId="affffa">
    <w:name w:val="macro"/>
    <w:link w:val="affffb"/>
    <w:uiPriority w:val="99"/>
    <w:semiHidden/>
    <w:rsid w:val="00F938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F93802"/>
    <w:rPr>
      <w:rFonts w:ascii="Consolas" w:eastAsiaTheme="minorEastAsia" w:hAnsi="Consolas" w:cs="Consolas"/>
      <w:sz w:val="20"/>
      <w:szCs w:val="20"/>
    </w:rPr>
  </w:style>
  <w:style w:type="table" w:styleId="13">
    <w:name w:val="Medium Grid 1"/>
    <w:basedOn w:val="a4"/>
    <w:uiPriority w:val="99"/>
    <w:semiHidden/>
    <w:rsid w:val="00F938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F9380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F9380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F9380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F9380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F9380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F9380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F9380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F938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F9380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F9380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F9380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F9380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F9380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F9380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F9380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F938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F9380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F9380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F9380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F9380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F9380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F9380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F938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F938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F93802"/>
    <w:rPr>
      <w:rFonts w:asciiTheme="majorHAnsi" w:eastAsiaTheme="majorEastAsia" w:hAnsiTheme="majorHAnsi" w:cstheme="majorBidi"/>
      <w:sz w:val="24"/>
      <w:szCs w:val="24"/>
      <w:shd w:val="pct20" w:color="auto" w:fill="auto"/>
      <w:lang w:val="fr-FR"/>
    </w:rPr>
  </w:style>
  <w:style w:type="paragraph" w:styleId="affffe">
    <w:name w:val="Normal (Web)"/>
    <w:basedOn w:val="a2"/>
    <w:uiPriority w:val="99"/>
    <w:semiHidden/>
    <w:rsid w:val="00F93802"/>
    <w:rPr>
      <w:rFonts w:ascii="Times New Roman" w:hAnsi="Times New Roman" w:cs="Times New Roman"/>
      <w:szCs w:val="24"/>
    </w:rPr>
  </w:style>
  <w:style w:type="paragraph" w:styleId="afffff">
    <w:name w:val="Normal Indent"/>
    <w:basedOn w:val="a2"/>
    <w:uiPriority w:val="99"/>
    <w:semiHidden/>
    <w:rsid w:val="00F93802"/>
    <w:pPr>
      <w:ind w:left="720"/>
    </w:pPr>
  </w:style>
  <w:style w:type="paragraph" w:styleId="afffff0">
    <w:name w:val="Note Heading"/>
    <w:basedOn w:val="a2"/>
    <w:next w:val="a2"/>
    <w:link w:val="afffff1"/>
    <w:uiPriority w:val="99"/>
    <w:semiHidden/>
    <w:rsid w:val="00F93802"/>
  </w:style>
  <w:style w:type="character" w:customStyle="1" w:styleId="afffff1">
    <w:name w:val="Заголовок записки Знак"/>
    <w:basedOn w:val="a3"/>
    <w:link w:val="afffff0"/>
    <w:uiPriority w:val="99"/>
    <w:semiHidden/>
    <w:rsid w:val="00F93802"/>
    <w:rPr>
      <w:rFonts w:eastAsiaTheme="minorEastAsia"/>
      <w:sz w:val="24"/>
      <w:lang w:val="fr-FR"/>
    </w:rPr>
  </w:style>
  <w:style w:type="character" w:styleId="afffff2">
    <w:name w:val="Placeholder Text"/>
    <w:basedOn w:val="a3"/>
    <w:uiPriority w:val="99"/>
    <w:semiHidden/>
    <w:rsid w:val="00F93802"/>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F93802"/>
    <w:rPr>
      <w:rFonts w:ascii="Consolas" w:hAnsi="Consolas" w:cs="Consolas"/>
      <w:sz w:val="21"/>
      <w:szCs w:val="21"/>
    </w:rPr>
  </w:style>
  <w:style w:type="character" w:customStyle="1" w:styleId="afffff4">
    <w:name w:val="Текст Знак"/>
    <w:basedOn w:val="a3"/>
    <w:link w:val="afffff3"/>
    <w:uiPriority w:val="99"/>
    <w:semiHidden/>
    <w:rsid w:val="00F93802"/>
    <w:rPr>
      <w:rFonts w:ascii="Consolas" w:eastAsiaTheme="minorEastAsia" w:hAnsi="Consolas" w:cs="Consolas"/>
      <w:sz w:val="21"/>
      <w:szCs w:val="21"/>
      <w:lang w:val="fr-FR"/>
    </w:rPr>
  </w:style>
  <w:style w:type="paragraph" w:styleId="afffff5">
    <w:name w:val="Salutation"/>
    <w:basedOn w:val="a2"/>
    <w:next w:val="a2"/>
    <w:link w:val="afffff6"/>
    <w:uiPriority w:val="99"/>
    <w:semiHidden/>
    <w:rsid w:val="00F93802"/>
  </w:style>
  <w:style w:type="character" w:customStyle="1" w:styleId="afffff6">
    <w:name w:val="Приветствие Знак"/>
    <w:basedOn w:val="a3"/>
    <w:link w:val="afffff5"/>
    <w:uiPriority w:val="99"/>
    <w:semiHidden/>
    <w:rsid w:val="00F93802"/>
    <w:rPr>
      <w:rFonts w:eastAsiaTheme="minorEastAsia"/>
      <w:sz w:val="24"/>
      <w:lang w:val="fr-FR"/>
    </w:rPr>
  </w:style>
  <w:style w:type="paragraph" w:styleId="afffff7">
    <w:name w:val="Signature"/>
    <w:basedOn w:val="a2"/>
    <w:link w:val="afffff8"/>
    <w:uiPriority w:val="99"/>
    <w:semiHidden/>
    <w:rsid w:val="00F93802"/>
    <w:pPr>
      <w:ind w:left="4252"/>
    </w:pPr>
  </w:style>
  <w:style w:type="character" w:customStyle="1" w:styleId="afffff8">
    <w:name w:val="Подпись Знак"/>
    <w:basedOn w:val="a3"/>
    <w:link w:val="afffff7"/>
    <w:uiPriority w:val="99"/>
    <w:semiHidden/>
    <w:rsid w:val="00F93802"/>
    <w:rPr>
      <w:rFonts w:eastAsiaTheme="minorEastAsia"/>
      <w:sz w:val="24"/>
      <w:lang w:val="fr-FR"/>
    </w:rPr>
  </w:style>
  <w:style w:type="table" w:styleId="16">
    <w:name w:val="Table 3D effects 1"/>
    <w:basedOn w:val="a4"/>
    <w:uiPriority w:val="99"/>
    <w:semiHidden/>
    <w:unhideWhenUsed/>
    <w:rsid w:val="00F93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F93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F93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93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F93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F93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93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93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F93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F93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93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F93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93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93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93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F93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F93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93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F93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F93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93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93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93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93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93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F93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F93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F93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F93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F93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F93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93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93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F93802"/>
    <w:pPr>
      <w:ind w:left="240" w:hanging="240"/>
    </w:pPr>
  </w:style>
  <w:style w:type="paragraph" w:styleId="afffffc">
    <w:name w:val="table of figures"/>
    <w:basedOn w:val="a2"/>
    <w:next w:val="a2"/>
    <w:uiPriority w:val="99"/>
    <w:semiHidden/>
    <w:rsid w:val="00F93802"/>
  </w:style>
  <w:style w:type="table" w:styleId="afffffd">
    <w:name w:val="Table Professional"/>
    <w:basedOn w:val="a4"/>
    <w:uiPriority w:val="99"/>
    <w:semiHidden/>
    <w:unhideWhenUsed/>
    <w:rsid w:val="00F93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F93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F93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F93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F93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F93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F93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F93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F93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F93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F93802"/>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F93802"/>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F93802"/>
    <w:pPr>
      <w:spacing w:after="100"/>
      <w:ind w:left="1680"/>
    </w:pPr>
  </w:style>
  <w:style w:type="paragraph" w:styleId="92">
    <w:name w:val="toc 9"/>
    <w:basedOn w:val="a2"/>
    <w:next w:val="a2"/>
    <w:autoRedefine/>
    <w:uiPriority w:val="99"/>
    <w:semiHidden/>
    <w:rsid w:val="00F93802"/>
    <w:pPr>
      <w:spacing w:after="100"/>
      <w:ind w:left="1920"/>
    </w:pPr>
  </w:style>
  <w:style w:type="paragraph" w:customStyle="1" w:styleId="ECHRFooter">
    <w:name w:val="ECHR_Footer"/>
    <w:aliases w:val="Footer_ECHR"/>
    <w:basedOn w:val="af"/>
    <w:uiPriority w:val="57"/>
    <w:semiHidden/>
    <w:rsid w:val="00D20A92"/>
    <w:rPr>
      <w:sz w:val="8"/>
    </w:rPr>
  </w:style>
  <w:style w:type="paragraph" w:customStyle="1" w:styleId="FooterLine">
    <w:name w:val="_Footer_Line"/>
    <w:aliases w:val="Footer_Line,ECHR_Footer_Line"/>
    <w:basedOn w:val="a2"/>
    <w:next w:val="Footer"/>
    <w:uiPriority w:val="57"/>
    <w:semiHidden/>
    <w:rsid w:val="00F93802"/>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ECHR_Title_Centre_2"/>
    <w:basedOn w:val="JuPara"/>
    <w:next w:val="JuPara"/>
    <w:uiPriority w:val="8"/>
    <w:qFormat/>
    <w:rsid w:val="00F93802"/>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4"/>
    <w:qFormat/>
    <w:rsid w:val="00F93802"/>
    <w:pPr>
      <w:tabs>
        <w:tab w:val="clear" w:pos="3686"/>
        <w:tab w:val="clear" w:pos="7371"/>
        <w:tab w:val="center" w:pos="6146"/>
        <w:tab w:val="right" w:pos="12293"/>
      </w:tabs>
    </w:pPr>
  </w:style>
  <w:style w:type="paragraph" w:customStyle="1" w:styleId="ECHRParaSpaced">
    <w:name w:val="ECHR_Para_Spaced"/>
    <w:aliases w:val="Para_Spaced"/>
    <w:basedOn w:val="a2"/>
    <w:uiPriority w:val="4"/>
    <w:qFormat/>
    <w:rsid w:val="000031BA"/>
    <w:pPr>
      <w:spacing w:before="120" w:after="120"/>
      <w:jc w:val="both"/>
    </w:pPr>
    <w:rPr>
      <w:lang w:val="en-GB"/>
    </w:rPr>
  </w:style>
  <w:style w:type="character" w:customStyle="1" w:styleId="JuParaChar">
    <w:name w:val="Ju_Para Char"/>
    <w:aliases w:val="_Para Char"/>
    <w:link w:val="JuPara"/>
    <w:uiPriority w:val="8"/>
    <w:rsid w:val="009E4EFC"/>
    <w:rPr>
      <w:rFonts w:eastAsiaTheme="minorEastAsia"/>
      <w:sz w:val="24"/>
      <w:lang w:val="fr-FR"/>
    </w:rPr>
  </w:style>
  <w:style w:type="paragraph" w:customStyle="1" w:styleId="JuAppQuestion">
    <w:name w:val="Ju_App_Question"/>
    <w:basedOn w:val="a2"/>
    <w:uiPriority w:val="5"/>
    <w:qFormat/>
    <w:rsid w:val="009E4EFC"/>
    <w:pPr>
      <w:numPr>
        <w:numId w:val="23"/>
      </w:numPr>
    </w:pPr>
    <w:rPr>
      <w:b/>
      <w:lang w:val="en-US"/>
    </w:rPr>
  </w:style>
  <w:style w:type="paragraph" w:customStyle="1" w:styleId="JuParaSub">
    <w:name w:val="Ju_Para_Sub"/>
    <w:basedOn w:val="JuPara"/>
    <w:uiPriority w:val="13"/>
    <w:qFormat/>
    <w:rsid w:val="009E4EFC"/>
    <w:pPr>
      <w:ind w:left="284"/>
    </w:pPr>
    <w:rPr>
      <w:lang w:val="en-US"/>
    </w:rPr>
  </w:style>
  <w:style w:type="paragraph" w:customStyle="1" w:styleId="ECHRTitleCentre1">
    <w:name w:val="ECHR_Title_Centre_1"/>
    <w:aliases w:val="Opi_H_Head"/>
    <w:basedOn w:val="a2"/>
    <w:next w:val="a2"/>
    <w:uiPriority w:val="39"/>
    <w:qFormat/>
    <w:rsid w:val="009E4EFC"/>
    <w:pPr>
      <w:keepNext/>
      <w:keepLines/>
      <w:spacing w:after="240"/>
      <w:jc w:val="center"/>
      <w:outlineLvl w:val="0"/>
    </w:pPr>
    <w:rPr>
      <w:rFonts w:asciiTheme="majorHAnsi" w:hAnsiTheme="majorHAnsi"/>
      <w:sz w:val="28"/>
      <w:lang w:val="en-US"/>
    </w:rPr>
  </w:style>
  <w:style w:type="paragraph" w:customStyle="1" w:styleId="JuQuotSub">
    <w:name w:val="Ju_Quot_Sub"/>
    <w:basedOn w:val="JuQuot"/>
    <w:uiPriority w:val="15"/>
    <w:qFormat/>
    <w:rsid w:val="009E4EFC"/>
    <w:pPr>
      <w:ind w:left="567"/>
    </w:pPr>
    <w:rPr>
      <w:lang w:val="en-US"/>
    </w:rPr>
  </w:style>
  <w:style w:type="character" w:customStyle="1" w:styleId="JuNames0">
    <w:name w:val="Ju_Names"/>
    <w:rsid w:val="009E4EFC"/>
    <w:rPr>
      <w:rFonts w:ascii="Times New Roman" w:hAnsi="Times New Roman" w:cs="Times New Roman"/>
      <w:smallCaps/>
    </w:rPr>
  </w:style>
  <w:style w:type="paragraph" w:styleId="affffff">
    <w:name w:val="Revision"/>
    <w:hidden/>
    <w:uiPriority w:val="99"/>
    <w:semiHidden/>
    <w:rsid w:val="009E4EF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7534">
      <w:bodyDiv w:val="1"/>
      <w:marLeft w:val="0"/>
      <w:marRight w:val="0"/>
      <w:marTop w:val="0"/>
      <w:marBottom w:val="0"/>
      <w:divBdr>
        <w:top w:val="none" w:sz="0" w:space="0" w:color="auto"/>
        <w:left w:val="none" w:sz="0" w:space="0" w:color="auto"/>
        <w:bottom w:val="none" w:sz="0" w:space="0" w:color="auto"/>
        <w:right w:val="none" w:sz="0" w:space="0" w:color="auto"/>
      </w:divBdr>
    </w:div>
    <w:div w:id="1187252983">
      <w:bodyDiv w:val="1"/>
      <w:marLeft w:val="0"/>
      <w:marRight w:val="0"/>
      <w:marTop w:val="0"/>
      <w:marBottom w:val="0"/>
      <w:divBdr>
        <w:top w:val="none" w:sz="0" w:space="0" w:color="auto"/>
        <w:left w:val="none" w:sz="0" w:space="0" w:color="auto"/>
        <w:bottom w:val="none" w:sz="0" w:space="0" w:color="auto"/>
        <w:right w:val="none" w:sz="0" w:space="0" w:color="auto"/>
      </w:divBdr>
    </w:div>
    <w:div w:id="124599110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469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CD65-7E72-4BF8-8621-5D97D75287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43460D-AA95-47A5-B910-8928E749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66F98F-0A26-4500-A4A7-AF8C842379E8}">
  <ds:schemaRefs>
    <ds:schemaRef ds:uri="http://schemas.microsoft.com/sharepoint/v3/contenttype/forms"/>
  </ds:schemaRefs>
</ds:datastoreItem>
</file>

<file path=customXml/itemProps4.xml><?xml version="1.0" encoding="utf-8"?>
<ds:datastoreItem xmlns:ds="http://schemas.openxmlformats.org/officeDocument/2006/customXml" ds:itemID="{3AF2C713-F922-47B0-80C7-49D52E70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2969</Words>
  <Characters>16929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2019-10-20T08:18:00Z</dcterms:created>
  <dcterms:modified xsi:type="dcterms:W3CDTF">2019-10-20T08:18:00Z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45668/05</vt:lpwstr>
  </property>
  <property fmtid="{D5CDD505-2E9C-101B-9397-08002B2CF9AE}" pid="4" name="CASEID">
    <vt:lpwstr>375923</vt:lpwstr>
  </property>
  <property fmtid="{D5CDD505-2E9C-101B-9397-08002B2CF9AE}" pid="5" name="ContentTypeId">
    <vt:lpwstr>0x010100558EB02BDB9E204AB350EDD385B68E10</vt:lpwstr>
  </property>
</Properties>
</file>