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66" w:rsidRPr="00542B4F" w:rsidRDefault="00014566" w:rsidP="00542B4F">
      <w:pPr>
        <w:pStyle w:val="ECHRDecisionBody"/>
        <w:jc w:val="center"/>
      </w:pPr>
      <w:bookmarkStart w:id="0" w:name="_GoBack"/>
      <w:bookmarkEnd w:id="0"/>
    </w:p>
    <w:p w:rsidR="00142BC3" w:rsidRPr="00542B4F" w:rsidRDefault="00142BC3" w:rsidP="00542B4F">
      <w:pPr>
        <w:pStyle w:val="ECHRDecisionBody"/>
        <w:jc w:val="center"/>
      </w:pPr>
    </w:p>
    <w:p w:rsidR="00142BC3" w:rsidRPr="00542B4F" w:rsidRDefault="00142BC3" w:rsidP="00542B4F">
      <w:pPr>
        <w:pStyle w:val="ECHRDecisionBody"/>
        <w:jc w:val="center"/>
      </w:pPr>
    </w:p>
    <w:p w:rsidR="00014566" w:rsidRPr="00542B4F" w:rsidRDefault="00252EC6" w:rsidP="00542B4F">
      <w:pPr>
        <w:jc w:val="center"/>
      </w:pPr>
      <w:r w:rsidRPr="00542B4F">
        <w:t>THIRD</w:t>
      </w:r>
      <w:r w:rsidR="00017F87" w:rsidRPr="00542B4F">
        <w:t xml:space="preserve"> SECTION</w:t>
      </w:r>
    </w:p>
    <w:p w:rsidR="00014566" w:rsidRPr="00542B4F" w:rsidRDefault="00014566"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014566" w:rsidRPr="00542B4F" w:rsidRDefault="00014566" w:rsidP="00542B4F">
      <w:pPr>
        <w:jc w:val="center"/>
        <w:rPr>
          <w:b/>
        </w:rPr>
      </w:pPr>
      <w:bookmarkStart w:id="1" w:name="To"/>
      <w:r w:rsidRPr="00542B4F">
        <w:rPr>
          <w:b/>
        </w:rPr>
        <w:t xml:space="preserve">CASE OF </w:t>
      </w:r>
      <w:bookmarkEnd w:id="1"/>
      <w:r w:rsidR="00017F87" w:rsidRPr="00542B4F">
        <w:rPr>
          <w:b/>
        </w:rPr>
        <w:t>KONAKOV v. RUSSIA</w:t>
      </w:r>
    </w:p>
    <w:p w:rsidR="00014566" w:rsidRPr="00542B4F" w:rsidRDefault="00014566" w:rsidP="00542B4F">
      <w:pPr>
        <w:jc w:val="center"/>
      </w:pPr>
    </w:p>
    <w:p w:rsidR="00014566" w:rsidRPr="00542B4F" w:rsidRDefault="00014566" w:rsidP="00542B4F">
      <w:pPr>
        <w:jc w:val="center"/>
        <w:rPr>
          <w:i/>
        </w:rPr>
      </w:pPr>
      <w:r w:rsidRPr="00542B4F">
        <w:rPr>
          <w:i/>
        </w:rPr>
        <w:t>(</w:t>
      </w:r>
      <w:r w:rsidR="00017F87" w:rsidRPr="00542B4F">
        <w:rPr>
          <w:i/>
        </w:rPr>
        <w:t>Application no.</w:t>
      </w:r>
      <w:r w:rsidR="000A5E4C" w:rsidRPr="00542B4F">
        <w:rPr>
          <w:i/>
        </w:rPr>
        <w:t> </w:t>
      </w:r>
      <w:r w:rsidR="00017F87" w:rsidRPr="00542B4F">
        <w:rPr>
          <w:i/>
        </w:rPr>
        <w:t>731/07</w:t>
      </w:r>
      <w:r w:rsidRPr="00542B4F">
        <w:rPr>
          <w:i/>
        </w:rPr>
        <w:t>)</w:t>
      </w:r>
    </w:p>
    <w:p w:rsidR="00014566" w:rsidRPr="00542B4F" w:rsidRDefault="00014566" w:rsidP="00542B4F">
      <w:pPr>
        <w:jc w:val="center"/>
      </w:pPr>
    </w:p>
    <w:p w:rsidR="00014566" w:rsidRPr="00542B4F" w:rsidRDefault="00014566" w:rsidP="00542B4F">
      <w:pPr>
        <w:jc w:val="center"/>
      </w:pPr>
    </w:p>
    <w:p w:rsidR="00014566" w:rsidRPr="00542B4F" w:rsidRDefault="00014566"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142BC3" w:rsidRPr="00542B4F" w:rsidRDefault="00142BC3" w:rsidP="00542B4F">
      <w:pPr>
        <w:jc w:val="center"/>
      </w:pPr>
    </w:p>
    <w:p w:rsidR="00014566" w:rsidRPr="00542B4F" w:rsidRDefault="00014566" w:rsidP="00542B4F">
      <w:pPr>
        <w:jc w:val="center"/>
      </w:pPr>
    </w:p>
    <w:p w:rsidR="00014566" w:rsidRPr="00542B4F" w:rsidRDefault="00014566" w:rsidP="00542B4F">
      <w:pPr>
        <w:jc w:val="center"/>
      </w:pPr>
    </w:p>
    <w:p w:rsidR="00014566" w:rsidRPr="00542B4F" w:rsidRDefault="00014566" w:rsidP="00542B4F">
      <w:pPr>
        <w:jc w:val="center"/>
      </w:pPr>
    </w:p>
    <w:p w:rsidR="00014566" w:rsidRPr="00542B4F" w:rsidRDefault="00142BC3" w:rsidP="00542B4F">
      <w:pPr>
        <w:jc w:val="center"/>
        <w:rPr>
          <w:szCs w:val="24"/>
        </w:rPr>
      </w:pPr>
      <w:r w:rsidRPr="00542B4F">
        <w:rPr>
          <w:szCs w:val="24"/>
        </w:rPr>
        <w:t>JUDGMENT</w:t>
      </w:r>
    </w:p>
    <w:p w:rsidR="002B24E9" w:rsidRDefault="002B24E9" w:rsidP="00542B4F">
      <w:pPr>
        <w:jc w:val="center"/>
        <w:rPr>
          <w:szCs w:val="24"/>
        </w:rPr>
      </w:pPr>
    </w:p>
    <w:p w:rsidR="00542B4F" w:rsidRDefault="00542B4F" w:rsidP="00542B4F">
      <w:pPr>
        <w:jc w:val="center"/>
        <w:rPr>
          <w:szCs w:val="24"/>
        </w:rPr>
      </w:pPr>
    </w:p>
    <w:p w:rsidR="00542B4F" w:rsidRDefault="00542B4F" w:rsidP="00542B4F">
      <w:pPr>
        <w:jc w:val="center"/>
        <w:rPr>
          <w:szCs w:val="24"/>
        </w:rPr>
      </w:pPr>
    </w:p>
    <w:p w:rsidR="00142BC3" w:rsidRPr="00542B4F" w:rsidRDefault="00142BC3" w:rsidP="00542B4F">
      <w:pPr>
        <w:pStyle w:val="JuCase"/>
        <w:ind w:firstLine="0"/>
        <w:jc w:val="center"/>
        <w:rPr>
          <w:b w:val="0"/>
        </w:rPr>
      </w:pPr>
    </w:p>
    <w:p w:rsidR="00142BC3" w:rsidRPr="00542B4F" w:rsidRDefault="00142BC3" w:rsidP="00542B4F">
      <w:pPr>
        <w:pStyle w:val="JuCase"/>
        <w:ind w:firstLine="0"/>
        <w:jc w:val="center"/>
        <w:rPr>
          <w:b w:val="0"/>
        </w:rPr>
      </w:pPr>
    </w:p>
    <w:p w:rsidR="00142BC3" w:rsidRPr="00542B4F" w:rsidRDefault="00142BC3" w:rsidP="00542B4F">
      <w:pPr>
        <w:pStyle w:val="JuCase"/>
        <w:ind w:firstLine="0"/>
        <w:jc w:val="center"/>
        <w:rPr>
          <w:b w:val="0"/>
        </w:rPr>
      </w:pPr>
      <w:r w:rsidRPr="00542B4F">
        <w:rPr>
          <w:b w:val="0"/>
        </w:rPr>
        <w:t>STRASBOURG</w:t>
      </w:r>
    </w:p>
    <w:p w:rsidR="00142BC3" w:rsidRPr="00542B4F" w:rsidRDefault="00142BC3" w:rsidP="00542B4F">
      <w:pPr>
        <w:pStyle w:val="JuCase"/>
        <w:ind w:firstLine="0"/>
        <w:jc w:val="center"/>
        <w:rPr>
          <w:b w:val="0"/>
        </w:rPr>
      </w:pPr>
    </w:p>
    <w:p w:rsidR="00142BC3" w:rsidRPr="00542B4F" w:rsidRDefault="00142BC3" w:rsidP="00542B4F">
      <w:pPr>
        <w:pStyle w:val="JuCase"/>
        <w:ind w:firstLine="0"/>
        <w:jc w:val="center"/>
        <w:rPr>
          <w:b w:val="0"/>
        </w:rPr>
      </w:pPr>
      <w:r w:rsidRPr="00542B4F">
        <w:rPr>
          <w:b w:val="0"/>
        </w:rPr>
        <w:t>3 December 2019</w:t>
      </w:r>
    </w:p>
    <w:p w:rsidR="00142BC3" w:rsidRDefault="00142BC3" w:rsidP="00542B4F">
      <w:pPr>
        <w:pStyle w:val="JuCase"/>
        <w:ind w:firstLine="0"/>
        <w:jc w:val="center"/>
        <w:rPr>
          <w:b w:val="0"/>
        </w:rPr>
      </w:pPr>
    </w:p>
    <w:p w:rsidR="00542B4F" w:rsidRDefault="00542B4F" w:rsidP="00542B4F">
      <w:pPr>
        <w:pStyle w:val="ECHRPara"/>
        <w:ind w:firstLine="0"/>
        <w:jc w:val="center"/>
      </w:pPr>
    </w:p>
    <w:p w:rsidR="00542B4F" w:rsidRPr="00542B4F" w:rsidRDefault="00542B4F" w:rsidP="00542B4F">
      <w:pPr>
        <w:pStyle w:val="ECHRPara"/>
        <w:ind w:firstLine="0"/>
        <w:jc w:val="center"/>
      </w:pPr>
    </w:p>
    <w:p w:rsidR="00142BC3" w:rsidRPr="00542B4F" w:rsidRDefault="00142BC3" w:rsidP="00542B4F">
      <w:pPr>
        <w:pStyle w:val="JuCase"/>
        <w:ind w:firstLine="0"/>
        <w:jc w:val="left"/>
        <w:rPr>
          <w:b w:val="0"/>
        </w:rPr>
        <w:sectPr w:rsidR="00142BC3" w:rsidRPr="00542B4F" w:rsidSect="00142BC3">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r w:rsidRPr="00542B4F">
        <w:rPr>
          <w:b w:val="0"/>
          <w:i/>
          <w:sz w:val="22"/>
        </w:rPr>
        <w:t>This judgment is final but it may be subject to editorial revision.</w:t>
      </w:r>
    </w:p>
    <w:p w:rsidR="00014566" w:rsidRPr="00542B4F" w:rsidRDefault="00014566" w:rsidP="00542B4F">
      <w:pPr>
        <w:pStyle w:val="JuCase"/>
        <w:rPr>
          <w:bCs/>
        </w:rPr>
      </w:pPr>
      <w:r w:rsidRPr="00542B4F">
        <w:lastRenderedPageBreak/>
        <w:t xml:space="preserve">In the case of </w:t>
      </w:r>
      <w:r w:rsidR="00017F87" w:rsidRPr="00542B4F">
        <w:t>Konakov v. Russia</w:t>
      </w:r>
      <w:r w:rsidRPr="00542B4F">
        <w:t>,</w:t>
      </w:r>
    </w:p>
    <w:p w:rsidR="00014566" w:rsidRPr="00542B4F" w:rsidRDefault="00014566" w:rsidP="00542B4F">
      <w:pPr>
        <w:pStyle w:val="ECHRPara"/>
      </w:pPr>
      <w:r w:rsidRPr="00542B4F">
        <w:t>The European Court of Human Rights (</w:t>
      </w:r>
      <w:r w:rsidR="00AF1EE5" w:rsidRPr="00542B4F">
        <w:t>Third</w:t>
      </w:r>
      <w:r w:rsidR="00017F87" w:rsidRPr="00542B4F">
        <w:t xml:space="preserve"> Section</w:t>
      </w:r>
      <w:r w:rsidRPr="00542B4F">
        <w:t xml:space="preserve">), sitting as a </w:t>
      </w:r>
      <w:r w:rsidR="00165040" w:rsidRPr="00542B4F">
        <w:t>Committee</w:t>
      </w:r>
      <w:r w:rsidRPr="00542B4F">
        <w:t xml:space="preserve"> composed of:</w:t>
      </w:r>
    </w:p>
    <w:p w:rsidR="00014566" w:rsidRPr="00542B4F" w:rsidRDefault="00142BC3" w:rsidP="00542B4F">
      <w:pPr>
        <w:pStyle w:val="ECHRDecisionBody"/>
      </w:pPr>
      <w:r w:rsidRPr="00542B4F">
        <w:tab/>
        <w:t>Alena Poláčková,</w:t>
      </w:r>
      <w:r w:rsidRPr="00542B4F">
        <w:rPr>
          <w:i/>
        </w:rPr>
        <w:t xml:space="preserve"> President,</w:t>
      </w:r>
      <w:r w:rsidRPr="00542B4F">
        <w:rPr>
          <w:i/>
        </w:rPr>
        <w:br/>
      </w:r>
      <w:r w:rsidRPr="00542B4F">
        <w:tab/>
        <w:t>Dmitry Dedov,</w:t>
      </w:r>
      <w:r w:rsidRPr="00542B4F">
        <w:rPr>
          <w:i/>
        </w:rPr>
        <w:br/>
      </w:r>
      <w:r w:rsidRPr="00542B4F">
        <w:tab/>
        <w:t>Gilberto Felici,</w:t>
      </w:r>
      <w:r w:rsidRPr="00542B4F">
        <w:rPr>
          <w:i/>
        </w:rPr>
        <w:t xml:space="preserve"> judges,</w:t>
      </w:r>
      <w:r w:rsidR="00014566" w:rsidRPr="00542B4F">
        <w:rPr>
          <w:szCs w:val="24"/>
        </w:rPr>
        <w:br/>
      </w:r>
      <w:r w:rsidR="00014566" w:rsidRPr="00542B4F">
        <w:t xml:space="preserve">and </w:t>
      </w:r>
      <w:r w:rsidRPr="00542B4F">
        <w:t xml:space="preserve">Stephen Phillips, </w:t>
      </w:r>
      <w:r w:rsidRPr="00542B4F">
        <w:rPr>
          <w:i/>
        </w:rPr>
        <w:t xml:space="preserve">Section </w:t>
      </w:r>
      <w:r w:rsidR="00017F87" w:rsidRPr="00542B4F">
        <w:rPr>
          <w:i/>
          <w:iCs/>
        </w:rPr>
        <w:t>Registrar</w:t>
      </w:r>
      <w:r w:rsidR="00014566" w:rsidRPr="00542B4F">
        <w:rPr>
          <w:i/>
        </w:rPr>
        <w:t>,</w:t>
      </w:r>
    </w:p>
    <w:p w:rsidR="00014566" w:rsidRPr="00542B4F" w:rsidRDefault="00014566" w:rsidP="00542B4F">
      <w:pPr>
        <w:pStyle w:val="ECHRPara"/>
      </w:pPr>
      <w:r w:rsidRPr="00542B4F">
        <w:t xml:space="preserve">Having deliberated in private on </w:t>
      </w:r>
      <w:r w:rsidR="00142BC3" w:rsidRPr="00542B4F">
        <w:t>12 November 2019</w:t>
      </w:r>
      <w:r w:rsidRPr="00542B4F">
        <w:t>,</w:t>
      </w:r>
    </w:p>
    <w:p w:rsidR="00014566" w:rsidRPr="00542B4F" w:rsidRDefault="00014566" w:rsidP="00542B4F">
      <w:pPr>
        <w:pStyle w:val="ECHRPara"/>
      </w:pPr>
      <w:r w:rsidRPr="00542B4F">
        <w:t>Delivers the following judgment, which was adopted on that date:</w:t>
      </w:r>
    </w:p>
    <w:p w:rsidR="00014566" w:rsidRPr="00542B4F" w:rsidRDefault="00014566" w:rsidP="00542B4F">
      <w:pPr>
        <w:pStyle w:val="ECHRTitle1"/>
      </w:pPr>
      <w:r w:rsidRPr="00542B4F">
        <w:t>PROCEDURE</w:t>
      </w:r>
    </w:p>
    <w:p w:rsidR="00F72D1B" w:rsidRPr="00542B4F" w:rsidRDefault="00DA4EA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w:t>
      </w:r>
      <w:r w:rsidRPr="00542B4F">
        <w:fldChar w:fldCharType="end"/>
      </w:r>
      <w:r w:rsidRPr="00542B4F">
        <w:t>.  </w:t>
      </w:r>
      <w:r w:rsidR="00014566" w:rsidRPr="00542B4F">
        <w:t xml:space="preserve">The case originated in </w:t>
      </w:r>
      <w:r w:rsidR="000A49D4" w:rsidRPr="00542B4F">
        <w:t>an application (no. </w:t>
      </w:r>
      <w:r w:rsidR="00017F87" w:rsidRPr="00542B4F">
        <w:t>731/07)</w:t>
      </w:r>
      <w:r w:rsidR="00014566" w:rsidRPr="00542B4F">
        <w:t xml:space="preserve"> against </w:t>
      </w:r>
      <w:r w:rsidR="00017F87" w:rsidRPr="00542B4F">
        <w:t>the Russian Federation</w:t>
      </w:r>
      <w:r w:rsidR="00014566" w:rsidRPr="00542B4F">
        <w:t xml:space="preserve"> lodged with the </w:t>
      </w:r>
      <w:r w:rsidR="00017F87" w:rsidRPr="00542B4F">
        <w:t>Court under Article 34</w:t>
      </w:r>
      <w:r w:rsidR="00014566" w:rsidRPr="00542B4F">
        <w:t xml:space="preserve"> of the Convention for the Protection of Human Rights and Fundamental Freedoms (“the Convention”) by </w:t>
      </w:r>
      <w:r w:rsidR="00017F87" w:rsidRPr="00542B4F">
        <w:t>a Russian national, Mr Aleksey Viktorovich Konakov (“the applicant”), on 14 November 2006</w:t>
      </w:r>
      <w:r w:rsidR="00014566" w:rsidRPr="00542B4F">
        <w:t>.</w:t>
      </w:r>
    </w:p>
    <w:p w:rsidR="00017F87"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w:t>
      </w:r>
      <w:r w:rsidRPr="00542B4F">
        <w:fldChar w:fldCharType="end"/>
      </w:r>
      <w:r w:rsidR="00014566" w:rsidRPr="00542B4F">
        <w:t>.  </w:t>
      </w:r>
      <w:r w:rsidRPr="00542B4F">
        <w:t xml:space="preserve">The applicant was represented by </w:t>
      </w:r>
      <w:r w:rsidR="005B4774" w:rsidRPr="00542B4F">
        <w:t>Ms </w:t>
      </w:r>
      <w:r w:rsidRPr="00542B4F">
        <w:t>O.A.</w:t>
      </w:r>
      <w:r w:rsidR="005B4774" w:rsidRPr="00542B4F">
        <w:t> </w:t>
      </w:r>
      <w:r w:rsidRPr="00542B4F">
        <w:t>Sadovskaya</w:t>
      </w:r>
      <w:r w:rsidR="005C361C" w:rsidRPr="00542B4F">
        <w:t>,</w:t>
      </w:r>
      <w:r w:rsidR="005B4774" w:rsidRPr="00542B4F">
        <w:t xml:space="preserve"> Mr A.I. Ryzhov, Mr D.V. Yegoshin and Mr S.V. Podyzov,</w:t>
      </w:r>
      <w:r w:rsidR="005C361C" w:rsidRPr="00542B4F">
        <w:t xml:space="preserve"> lawyers </w:t>
      </w:r>
      <w:r w:rsidR="00AE38DA" w:rsidRPr="00542B4F">
        <w:t xml:space="preserve">of </w:t>
      </w:r>
      <w:r w:rsidR="00D8031F" w:rsidRPr="00542B4F">
        <w:t>the Committee Against Torture</w:t>
      </w:r>
      <w:r w:rsidR="0024574C" w:rsidRPr="00542B4F">
        <w:t>,</w:t>
      </w:r>
      <w:r w:rsidR="00D8031F" w:rsidRPr="00542B4F">
        <w:t xml:space="preserve"> </w:t>
      </w:r>
      <w:r w:rsidR="0024574C" w:rsidRPr="00542B4F">
        <w:t xml:space="preserve">an NGO </w:t>
      </w:r>
      <w:r w:rsidR="00D8031F" w:rsidRPr="00542B4F">
        <w:t>based in Nizhniy Novogorod</w:t>
      </w:r>
      <w:r w:rsidR="005C361C" w:rsidRPr="00542B4F">
        <w:t>.</w:t>
      </w:r>
      <w:r w:rsidR="00AE38DA" w:rsidRPr="00542B4F">
        <w:t xml:space="preserve"> </w:t>
      </w:r>
      <w:r w:rsidR="00014566" w:rsidRPr="00542B4F">
        <w:t xml:space="preserve">The </w:t>
      </w:r>
      <w:r w:rsidRPr="00542B4F">
        <w:t>Russian</w:t>
      </w:r>
      <w:r w:rsidR="00014566" w:rsidRPr="00542B4F">
        <w:t xml:space="preserve"> Government (“the Government”) </w:t>
      </w:r>
      <w:r w:rsidR="00AF1EE5" w:rsidRPr="00542B4F">
        <w:t xml:space="preserve">were represented by </w:t>
      </w:r>
      <w:r w:rsidR="00AF1EE5" w:rsidRPr="00542B4F">
        <w:rPr>
          <w:lang w:val="en-US"/>
        </w:rPr>
        <w:t>Mr G. Matyushkin, the Representative of the Russian Federation to the European Court of Human Rights, and then by his successor in that office, Mr M. Galperin.</w:t>
      </w:r>
    </w:p>
    <w:p w:rsidR="005C361C"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w:t>
      </w:r>
      <w:r w:rsidRPr="00542B4F">
        <w:fldChar w:fldCharType="end"/>
      </w:r>
      <w:r w:rsidRPr="00542B4F">
        <w:t xml:space="preserve">.  The applicant alleged </w:t>
      </w:r>
      <w:r w:rsidR="005C361C" w:rsidRPr="00542B4F">
        <w:t>that he had been ill-treated by the police and that there had been no effective investigation into the matter.</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w:t>
      </w:r>
      <w:r w:rsidRPr="00542B4F">
        <w:fldChar w:fldCharType="end"/>
      </w:r>
      <w:r w:rsidR="00014566" w:rsidRPr="00542B4F">
        <w:t>.  </w:t>
      </w:r>
      <w:r w:rsidRPr="00542B4F">
        <w:t xml:space="preserve">On </w:t>
      </w:r>
      <w:r w:rsidRPr="00542B4F">
        <w:rPr>
          <w:szCs w:val="24"/>
        </w:rPr>
        <w:t>2</w:t>
      </w:r>
      <w:r w:rsidR="005C361C" w:rsidRPr="00542B4F">
        <w:rPr>
          <w:szCs w:val="24"/>
        </w:rPr>
        <w:t> </w:t>
      </w:r>
      <w:r w:rsidRPr="00542B4F">
        <w:rPr>
          <w:szCs w:val="24"/>
        </w:rPr>
        <w:t>December 2011</w:t>
      </w:r>
      <w:r w:rsidR="00014566" w:rsidRPr="00542B4F">
        <w:t xml:space="preserve"> the </w:t>
      </w:r>
      <w:r w:rsidRPr="00542B4F">
        <w:t>application was communicated to the Government</w:t>
      </w:r>
      <w:r w:rsidR="00014566" w:rsidRPr="00542B4F">
        <w:t>.</w:t>
      </w:r>
    </w:p>
    <w:p w:rsidR="00014566" w:rsidRPr="00542B4F" w:rsidRDefault="00014566" w:rsidP="00542B4F">
      <w:pPr>
        <w:pStyle w:val="ECHRTitle1"/>
      </w:pPr>
      <w:r w:rsidRPr="00542B4F">
        <w:t>THE FACTS</w:t>
      </w:r>
    </w:p>
    <w:p w:rsidR="00014566" w:rsidRPr="00542B4F" w:rsidRDefault="00014566" w:rsidP="00542B4F">
      <w:pPr>
        <w:pStyle w:val="ECHRHeading1"/>
      </w:pPr>
      <w:r w:rsidRPr="00542B4F">
        <w:t>I.  THE CIRCUMSTANCES OF THE CASE</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w:t>
      </w:r>
      <w:r w:rsidRPr="00542B4F">
        <w:fldChar w:fldCharType="end"/>
      </w:r>
      <w:r w:rsidR="00014566" w:rsidRPr="00542B4F">
        <w:t xml:space="preserve">.  The </w:t>
      </w:r>
      <w:r w:rsidRPr="00542B4F">
        <w:t>applicant was born in 1982 and lives</w:t>
      </w:r>
      <w:r w:rsidR="00014566" w:rsidRPr="00542B4F">
        <w:t xml:space="preserve"> in </w:t>
      </w:r>
      <w:r w:rsidR="00E95022" w:rsidRPr="00542B4F">
        <w:t>Yoshkar-Ola, the Mari El Republic</w:t>
      </w:r>
      <w:r w:rsidR="00014566" w:rsidRPr="00542B4F">
        <w:t>.</w:t>
      </w:r>
    </w:p>
    <w:p w:rsidR="002773E9" w:rsidRPr="00542B4F" w:rsidRDefault="002773E9" w:rsidP="00542B4F">
      <w:pPr>
        <w:pStyle w:val="ECHRHeading2"/>
      </w:pPr>
      <w:r w:rsidRPr="00542B4F">
        <w:lastRenderedPageBreak/>
        <w:t>A.  The applicant</w:t>
      </w:r>
      <w:r w:rsidR="00542B4F" w:rsidRPr="00542B4F">
        <w:t>’</w:t>
      </w:r>
      <w:r w:rsidRPr="00542B4F">
        <w:t>s arrest and alleged ill-treatment</w:t>
      </w:r>
    </w:p>
    <w:p w:rsidR="005C361C" w:rsidRPr="00542B4F" w:rsidRDefault="005C361C" w:rsidP="00542B4F">
      <w:pPr>
        <w:pStyle w:val="ECHRHeading3"/>
      </w:pPr>
      <w:r w:rsidRPr="00542B4F">
        <w:t>1.  The applicant</w:t>
      </w:r>
      <w:r w:rsidR="00542B4F" w:rsidRPr="00542B4F">
        <w:t>’</w:t>
      </w:r>
      <w:r w:rsidRPr="00542B4F">
        <w:t>s account</w:t>
      </w:r>
      <w:r w:rsidR="00AC3795" w:rsidRPr="00542B4F">
        <w:t xml:space="preserve"> of the events of 12 March 2006</w:t>
      </w:r>
    </w:p>
    <w:bookmarkStart w:id="2" w:name="APPTsAccount12032006"/>
    <w:p w:rsidR="008A73E6"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w:t>
      </w:r>
      <w:r w:rsidRPr="00542B4F">
        <w:fldChar w:fldCharType="end"/>
      </w:r>
      <w:bookmarkEnd w:id="2"/>
      <w:r w:rsidRPr="00542B4F">
        <w:t>.  </w:t>
      </w:r>
      <w:r w:rsidR="008A73E6" w:rsidRPr="00542B4F">
        <w:t>At about noon o</w:t>
      </w:r>
      <w:r w:rsidRPr="00542B4F">
        <w:t>n 12 March 2006 the applicant was apprehended by four men in plain clothes on the street</w:t>
      </w:r>
      <w:r w:rsidR="008A73E6" w:rsidRPr="00542B4F">
        <w:t xml:space="preserve"> near a shop</w:t>
      </w:r>
      <w:r w:rsidR="00740D39" w:rsidRPr="00542B4F">
        <w:t>,</w:t>
      </w:r>
      <w:r w:rsidR="008A73E6" w:rsidRPr="00542B4F">
        <w:t xml:space="preserve"> “K”</w:t>
      </w:r>
      <w:r w:rsidRPr="00542B4F">
        <w:t>. The</w:t>
      </w:r>
      <w:r w:rsidR="008A73E6" w:rsidRPr="00542B4F">
        <w:t xml:space="preserve"> men</w:t>
      </w:r>
      <w:r w:rsidRPr="00542B4F">
        <w:t xml:space="preserve"> did not introduce themselves. One of the</w:t>
      </w:r>
      <w:r w:rsidR="008A73E6" w:rsidRPr="00542B4F">
        <w:t>m</w:t>
      </w:r>
      <w:r w:rsidRPr="00542B4F">
        <w:t xml:space="preserve"> </w:t>
      </w:r>
      <w:r w:rsidR="00740D39" w:rsidRPr="00542B4F">
        <w:t xml:space="preserve">punched </w:t>
      </w:r>
      <w:r w:rsidRPr="00542B4F">
        <w:t xml:space="preserve">the applicant </w:t>
      </w:r>
      <w:r w:rsidR="00740D39" w:rsidRPr="00542B4F">
        <w:t xml:space="preserve">in </w:t>
      </w:r>
      <w:r w:rsidRPr="00542B4F">
        <w:t>the stomach. Two other</w:t>
      </w:r>
      <w:r w:rsidR="00740D39" w:rsidRPr="00542B4F">
        <w:t>s</w:t>
      </w:r>
      <w:r w:rsidRPr="00542B4F">
        <w:t xml:space="preserve"> handcuffed him, dragged him into their car and </w:t>
      </w:r>
      <w:r w:rsidR="00740D39" w:rsidRPr="00542B4F">
        <w:t xml:space="preserve">took him </w:t>
      </w:r>
      <w:r w:rsidRPr="00542B4F">
        <w:t>to the Mari El Department of the Federal Drug</w:t>
      </w:r>
      <w:r w:rsidR="00AE38DA" w:rsidRPr="00542B4F">
        <w:t xml:space="preserve"> Control Service (“the Drug</w:t>
      </w:r>
      <w:r w:rsidRPr="00542B4F">
        <w:t xml:space="preserve"> Control Service”). He was taken to an office </w:t>
      </w:r>
      <w:r w:rsidR="00740D39" w:rsidRPr="00542B4F">
        <w:t xml:space="preserve">on </w:t>
      </w:r>
      <w:r w:rsidRPr="00542B4F">
        <w:t>the third floor</w:t>
      </w:r>
      <w:r w:rsidR="0024574C" w:rsidRPr="00542B4F">
        <w:t>,</w:t>
      </w:r>
      <w:r w:rsidRPr="00542B4F">
        <w:t xml:space="preserve"> </w:t>
      </w:r>
      <w:r w:rsidR="0024574C" w:rsidRPr="00542B4F">
        <w:t xml:space="preserve">where </w:t>
      </w:r>
      <w:r w:rsidR="00FA227C" w:rsidRPr="00542B4F">
        <w:t xml:space="preserve">the </w:t>
      </w:r>
      <w:r w:rsidRPr="00542B4F">
        <w:t xml:space="preserve">officers beat </w:t>
      </w:r>
      <w:r w:rsidR="0024574C" w:rsidRPr="00542B4F">
        <w:t xml:space="preserve">him </w:t>
      </w:r>
      <w:r w:rsidRPr="00542B4F">
        <w:t xml:space="preserve">for three or four hours. According to the applicant, they kicked him in the head and body. </w:t>
      </w:r>
      <w:r w:rsidR="008A73E6" w:rsidRPr="00542B4F">
        <w:t xml:space="preserve">One of them forced </w:t>
      </w:r>
      <w:r w:rsidR="00740D39" w:rsidRPr="00542B4F">
        <w:t xml:space="preserve">him </w:t>
      </w:r>
      <w:r w:rsidR="008A73E6" w:rsidRPr="00542B4F">
        <w:t xml:space="preserve">on </w:t>
      </w:r>
      <w:r w:rsidR="00740D39" w:rsidRPr="00542B4F">
        <w:t xml:space="preserve">to </w:t>
      </w:r>
      <w:r w:rsidR="008A73E6" w:rsidRPr="00542B4F">
        <w:t xml:space="preserve">the ground, sat on his back and </w:t>
      </w:r>
      <w:r w:rsidR="00740D39" w:rsidRPr="00542B4F">
        <w:t xml:space="preserve">hit </w:t>
      </w:r>
      <w:r w:rsidR="008A73E6" w:rsidRPr="00542B4F">
        <w:t xml:space="preserve">him in the kidney area. </w:t>
      </w:r>
      <w:r w:rsidRPr="00542B4F">
        <w:t xml:space="preserve">They tied his hands behind his back with a rope and hung him </w:t>
      </w:r>
      <w:r w:rsidR="00740D39" w:rsidRPr="00542B4F">
        <w:t xml:space="preserve">upside </w:t>
      </w:r>
      <w:r w:rsidRPr="00542B4F">
        <w:t>down,</w:t>
      </w:r>
      <w:r w:rsidR="00EA1DE9" w:rsidRPr="00542B4F">
        <w:t xml:space="preserve"> attempting to approach his hands to </w:t>
      </w:r>
      <w:r w:rsidR="00740D39" w:rsidRPr="00542B4F">
        <w:t xml:space="preserve">his </w:t>
      </w:r>
      <w:r w:rsidR="00EA1DE9" w:rsidRPr="00542B4F">
        <w:t xml:space="preserve">head. </w:t>
      </w:r>
      <w:r w:rsidR="003117E7" w:rsidRPr="00542B4F">
        <w:t>They</w:t>
      </w:r>
      <w:r w:rsidR="00EA1DE9" w:rsidRPr="00542B4F">
        <w:t xml:space="preserve"> </w:t>
      </w:r>
      <w:r w:rsidR="00740D39" w:rsidRPr="00542B4F">
        <w:t xml:space="preserve">punched </w:t>
      </w:r>
      <w:r w:rsidR="00EA1DE9" w:rsidRPr="00542B4F">
        <w:t xml:space="preserve">him in the ears and spine, </w:t>
      </w:r>
      <w:r w:rsidR="003117E7" w:rsidRPr="00542B4F">
        <w:t xml:space="preserve">hit </w:t>
      </w:r>
      <w:r w:rsidR="00740D39" w:rsidRPr="00542B4F">
        <w:t xml:space="preserve">him </w:t>
      </w:r>
      <w:r w:rsidR="003117E7" w:rsidRPr="00542B4F">
        <w:t>in the spine</w:t>
      </w:r>
      <w:r w:rsidR="00740D39" w:rsidRPr="00542B4F">
        <w:t xml:space="preserve"> with </w:t>
      </w:r>
      <w:r w:rsidR="0024574C" w:rsidRPr="00542B4F">
        <w:t>their</w:t>
      </w:r>
      <w:r w:rsidR="00740D39" w:rsidRPr="00542B4F">
        <w:t xml:space="preserve"> heel</w:t>
      </w:r>
      <w:r w:rsidR="00326DF0" w:rsidRPr="00542B4F">
        <w:t>s</w:t>
      </w:r>
      <w:r w:rsidR="003117E7" w:rsidRPr="00542B4F">
        <w:t xml:space="preserve">, twisted his leg and </w:t>
      </w:r>
      <w:r w:rsidR="007B2852" w:rsidRPr="00542B4F">
        <w:t xml:space="preserve">also attempted to strangle him with </w:t>
      </w:r>
      <w:r w:rsidR="00740D39" w:rsidRPr="00542B4F">
        <w:t xml:space="preserve">their </w:t>
      </w:r>
      <w:r w:rsidR="007B2852" w:rsidRPr="00542B4F">
        <w:t>hands.</w:t>
      </w:r>
      <w:r w:rsidR="00C01F45" w:rsidRPr="00542B4F">
        <w:t xml:space="preserve"> </w:t>
      </w:r>
      <w:r w:rsidR="00EA1DE9" w:rsidRPr="00542B4F">
        <w:t>T</w:t>
      </w:r>
      <w:r w:rsidRPr="00542B4F">
        <w:t xml:space="preserve">hen </w:t>
      </w:r>
      <w:r w:rsidR="00EA1DE9" w:rsidRPr="00542B4F">
        <w:t xml:space="preserve">they </w:t>
      </w:r>
      <w:r w:rsidRPr="00542B4F">
        <w:t>put a gas</w:t>
      </w:r>
      <w:r w:rsidR="0024574C" w:rsidRPr="00542B4F">
        <w:t xml:space="preserve"> </w:t>
      </w:r>
      <w:r w:rsidRPr="00542B4F">
        <w:t>mask on him and blocked the air vent</w:t>
      </w:r>
      <w:r w:rsidR="00740D39" w:rsidRPr="00542B4F">
        <w:t>, urging</w:t>
      </w:r>
      <w:r w:rsidR="008A73E6" w:rsidRPr="00542B4F">
        <w:t xml:space="preserve"> him to confess.</w:t>
      </w:r>
    </w:p>
    <w:bookmarkStart w:id="3" w:name="APPTsAccount_2"/>
    <w:p w:rsidR="002773E9" w:rsidRPr="00542B4F" w:rsidRDefault="008A73E6"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7</w:t>
      </w:r>
      <w:r w:rsidRPr="00542B4F">
        <w:fldChar w:fldCharType="end"/>
      </w:r>
      <w:bookmarkEnd w:id="3"/>
      <w:r w:rsidRPr="00542B4F">
        <w:t>.  </w:t>
      </w:r>
      <w:r w:rsidR="002773E9" w:rsidRPr="00542B4F">
        <w:t xml:space="preserve">At </w:t>
      </w:r>
      <w:r w:rsidR="00D80627" w:rsidRPr="00542B4F">
        <w:t xml:space="preserve">about </w:t>
      </w:r>
      <w:r w:rsidR="002773E9" w:rsidRPr="00542B4F">
        <w:t xml:space="preserve">7 p.m. </w:t>
      </w:r>
      <w:r w:rsidR="007B2852" w:rsidRPr="00542B4F">
        <w:t>that day</w:t>
      </w:r>
      <w:r w:rsidR="002773E9" w:rsidRPr="00542B4F">
        <w:t xml:space="preserve"> the applicant was questioned by an investigator.</w:t>
      </w:r>
    </w:p>
    <w:bookmarkStart w:id="4" w:name="APPTsAccount_fin"/>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8</w:t>
      </w:r>
      <w:r w:rsidRPr="00542B4F">
        <w:fldChar w:fldCharType="end"/>
      </w:r>
      <w:bookmarkEnd w:id="4"/>
      <w:r w:rsidRPr="00542B4F">
        <w:t xml:space="preserve">.  On the same date the police searched </w:t>
      </w:r>
      <w:r w:rsidR="00740D39" w:rsidRPr="00542B4F">
        <w:t>the applicant</w:t>
      </w:r>
      <w:r w:rsidR="00542B4F" w:rsidRPr="00542B4F">
        <w:t>’</w:t>
      </w:r>
      <w:r w:rsidR="00740D39" w:rsidRPr="00542B4F">
        <w:t xml:space="preserve">s </w:t>
      </w:r>
      <w:r w:rsidRPr="00542B4F">
        <w:t xml:space="preserve">flat in </w:t>
      </w:r>
      <w:r w:rsidR="00740D39" w:rsidRPr="00542B4F">
        <w:t xml:space="preserve">his </w:t>
      </w:r>
      <w:r w:rsidRPr="00542B4F">
        <w:t xml:space="preserve">presence. They found no drugs in the flat. </w:t>
      </w:r>
      <w:r w:rsidR="00740D39" w:rsidRPr="00542B4F">
        <w:t>On several occasions</w:t>
      </w:r>
      <w:r w:rsidR="00FA227C" w:rsidRPr="00542B4F">
        <w:t>, both</w:t>
      </w:r>
      <w:r w:rsidR="00740D39" w:rsidRPr="00542B4F">
        <w:t xml:space="preserve"> </w:t>
      </w:r>
      <w:r w:rsidR="00FA227C" w:rsidRPr="00542B4F">
        <w:t xml:space="preserve">on </w:t>
      </w:r>
      <w:r w:rsidRPr="00542B4F">
        <w:t xml:space="preserve">the </w:t>
      </w:r>
      <w:r w:rsidR="00FA227C" w:rsidRPr="00542B4F">
        <w:t xml:space="preserve">premises of the Drug Control Service </w:t>
      </w:r>
      <w:r w:rsidRPr="00542B4F">
        <w:t>and during the search</w:t>
      </w:r>
      <w:r w:rsidR="00FA227C" w:rsidRPr="00542B4F">
        <w:t>,</w:t>
      </w:r>
      <w:r w:rsidRPr="00542B4F">
        <w:t xml:space="preserve"> the applicant complained that he was feeling </w:t>
      </w:r>
      <w:r w:rsidR="0024574C" w:rsidRPr="00542B4F">
        <w:t xml:space="preserve">ill </w:t>
      </w:r>
      <w:r w:rsidRPr="00542B4F">
        <w:t xml:space="preserve">and asked </w:t>
      </w:r>
      <w:r w:rsidR="00740D39" w:rsidRPr="00542B4F">
        <w:t xml:space="preserve">for an </w:t>
      </w:r>
      <w:r w:rsidRPr="00542B4F">
        <w:t>ambulance</w:t>
      </w:r>
      <w:r w:rsidR="00740D39" w:rsidRPr="00542B4F">
        <w:t xml:space="preserve"> to be called</w:t>
      </w:r>
      <w:r w:rsidRPr="00542B4F">
        <w:t>, but his requests remained unanswered.</w:t>
      </w:r>
    </w:p>
    <w:p w:rsidR="00AE38DA" w:rsidRPr="00542B4F" w:rsidRDefault="00AE38DA" w:rsidP="00542B4F">
      <w:pPr>
        <w:pStyle w:val="ECHRHeading3"/>
      </w:pPr>
      <w:r w:rsidRPr="00542B4F">
        <w:t>2.  Official account</w:t>
      </w:r>
      <w:r w:rsidR="006C1886" w:rsidRPr="00542B4F">
        <w:t xml:space="preserve"> of the events</w:t>
      </w:r>
      <w:r w:rsidR="00AC3795" w:rsidRPr="00542B4F">
        <w:t xml:space="preserve"> of 12 March 2006</w:t>
      </w:r>
    </w:p>
    <w:p w:rsidR="00793F43" w:rsidRPr="00542B4F" w:rsidRDefault="00AE38DA"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9</w:t>
      </w:r>
      <w:r w:rsidRPr="00542B4F">
        <w:fldChar w:fldCharType="end"/>
      </w:r>
      <w:r w:rsidRPr="00542B4F">
        <w:t>.  </w:t>
      </w:r>
      <w:r w:rsidR="006C1886" w:rsidRPr="00542B4F">
        <w:t>On</w:t>
      </w:r>
      <w:r w:rsidR="00D67E08" w:rsidRPr="00542B4F">
        <w:t xml:space="preserve"> </w:t>
      </w:r>
      <w:r w:rsidR="00793F43" w:rsidRPr="00542B4F">
        <w:t>12</w:t>
      </w:r>
      <w:r w:rsidR="006C1886" w:rsidRPr="00542B4F">
        <w:t> </w:t>
      </w:r>
      <w:r w:rsidR="00793F43" w:rsidRPr="00542B4F">
        <w:t xml:space="preserve">March 2006 the applicant was </w:t>
      </w:r>
      <w:r w:rsidR="007F1432" w:rsidRPr="00542B4F">
        <w:t xml:space="preserve">arrested </w:t>
      </w:r>
      <w:r w:rsidR="00793F43" w:rsidRPr="00542B4F">
        <w:t>by officers</w:t>
      </w:r>
      <w:r w:rsidR="00455E5F" w:rsidRPr="00542B4F">
        <w:t xml:space="preserve"> D., M. and V. </w:t>
      </w:r>
      <w:r w:rsidR="00793F43" w:rsidRPr="00542B4F">
        <w:t xml:space="preserve">of the Drug Control Service, </w:t>
      </w:r>
      <w:r w:rsidR="0024574C" w:rsidRPr="00542B4F">
        <w:t xml:space="preserve">who had received </w:t>
      </w:r>
      <w:r w:rsidR="00793F43" w:rsidRPr="00542B4F">
        <w:t xml:space="preserve">information about </w:t>
      </w:r>
      <w:r w:rsidR="007F1432" w:rsidRPr="00542B4F">
        <w:t xml:space="preserve">his </w:t>
      </w:r>
      <w:r w:rsidR="00793F43" w:rsidRPr="00542B4F">
        <w:t>involvement in drug trafficking.</w:t>
      </w:r>
    </w:p>
    <w:p w:rsidR="00F72D1B" w:rsidRPr="00542B4F" w:rsidRDefault="00AE38DA"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10</w:t>
      </w:r>
      <w:r w:rsidRPr="00542B4F">
        <w:fldChar w:fldCharType="end"/>
      </w:r>
      <w:r w:rsidRPr="00542B4F">
        <w:t>.  </w:t>
      </w:r>
      <w:r w:rsidR="00793F43" w:rsidRPr="00542B4F">
        <w:t xml:space="preserve">The applicant resisted arrest and attempted to escape. The </w:t>
      </w:r>
      <w:r w:rsidR="0024574C" w:rsidRPr="00542B4F">
        <w:t>d</w:t>
      </w:r>
      <w:r w:rsidR="00793F43" w:rsidRPr="00542B4F">
        <w:t xml:space="preserve">rug </w:t>
      </w:r>
      <w:r w:rsidR="0024574C" w:rsidRPr="00542B4F">
        <w:t>c</w:t>
      </w:r>
      <w:r w:rsidR="00793F43" w:rsidRPr="00542B4F">
        <w:t>ontrol officers used force against him</w:t>
      </w:r>
      <w:r w:rsidR="00AC3795" w:rsidRPr="00542B4F">
        <w:t xml:space="preserve"> (see, for the officers</w:t>
      </w:r>
      <w:r w:rsidR="00542B4F" w:rsidRPr="00542B4F">
        <w:t>’</w:t>
      </w:r>
      <w:r w:rsidR="00AC3795" w:rsidRPr="00542B4F">
        <w:t xml:space="preserve"> accounts, paragraphs </w:t>
      </w:r>
      <w:r w:rsidR="00961FF9" w:rsidRPr="00542B4F">
        <w:fldChar w:fldCharType="begin"/>
      </w:r>
      <w:r w:rsidR="00961FF9" w:rsidRPr="00542B4F">
        <w:instrText xml:space="preserve"> REF Officers_statements032006_1 \h </w:instrText>
      </w:r>
      <w:r w:rsidR="00961FF9" w:rsidRPr="00542B4F">
        <w:fldChar w:fldCharType="separate"/>
      </w:r>
      <w:r w:rsidR="00542B4F" w:rsidRPr="00542B4F">
        <w:rPr>
          <w:noProof/>
        </w:rPr>
        <w:t>25</w:t>
      </w:r>
      <w:r w:rsidR="00961FF9" w:rsidRPr="00542B4F">
        <w:fldChar w:fldCharType="end"/>
      </w:r>
      <w:r w:rsidR="00961FF9" w:rsidRPr="00542B4F">
        <w:t>-</w:t>
      </w:r>
      <w:r w:rsidR="00961FF9" w:rsidRPr="00542B4F">
        <w:fldChar w:fldCharType="begin"/>
      </w:r>
      <w:r w:rsidR="00961FF9" w:rsidRPr="00542B4F">
        <w:instrText xml:space="preserve"> REF P_statement032006 \h </w:instrText>
      </w:r>
      <w:r w:rsidR="00961FF9" w:rsidRPr="00542B4F">
        <w:fldChar w:fldCharType="separate"/>
      </w:r>
      <w:r w:rsidR="00542B4F" w:rsidRPr="00542B4F">
        <w:rPr>
          <w:noProof/>
        </w:rPr>
        <w:t>29</w:t>
      </w:r>
      <w:r w:rsidR="00961FF9" w:rsidRPr="00542B4F">
        <w:fldChar w:fldCharType="end"/>
      </w:r>
      <w:r w:rsidR="00961FF9" w:rsidRPr="00542B4F">
        <w:t xml:space="preserve"> </w:t>
      </w:r>
      <w:r w:rsidR="00AC3795" w:rsidRPr="00542B4F">
        <w:t>below)</w:t>
      </w:r>
      <w:r w:rsidR="00793F43" w:rsidRPr="00542B4F">
        <w:t>.</w:t>
      </w:r>
    </w:p>
    <w:bookmarkStart w:id="5" w:name="ArrestRecord12032006"/>
    <w:p w:rsidR="00F72D1B" w:rsidRPr="00542B4F" w:rsidRDefault="00AE38DA"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11</w:t>
      </w:r>
      <w:r w:rsidRPr="00542B4F">
        <w:fldChar w:fldCharType="end"/>
      </w:r>
      <w:bookmarkEnd w:id="5"/>
      <w:r w:rsidRPr="00542B4F">
        <w:t>.  </w:t>
      </w:r>
      <w:r w:rsidR="00793F43" w:rsidRPr="00542B4F">
        <w:t xml:space="preserve">At 5.50 p.m. </w:t>
      </w:r>
      <w:r w:rsidR="004D576E" w:rsidRPr="00542B4F">
        <w:t xml:space="preserve">an </w:t>
      </w:r>
      <w:r w:rsidR="007F1432" w:rsidRPr="00542B4F">
        <w:t xml:space="preserve">arrest </w:t>
      </w:r>
      <w:r w:rsidR="00793F43" w:rsidRPr="00542B4F">
        <w:t xml:space="preserve">record was drawn </w:t>
      </w:r>
      <w:r w:rsidR="007F1432" w:rsidRPr="00542B4F">
        <w:t xml:space="preserve">up </w:t>
      </w:r>
      <w:r w:rsidR="00793F43" w:rsidRPr="00542B4F">
        <w:t>in respect of the applicant</w:t>
      </w:r>
      <w:r w:rsidR="002F4940" w:rsidRPr="00542B4F">
        <w:t>. He</w:t>
      </w:r>
      <w:r w:rsidR="00793F43" w:rsidRPr="00542B4F">
        <w:t xml:space="preserve"> was advised of his right not to incriminate himself, as well as </w:t>
      </w:r>
      <w:r w:rsidR="007F1432" w:rsidRPr="00542B4F">
        <w:t xml:space="preserve">his </w:t>
      </w:r>
      <w:r w:rsidR="00793F43" w:rsidRPr="00542B4F">
        <w:t>right to legal assistance.</w:t>
      </w:r>
    </w:p>
    <w:p w:rsidR="00F72D1B" w:rsidRPr="00542B4F" w:rsidRDefault="00C52C8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12</w:t>
      </w:r>
      <w:r w:rsidRPr="00542B4F">
        <w:fldChar w:fldCharType="end"/>
      </w:r>
      <w:r w:rsidRPr="00542B4F">
        <w:t>.  </w:t>
      </w:r>
      <w:r w:rsidR="00793F43" w:rsidRPr="00542B4F">
        <w:t xml:space="preserve">At 6.10 p.m. on the same date </w:t>
      </w:r>
      <w:r w:rsidR="0071326C" w:rsidRPr="00542B4F">
        <w:t xml:space="preserve">the </w:t>
      </w:r>
      <w:r w:rsidR="00793F43" w:rsidRPr="00542B4F">
        <w:t>Yoshkar-Ola Town Prosecutor and the applicant</w:t>
      </w:r>
      <w:r w:rsidR="00542B4F" w:rsidRPr="00542B4F">
        <w:t>’</w:t>
      </w:r>
      <w:r w:rsidR="00793F43" w:rsidRPr="00542B4F">
        <w:t>s father were notified of the applicant</w:t>
      </w:r>
      <w:r w:rsidR="00542B4F" w:rsidRPr="00542B4F">
        <w:t>’</w:t>
      </w:r>
      <w:r w:rsidR="00793F43" w:rsidRPr="00542B4F">
        <w:t>s arrest.</w:t>
      </w:r>
    </w:p>
    <w:p w:rsidR="00AE38DA" w:rsidRPr="00542B4F" w:rsidRDefault="00AE38DA" w:rsidP="00542B4F">
      <w:pPr>
        <w:pStyle w:val="ECHRHeading3"/>
      </w:pPr>
      <w:r w:rsidRPr="00542B4F">
        <w:t>3.  The applicant</w:t>
      </w:r>
      <w:r w:rsidR="00542B4F" w:rsidRPr="00542B4F">
        <w:t>’</w:t>
      </w:r>
      <w:r w:rsidRPr="00542B4F">
        <w:t>s transfer to the IVS</w:t>
      </w:r>
      <w:r w:rsidR="00C52C85" w:rsidRPr="00542B4F">
        <w:t xml:space="preserve"> and </w:t>
      </w:r>
      <w:r w:rsidR="0071326C" w:rsidRPr="00542B4F">
        <w:t>his injuries</w:t>
      </w:r>
    </w:p>
    <w:p w:rsidR="00793F43"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13</w:t>
      </w:r>
      <w:r w:rsidRPr="00542B4F">
        <w:fldChar w:fldCharType="end"/>
      </w:r>
      <w:r w:rsidRPr="00542B4F">
        <w:t xml:space="preserve">.  At </w:t>
      </w:r>
      <w:r w:rsidR="00793F43" w:rsidRPr="00542B4F">
        <w:t>11.30 p.m.</w:t>
      </w:r>
      <w:r w:rsidRPr="00542B4F">
        <w:t xml:space="preserve"> the applicant was transferred to </w:t>
      </w:r>
      <w:r w:rsidR="0024574C" w:rsidRPr="00542B4F">
        <w:t xml:space="preserve">a cell in </w:t>
      </w:r>
      <w:r w:rsidRPr="00542B4F">
        <w:t xml:space="preserve">the temporary </w:t>
      </w:r>
      <w:r w:rsidR="0024574C" w:rsidRPr="00542B4F">
        <w:t xml:space="preserve">detention facility </w:t>
      </w:r>
      <w:r w:rsidRPr="00542B4F">
        <w:t>(“IVS”) of the Ministry of the In</w:t>
      </w:r>
      <w:r w:rsidR="00793F43" w:rsidRPr="00542B4F">
        <w:t>terior of the Mari El Republic</w:t>
      </w:r>
      <w:r w:rsidR="0024574C" w:rsidRPr="00542B4F">
        <w:t>.</w:t>
      </w:r>
      <w:r w:rsidR="00793F43" w:rsidRPr="00542B4F">
        <w:t xml:space="preserve"> </w:t>
      </w:r>
      <w:r w:rsidR="0024574C" w:rsidRPr="00542B4F">
        <w:t xml:space="preserve">He was </w:t>
      </w:r>
      <w:r w:rsidR="00793F43" w:rsidRPr="00542B4F">
        <w:t>examined by a detention facility</w:t>
      </w:r>
      <w:r w:rsidR="00104DF7" w:rsidRPr="00542B4F">
        <w:t xml:space="preserve"> </w:t>
      </w:r>
      <w:r w:rsidR="0024574C" w:rsidRPr="00542B4F">
        <w:t xml:space="preserve">doctor </w:t>
      </w:r>
      <w:r w:rsidR="00104DF7" w:rsidRPr="00542B4F">
        <w:t>in the presence of two IVS officers and M.</w:t>
      </w:r>
      <w:r w:rsidR="00BC74BC" w:rsidRPr="00542B4F">
        <w:t>, the</w:t>
      </w:r>
      <w:r w:rsidR="00104DF7" w:rsidRPr="00542B4F">
        <w:t xml:space="preserve"> Drug Control Service officer</w:t>
      </w:r>
      <w:r w:rsidR="00793F43" w:rsidRPr="00542B4F">
        <w:t xml:space="preserve">. The applicant complained to the </w:t>
      </w:r>
      <w:r w:rsidR="0024574C" w:rsidRPr="00542B4F">
        <w:t xml:space="preserve">doctor </w:t>
      </w:r>
      <w:r w:rsidR="007F1432" w:rsidRPr="00542B4F">
        <w:t xml:space="preserve">of </w:t>
      </w:r>
      <w:r w:rsidR="00BB2484" w:rsidRPr="00542B4F">
        <w:t>acute kidney pain.</w:t>
      </w:r>
    </w:p>
    <w:bookmarkStart w:id="6" w:name="InjuriesRecordIVS12032006"/>
    <w:p w:rsidR="00793F43" w:rsidRPr="00542B4F" w:rsidRDefault="00793F43" w:rsidP="00542B4F">
      <w:pPr>
        <w:pStyle w:val="ECHRPara"/>
      </w:pPr>
      <w:r w:rsidRPr="00542B4F">
        <w:lastRenderedPageBreak/>
        <w:fldChar w:fldCharType="begin"/>
      </w:r>
      <w:r w:rsidRPr="00542B4F">
        <w:instrText xml:space="preserve"> SEQ level0 \*arabic </w:instrText>
      </w:r>
      <w:r w:rsidRPr="00542B4F">
        <w:fldChar w:fldCharType="separate"/>
      </w:r>
      <w:r w:rsidR="00542B4F" w:rsidRPr="00542B4F">
        <w:rPr>
          <w:noProof/>
        </w:rPr>
        <w:t>14</w:t>
      </w:r>
      <w:r w:rsidRPr="00542B4F">
        <w:fldChar w:fldCharType="end"/>
      </w:r>
      <w:bookmarkEnd w:id="6"/>
      <w:r w:rsidRPr="00542B4F">
        <w:t>.  According to the register of medical examinations of persons admitted to the IVS</w:t>
      </w:r>
      <w:r w:rsidR="002F1EEF" w:rsidRPr="00542B4F">
        <w:t xml:space="preserve"> (entry no 194)</w:t>
      </w:r>
      <w:r w:rsidRPr="00542B4F">
        <w:t xml:space="preserve">, </w:t>
      </w:r>
      <w:r w:rsidR="002773E9" w:rsidRPr="00542B4F">
        <w:t xml:space="preserve">the following injuries were detected on </w:t>
      </w:r>
      <w:r w:rsidR="007F1432" w:rsidRPr="00542B4F">
        <w:t xml:space="preserve">the applicant </w:t>
      </w:r>
      <w:r w:rsidRPr="00542B4F">
        <w:t>upon admission</w:t>
      </w:r>
      <w:r w:rsidR="002773E9" w:rsidRPr="00542B4F">
        <w:t>:</w:t>
      </w:r>
    </w:p>
    <w:p w:rsidR="00104DF7" w:rsidRPr="00542B4F" w:rsidRDefault="00793F43" w:rsidP="00542B4F">
      <w:pPr>
        <w:pStyle w:val="ECHRParaQuote"/>
      </w:pPr>
      <w:r w:rsidRPr="00542B4F">
        <w:t>“</w:t>
      </w:r>
      <w:r w:rsidR="009853FD" w:rsidRPr="00542B4F">
        <w:t xml:space="preserve">... </w:t>
      </w:r>
      <w:r w:rsidR="00104DF7" w:rsidRPr="00542B4F">
        <w:t xml:space="preserve">abrasions </w:t>
      </w:r>
      <w:r w:rsidR="002773E9" w:rsidRPr="00542B4F">
        <w:t xml:space="preserve">on his right cheek, </w:t>
      </w:r>
      <w:r w:rsidRPr="00542B4F">
        <w:t xml:space="preserve">haematoma </w:t>
      </w:r>
      <w:r w:rsidR="007F1432" w:rsidRPr="00542B4F">
        <w:t>on</w:t>
      </w:r>
      <w:r w:rsidRPr="00542B4F">
        <w:t xml:space="preserve"> </w:t>
      </w:r>
      <w:r w:rsidR="00104DF7" w:rsidRPr="00542B4F">
        <w:t xml:space="preserve">the right ear, a bruise </w:t>
      </w:r>
      <w:r w:rsidR="007F1432" w:rsidRPr="00542B4F">
        <w:t xml:space="preserve">on </w:t>
      </w:r>
      <w:r w:rsidR="00104DF7" w:rsidRPr="00542B4F">
        <w:t xml:space="preserve">the left ear lobe, multiple bruises </w:t>
      </w:r>
      <w:r w:rsidR="007F1432" w:rsidRPr="00542B4F">
        <w:t>on</w:t>
      </w:r>
      <w:r w:rsidR="00104DF7" w:rsidRPr="00542B4F">
        <w:t xml:space="preserve"> the right shoulder and the right side of the neck, a haematoma on the right elbow, an </w:t>
      </w:r>
      <w:r w:rsidR="007F1432" w:rsidRPr="00542B4F">
        <w:t>o</w:t>
      </w:r>
      <w:r w:rsidR="00104DF7" w:rsidRPr="00542B4F">
        <w:t>edema and an abrasion on the left wrist, an abrasion on the right wrist</w:t>
      </w:r>
      <w:r w:rsidR="009853FD" w:rsidRPr="00542B4F">
        <w:t>.</w:t>
      </w:r>
      <w:r w:rsidR="00104DF7" w:rsidRPr="00542B4F">
        <w:t>”</w:t>
      </w:r>
    </w:p>
    <w:bookmarkStart w:id="7" w:name="Act12032006"/>
    <w:p w:rsidR="00BB2484" w:rsidRPr="00542B4F" w:rsidRDefault="00BB2484"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15</w:t>
      </w:r>
      <w:r w:rsidRPr="00542B4F">
        <w:fldChar w:fldCharType="end"/>
      </w:r>
      <w:bookmarkEnd w:id="7"/>
      <w:r w:rsidRPr="00542B4F">
        <w:t xml:space="preserve">.  On the same date </w:t>
      </w:r>
      <w:r w:rsidR="0071326C" w:rsidRPr="00542B4F">
        <w:t xml:space="preserve">officer B. </w:t>
      </w:r>
      <w:r w:rsidR="005C0E4E" w:rsidRPr="00542B4F">
        <w:t>record</w:t>
      </w:r>
      <w:r w:rsidR="007F1432" w:rsidRPr="00542B4F">
        <w:t>ed</w:t>
      </w:r>
      <w:r w:rsidR="005C0E4E" w:rsidRPr="00542B4F">
        <w:t xml:space="preserve"> the injuries on the applicant</w:t>
      </w:r>
      <w:r w:rsidR="00542B4F" w:rsidRPr="00542B4F">
        <w:t>’</w:t>
      </w:r>
      <w:r w:rsidR="005C0E4E" w:rsidRPr="00542B4F">
        <w:t xml:space="preserve">s body </w:t>
      </w:r>
      <w:r w:rsidR="005C0E4E" w:rsidRPr="00542B4F">
        <w:rPr>
          <w:i/>
        </w:rPr>
        <w:t>(</w:t>
      </w:r>
      <w:r w:rsidR="005C0E4E" w:rsidRPr="00542B4F">
        <w:rPr>
          <w:i/>
          <w:lang w:val="ru-RU"/>
        </w:rPr>
        <w:t>акт</w:t>
      </w:r>
      <w:r w:rsidR="005C0E4E" w:rsidRPr="00542B4F">
        <w:rPr>
          <w:i/>
        </w:rPr>
        <w:t xml:space="preserve"> </w:t>
      </w:r>
      <w:r w:rsidR="005C0E4E" w:rsidRPr="00542B4F">
        <w:rPr>
          <w:i/>
          <w:lang w:val="ru-RU"/>
        </w:rPr>
        <w:t>о</w:t>
      </w:r>
      <w:r w:rsidR="005C0E4E" w:rsidRPr="00542B4F">
        <w:rPr>
          <w:i/>
        </w:rPr>
        <w:t xml:space="preserve"> </w:t>
      </w:r>
      <w:r w:rsidR="005C0E4E" w:rsidRPr="00542B4F">
        <w:rPr>
          <w:i/>
          <w:lang w:val="ru-RU"/>
        </w:rPr>
        <w:t>наличии</w:t>
      </w:r>
      <w:r w:rsidR="005C0E4E" w:rsidRPr="00542B4F">
        <w:rPr>
          <w:i/>
        </w:rPr>
        <w:t xml:space="preserve"> </w:t>
      </w:r>
      <w:r w:rsidR="005C0E4E" w:rsidRPr="00542B4F">
        <w:rPr>
          <w:i/>
          <w:lang w:val="ru-RU"/>
        </w:rPr>
        <w:t>телесных</w:t>
      </w:r>
      <w:r w:rsidR="005C0E4E" w:rsidRPr="00542B4F">
        <w:rPr>
          <w:i/>
        </w:rPr>
        <w:t xml:space="preserve"> </w:t>
      </w:r>
      <w:r w:rsidR="005C0E4E" w:rsidRPr="00542B4F">
        <w:rPr>
          <w:i/>
          <w:lang w:val="ru-RU"/>
        </w:rPr>
        <w:t>повреждений</w:t>
      </w:r>
      <w:r w:rsidR="005C0E4E" w:rsidRPr="00542B4F">
        <w:t>). The</w:t>
      </w:r>
      <w:r w:rsidRPr="00542B4F">
        <w:t xml:space="preserve"> applicant </w:t>
      </w:r>
      <w:r w:rsidR="0024574C" w:rsidRPr="00542B4F">
        <w:t xml:space="preserve">made </w:t>
      </w:r>
      <w:r w:rsidRPr="00542B4F">
        <w:t xml:space="preserve">a hand-written </w:t>
      </w:r>
      <w:r w:rsidR="0024574C" w:rsidRPr="00542B4F">
        <w:t>“</w:t>
      </w:r>
      <w:r w:rsidRPr="00542B4F">
        <w:t>explanation</w:t>
      </w:r>
      <w:r w:rsidR="0024574C" w:rsidRPr="00542B4F">
        <w:t>”</w:t>
      </w:r>
      <w:r w:rsidRPr="00542B4F">
        <w:t xml:space="preserve"> to the effect that </w:t>
      </w:r>
      <w:r w:rsidR="0024574C" w:rsidRPr="00542B4F">
        <w:t xml:space="preserve">his </w:t>
      </w:r>
      <w:r w:rsidRPr="00542B4F">
        <w:t xml:space="preserve">injuries had been </w:t>
      </w:r>
      <w:r w:rsidR="0024574C" w:rsidRPr="00542B4F">
        <w:t xml:space="preserve">inflicted </w:t>
      </w:r>
      <w:r w:rsidRPr="00542B4F">
        <w:t xml:space="preserve">by the </w:t>
      </w:r>
      <w:r w:rsidR="0024574C" w:rsidRPr="00542B4F">
        <w:t>d</w:t>
      </w:r>
      <w:r w:rsidRPr="00542B4F">
        <w:t xml:space="preserve">rug </w:t>
      </w:r>
      <w:r w:rsidR="0024574C" w:rsidRPr="00542B4F">
        <w:t>c</w:t>
      </w:r>
      <w:r w:rsidRPr="00542B4F">
        <w:t xml:space="preserve">ontrol </w:t>
      </w:r>
      <w:r w:rsidR="0024574C" w:rsidRPr="00542B4F">
        <w:t>o</w:t>
      </w:r>
      <w:r w:rsidRPr="00542B4F">
        <w:t>fficers</w:t>
      </w:r>
      <w:r w:rsidR="002F1EEF" w:rsidRPr="00542B4F">
        <w:t xml:space="preserve"> during his “sadistic” questioning</w:t>
      </w:r>
      <w:r w:rsidRPr="00542B4F">
        <w:t>.</w:t>
      </w:r>
    </w:p>
    <w:p w:rsidR="00C52C85" w:rsidRPr="00542B4F" w:rsidRDefault="00C52C85" w:rsidP="00542B4F">
      <w:pPr>
        <w:pStyle w:val="ECHRHeading3"/>
      </w:pPr>
      <w:r w:rsidRPr="00542B4F">
        <w:t>4.  Subsequent events</w:t>
      </w:r>
    </w:p>
    <w:bookmarkStart w:id="8" w:name="Appt13032996"/>
    <w:p w:rsidR="00F72D1B" w:rsidRPr="00542B4F" w:rsidRDefault="00C52C8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16</w:t>
      </w:r>
      <w:r w:rsidRPr="00542B4F">
        <w:fldChar w:fldCharType="end"/>
      </w:r>
      <w:bookmarkEnd w:id="8"/>
      <w:r w:rsidRPr="00542B4F">
        <w:t xml:space="preserve">.  On 13 March 2006 the applicant was charged with drug trafficking and questioned as a suspect in the presence of a lawyer. He did not confess. He specified during the interview that he had been beaten and insulted by drug control officers on 12 March 2006. </w:t>
      </w:r>
      <w:r w:rsidR="008B4A03" w:rsidRPr="00542B4F">
        <w:t xml:space="preserve">He </w:t>
      </w:r>
      <w:r w:rsidRPr="00542B4F">
        <w:t>submitted that they had not introduced themselves, had beaten him up in their car and had then taken him to the premises of the Drug Control</w:t>
      </w:r>
      <w:r w:rsidR="005679FB" w:rsidRPr="00542B4F">
        <w:t xml:space="preserve"> Service, where he had been ill</w:t>
      </w:r>
      <w:r w:rsidR="005679FB" w:rsidRPr="00542B4F">
        <w:noBreakHyphen/>
      </w:r>
      <w:r w:rsidRPr="00542B4F">
        <w:t>treated again with a view to extracting a confession. He provided the same description of the events as in paragraph </w:t>
      </w:r>
      <w:r w:rsidR="008B4A03" w:rsidRPr="00542B4F">
        <w:fldChar w:fldCharType="begin"/>
      </w:r>
      <w:r w:rsidR="008B4A03" w:rsidRPr="00542B4F">
        <w:instrText xml:space="preserve"> REF APPTsAccount12032006 \h </w:instrText>
      </w:r>
      <w:r w:rsidR="008B4A03" w:rsidRPr="00542B4F">
        <w:fldChar w:fldCharType="separate"/>
      </w:r>
      <w:r w:rsidR="00542B4F" w:rsidRPr="00542B4F">
        <w:rPr>
          <w:noProof/>
        </w:rPr>
        <w:t>6</w:t>
      </w:r>
      <w:r w:rsidR="008B4A03" w:rsidRPr="00542B4F">
        <w:fldChar w:fldCharType="end"/>
      </w:r>
      <w:r w:rsidRPr="00542B4F">
        <w:t xml:space="preserve"> above. In reply to a question from his lawyer, the applicant said that he would be able to identify the persons who had beaten him, and requested a medical examination.</w:t>
      </w:r>
    </w:p>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17</w:t>
      </w:r>
      <w:r w:rsidRPr="00542B4F">
        <w:fldChar w:fldCharType="end"/>
      </w:r>
      <w:r w:rsidRPr="00542B4F">
        <w:t>.  On 14</w:t>
      </w:r>
      <w:r w:rsidR="00AE38DA" w:rsidRPr="00542B4F">
        <w:t> </w:t>
      </w:r>
      <w:r w:rsidRPr="00542B4F">
        <w:t>March 2006 the applicant was released from custody against an undertaking not to leave the town.</w:t>
      </w:r>
    </w:p>
    <w:p w:rsidR="002117CF" w:rsidRPr="00542B4F" w:rsidRDefault="002773E9" w:rsidP="00542B4F">
      <w:pPr>
        <w:pStyle w:val="ECHRHeading2"/>
      </w:pPr>
      <w:r w:rsidRPr="00542B4F">
        <w:t>B.  </w:t>
      </w:r>
      <w:r w:rsidR="0071326C" w:rsidRPr="00542B4F">
        <w:t>Forensic medical examination</w:t>
      </w:r>
      <w:r w:rsidR="002117CF" w:rsidRPr="00542B4F">
        <w:t xml:space="preserve"> and witnesses</w:t>
      </w:r>
      <w:r w:rsidR="00542B4F" w:rsidRPr="00542B4F">
        <w:t>’</w:t>
      </w:r>
      <w:r w:rsidR="002117CF" w:rsidRPr="00542B4F">
        <w:t xml:space="preserve"> statements provided by the applicant</w:t>
      </w:r>
    </w:p>
    <w:p w:rsidR="002117CF" w:rsidRPr="00542B4F" w:rsidRDefault="002117CF" w:rsidP="00542B4F">
      <w:pPr>
        <w:pStyle w:val="ECHRHeading3"/>
      </w:pPr>
      <w:r w:rsidRPr="00542B4F">
        <w:t>1.  Medical evidence</w:t>
      </w:r>
    </w:p>
    <w:p w:rsidR="00C52C85" w:rsidRPr="00542B4F" w:rsidRDefault="00C52C8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18</w:t>
      </w:r>
      <w:r w:rsidRPr="00542B4F">
        <w:fldChar w:fldCharType="end"/>
      </w:r>
      <w:r w:rsidRPr="00542B4F">
        <w:t>.  On 13 March 2006 the applicant</w:t>
      </w:r>
      <w:r w:rsidR="00542B4F" w:rsidRPr="00542B4F">
        <w:t>’</w:t>
      </w:r>
      <w:r w:rsidRPr="00542B4F">
        <w:t>s lawyer requested that a forensic examination of the applicant be carried out. On 14 March 2006 the investigator ordered the applicant</w:t>
      </w:r>
      <w:r w:rsidR="00542B4F" w:rsidRPr="00542B4F">
        <w:t>’</w:t>
      </w:r>
      <w:r w:rsidRPr="00542B4F">
        <w:t xml:space="preserve">s medical examination </w:t>
      </w:r>
      <w:r w:rsidRPr="00542B4F">
        <w:rPr>
          <w:i/>
        </w:rPr>
        <w:t>(</w:t>
      </w:r>
      <w:r w:rsidRPr="00542B4F">
        <w:rPr>
          <w:i/>
          <w:lang w:val="ru-RU"/>
        </w:rPr>
        <w:t>медицинское</w:t>
      </w:r>
      <w:r w:rsidRPr="00542B4F">
        <w:rPr>
          <w:i/>
        </w:rPr>
        <w:t xml:space="preserve"> </w:t>
      </w:r>
      <w:r w:rsidRPr="00542B4F">
        <w:rPr>
          <w:i/>
          <w:lang w:val="ru-RU"/>
        </w:rPr>
        <w:t>исследование</w:t>
      </w:r>
      <w:r w:rsidRPr="00542B4F">
        <w:t>).</w:t>
      </w:r>
    </w:p>
    <w:bookmarkStart w:id="9" w:name="MedicalReport15032006"/>
    <w:p w:rsidR="00F72D1B"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19</w:t>
      </w:r>
      <w:r w:rsidRPr="00542B4F">
        <w:fldChar w:fldCharType="end"/>
      </w:r>
      <w:bookmarkEnd w:id="9"/>
      <w:r w:rsidRPr="00542B4F">
        <w:t xml:space="preserve">.  According to </w:t>
      </w:r>
      <w:r w:rsidR="00BE6626" w:rsidRPr="00542B4F">
        <w:t>forensic medical</w:t>
      </w:r>
      <w:r w:rsidR="00E93672" w:rsidRPr="00542B4F">
        <w:t xml:space="preserve"> examination</w:t>
      </w:r>
      <w:r w:rsidR="00BE6626" w:rsidRPr="00542B4F">
        <w:t xml:space="preserve"> report </w:t>
      </w:r>
      <w:r w:rsidR="009F4C9F" w:rsidRPr="00542B4F">
        <w:t xml:space="preserve">no. 899 </w:t>
      </w:r>
      <w:r w:rsidR="00BE6626" w:rsidRPr="00542B4F">
        <w:t>of 15 </w:t>
      </w:r>
      <w:r w:rsidRPr="00542B4F">
        <w:t>March 2006</w:t>
      </w:r>
      <w:r w:rsidR="009F4C9F" w:rsidRPr="00542B4F">
        <w:t>,</w:t>
      </w:r>
      <w:r w:rsidR="00BB2484" w:rsidRPr="00542B4F">
        <w:t xml:space="preserve"> </w:t>
      </w:r>
      <w:r w:rsidR="00844D1E" w:rsidRPr="00542B4F">
        <w:t xml:space="preserve">compiled by an expert </w:t>
      </w:r>
      <w:r w:rsidR="009F4C9F" w:rsidRPr="00542B4F">
        <w:t xml:space="preserve">from the </w:t>
      </w:r>
      <w:r w:rsidR="00844D1E" w:rsidRPr="00542B4F">
        <w:t xml:space="preserve">Republican Centre of Forensic Medical Examinations, the applicant had multiple bruises </w:t>
      </w:r>
      <w:r w:rsidR="009F4C9F" w:rsidRPr="00542B4F">
        <w:t xml:space="preserve">on his </w:t>
      </w:r>
      <w:r w:rsidR="00844D1E" w:rsidRPr="00542B4F">
        <w:t xml:space="preserve">neck, jaw, </w:t>
      </w:r>
      <w:r w:rsidR="000F5BC8" w:rsidRPr="00542B4F">
        <w:t>chest</w:t>
      </w:r>
      <w:r w:rsidR="00844D1E" w:rsidRPr="00542B4F">
        <w:t>, right ear, right side of the</w:t>
      </w:r>
      <w:r w:rsidR="0024574C" w:rsidRPr="00542B4F">
        <w:t xml:space="preserve"> back</w:t>
      </w:r>
      <w:r w:rsidR="00844D1E" w:rsidRPr="00542B4F">
        <w:t xml:space="preserve">, as well as bruises </w:t>
      </w:r>
      <w:r w:rsidR="009F4C9F" w:rsidRPr="00542B4F">
        <w:t xml:space="preserve">on </w:t>
      </w:r>
      <w:r w:rsidR="00844D1E" w:rsidRPr="00542B4F">
        <w:t xml:space="preserve">the upper abdomen (left side), which </w:t>
      </w:r>
      <w:r w:rsidR="000F5BC8" w:rsidRPr="00542B4F">
        <w:t xml:space="preserve">could have been inflicted </w:t>
      </w:r>
      <w:r w:rsidR="00844D1E" w:rsidRPr="00542B4F">
        <w:t xml:space="preserve">by a solid blunt </w:t>
      </w:r>
      <w:r w:rsidR="00844D1E" w:rsidRPr="00542B4F">
        <w:lastRenderedPageBreak/>
        <w:t xml:space="preserve">object </w:t>
      </w:r>
      <w:r w:rsidR="000F5BC8" w:rsidRPr="00542B4F">
        <w:t xml:space="preserve">from five to seven and from seven to nine days </w:t>
      </w:r>
      <w:r w:rsidR="00844D1E" w:rsidRPr="00542B4F">
        <w:t xml:space="preserve">before the examination, </w:t>
      </w:r>
      <w:r w:rsidR="000F5BC8" w:rsidRPr="00542B4F">
        <w:t>respectively.</w:t>
      </w:r>
    </w:p>
    <w:bookmarkStart w:id="10" w:name="MedicalReport15032006_details"/>
    <w:p w:rsidR="00F72D1B" w:rsidRPr="00542B4F" w:rsidRDefault="00995CD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20</w:t>
      </w:r>
      <w:r w:rsidRPr="00542B4F">
        <w:fldChar w:fldCharType="end"/>
      </w:r>
      <w:bookmarkEnd w:id="10"/>
      <w:r w:rsidRPr="00542B4F">
        <w:t>.  According to the report, the</w:t>
      </w:r>
      <w:r w:rsidR="00E93672" w:rsidRPr="00542B4F">
        <w:t xml:space="preserve"> </w:t>
      </w:r>
      <w:r w:rsidR="009F4C9F" w:rsidRPr="00542B4F">
        <w:t xml:space="preserve">applicant also had the </w:t>
      </w:r>
      <w:r w:rsidR="002773E9" w:rsidRPr="00542B4F">
        <w:t xml:space="preserve">following </w:t>
      </w:r>
      <w:r w:rsidR="000F5BC8" w:rsidRPr="00542B4F">
        <w:t>injuries</w:t>
      </w:r>
      <w:r w:rsidR="009F4C9F" w:rsidRPr="00542B4F">
        <w:t>:</w:t>
      </w:r>
    </w:p>
    <w:p w:rsidR="00152590" w:rsidRPr="00542B4F" w:rsidRDefault="00BB2484" w:rsidP="00542B4F">
      <w:pPr>
        <w:pStyle w:val="ECHRParaQuote"/>
      </w:pPr>
      <w:r w:rsidRPr="00542B4F">
        <w:t>“</w:t>
      </w:r>
      <w:r w:rsidR="00152590" w:rsidRPr="00542B4F">
        <w:t xml:space="preserve">-  bruises on the face, right postaural area, upper third of the posterior surface of the neck, right occipital region, right hip, right forearm, </w:t>
      </w:r>
      <w:r w:rsidR="000F5BC8" w:rsidRPr="00542B4F">
        <w:t>[</w:t>
      </w:r>
      <w:r w:rsidR="00D97FB3" w:rsidRPr="00542B4F">
        <w:t>which</w:t>
      </w:r>
      <w:r w:rsidR="000F5BC8" w:rsidRPr="00542B4F">
        <w:t>]</w:t>
      </w:r>
      <w:r w:rsidR="00D97FB3" w:rsidRPr="00542B4F">
        <w:t xml:space="preserve"> could </w:t>
      </w:r>
      <w:r w:rsidR="000F5BC8" w:rsidRPr="00542B4F">
        <w:t>have been</w:t>
      </w:r>
      <w:r w:rsidR="00D97FB3" w:rsidRPr="00542B4F">
        <w:t xml:space="preserve"> caused by blunt solid objects with </w:t>
      </w:r>
      <w:r w:rsidR="009F4C9F" w:rsidRPr="00542B4F">
        <w:t xml:space="preserve">a </w:t>
      </w:r>
      <w:r w:rsidR="00D97FB3" w:rsidRPr="00542B4F">
        <w:t>limited surface</w:t>
      </w:r>
      <w:r w:rsidR="00D40016" w:rsidRPr="00542B4F">
        <w:t xml:space="preserve"> area</w:t>
      </w:r>
      <w:r w:rsidR="00D97FB3" w:rsidRPr="00542B4F">
        <w:t>, such as hands or other objects</w:t>
      </w:r>
      <w:r w:rsidR="009F4C9F" w:rsidRPr="00542B4F">
        <w:t>,</w:t>
      </w:r>
      <w:r w:rsidR="00152590" w:rsidRPr="00542B4F">
        <w:t xml:space="preserve"> two to four days prior the [present] </w:t>
      </w:r>
      <w:r w:rsidR="00D97FB3" w:rsidRPr="00542B4F">
        <w:t>examination</w:t>
      </w:r>
      <w:r w:rsidR="00152590" w:rsidRPr="00542B4F">
        <w:t>;</w:t>
      </w:r>
    </w:p>
    <w:p w:rsidR="00152590" w:rsidRPr="00542B4F" w:rsidRDefault="00152590" w:rsidP="00542B4F">
      <w:pPr>
        <w:pStyle w:val="ECHRParaQuote"/>
      </w:pPr>
      <w:r w:rsidRPr="00542B4F">
        <w:t>-  </w:t>
      </w:r>
      <w:r w:rsidR="00836114" w:rsidRPr="00542B4F">
        <w:t xml:space="preserve">a </w:t>
      </w:r>
      <w:r w:rsidR="009F4C9F" w:rsidRPr="00542B4F">
        <w:t xml:space="preserve">surface </w:t>
      </w:r>
      <w:r w:rsidR="00836114" w:rsidRPr="00542B4F">
        <w:t xml:space="preserve">bruise </w:t>
      </w:r>
      <w:r w:rsidR="00D40016" w:rsidRPr="00542B4F">
        <w:t xml:space="preserve">on </w:t>
      </w:r>
      <w:r w:rsidR="00D97FB3" w:rsidRPr="00542B4F">
        <w:t xml:space="preserve">the </w:t>
      </w:r>
      <w:r w:rsidR="00836114" w:rsidRPr="00542B4F">
        <w:t xml:space="preserve">occipital region </w:t>
      </w:r>
      <w:r w:rsidR="00D97FB3" w:rsidRPr="00542B4F">
        <w:t xml:space="preserve">(right side) and the upper third of the posterior surface of the neck, </w:t>
      </w:r>
      <w:r w:rsidR="000F5BC8" w:rsidRPr="00542B4F">
        <w:t>[</w:t>
      </w:r>
      <w:r w:rsidR="00D97FB3" w:rsidRPr="00542B4F">
        <w:t>which</w:t>
      </w:r>
      <w:r w:rsidR="000F5BC8" w:rsidRPr="00542B4F">
        <w:t>]</w:t>
      </w:r>
      <w:r w:rsidR="00D97FB3" w:rsidRPr="00542B4F">
        <w:t xml:space="preserve"> could </w:t>
      </w:r>
      <w:r w:rsidR="000F5BC8" w:rsidRPr="00542B4F">
        <w:t>have been</w:t>
      </w:r>
      <w:r w:rsidR="00D97FB3" w:rsidRPr="00542B4F">
        <w:t xml:space="preserve"> caused by a blunt solid object with </w:t>
      </w:r>
      <w:r w:rsidR="009F4C9F" w:rsidRPr="00542B4F">
        <w:t xml:space="preserve">a </w:t>
      </w:r>
      <w:r w:rsidR="00D97FB3" w:rsidRPr="00542B4F">
        <w:t>limited surface</w:t>
      </w:r>
      <w:r w:rsidR="00D40016" w:rsidRPr="00542B4F">
        <w:t xml:space="preserve"> area</w:t>
      </w:r>
      <w:r w:rsidR="00D97FB3" w:rsidRPr="00542B4F">
        <w:t>, such as a booted foot, two to four days prior to the examination;</w:t>
      </w:r>
    </w:p>
    <w:p w:rsidR="00D97FB3" w:rsidRPr="00542B4F" w:rsidRDefault="00D97FB3" w:rsidP="00542B4F">
      <w:pPr>
        <w:pStyle w:val="ECHRParaQuote"/>
      </w:pPr>
      <w:r w:rsidRPr="00542B4F">
        <w:t xml:space="preserve">-  abrasions </w:t>
      </w:r>
      <w:r w:rsidR="00D40016" w:rsidRPr="00542B4F">
        <w:t>on</w:t>
      </w:r>
      <w:r w:rsidRPr="00542B4F">
        <w:t xml:space="preserve"> the </w:t>
      </w:r>
      <w:r w:rsidR="00D37075" w:rsidRPr="00542B4F">
        <w:t xml:space="preserve">lower third of the right forearm, interior surface, </w:t>
      </w:r>
      <w:r w:rsidR="00D40016" w:rsidRPr="00542B4F">
        <w:t xml:space="preserve">affecting </w:t>
      </w:r>
      <w:r w:rsidR="00D37075" w:rsidRPr="00542B4F">
        <w:t xml:space="preserve">the right wrist joint, </w:t>
      </w:r>
      <w:r w:rsidR="000F5BC8" w:rsidRPr="00542B4F">
        <w:t>[</w:t>
      </w:r>
      <w:r w:rsidR="00D37075" w:rsidRPr="00542B4F">
        <w:t>which</w:t>
      </w:r>
      <w:r w:rsidR="000F5BC8" w:rsidRPr="00542B4F">
        <w:t>]</w:t>
      </w:r>
      <w:r w:rsidR="00D37075" w:rsidRPr="00542B4F">
        <w:t xml:space="preserve"> could </w:t>
      </w:r>
      <w:r w:rsidR="000F5BC8" w:rsidRPr="00542B4F">
        <w:t>have been</w:t>
      </w:r>
      <w:r w:rsidR="00D37075" w:rsidRPr="00542B4F">
        <w:t xml:space="preserve"> caused by solid objects of </w:t>
      </w:r>
      <w:r w:rsidR="000F5BC8" w:rsidRPr="00542B4F">
        <w:t xml:space="preserve">a </w:t>
      </w:r>
      <w:r w:rsidR="00D37075" w:rsidRPr="00542B4F">
        <w:t>limited surface</w:t>
      </w:r>
      <w:r w:rsidR="00D40016" w:rsidRPr="00542B4F">
        <w:t xml:space="preserve"> area</w:t>
      </w:r>
      <w:r w:rsidR="00D37075" w:rsidRPr="00542B4F">
        <w:t>, that is handcuffs, one to three days prior to the examination;</w:t>
      </w:r>
    </w:p>
    <w:p w:rsidR="00D37075" w:rsidRPr="00542B4F" w:rsidRDefault="00D37075" w:rsidP="00542B4F">
      <w:pPr>
        <w:pStyle w:val="ECHRParaQuote"/>
      </w:pPr>
      <w:r w:rsidRPr="00542B4F">
        <w:t xml:space="preserve">-  a bruise </w:t>
      </w:r>
      <w:r w:rsidR="00D40016" w:rsidRPr="00542B4F">
        <w:t>on</w:t>
      </w:r>
      <w:r w:rsidRPr="00542B4F">
        <w:t xml:space="preserve"> the right ear auricle</w:t>
      </w:r>
      <w:r w:rsidR="000F5BC8" w:rsidRPr="00542B4F">
        <w:t xml:space="preserve">, [which] could have been inflicted one to three days prior to the examination by a solid blunt object of a limited injuring surface, such as </w:t>
      </w:r>
      <w:r w:rsidR="009F4C9F" w:rsidRPr="00542B4F">
        <w:t xml:space="preserve">part of </w:t>
      </w:r>
      <w:r w:rsidR="000F5BC8" w:rsidRPr="00542B4F">
        <w:t xml:space="preserve">a hand, for example, </w:t>
      </w:r>
      <w:r w:rsidR="009F4C9F" w:rsidRPr="00542B4F">
        <w:t>the</w:t>
      </w:r>
      <w:r w:rsidR="000F5BC8" w:rsidRPr="00542B4F">
        <w:t xml:space="preserve"> palm;</w:t>
      </w:r>
    </w:p>
    <w:p w:rsidR="000F5BC8" w:rsidRPr="00542B4F" w:rsidRDefault="000F5BC8" w:rsidP="00542B4F">
      <w:pPr>
        <w:pStyle w:val="ECHRParaQuote"/>
      </w:pPr>
      <w:r w:rsidRPr="00542B4F">
        <w:t xml:space="preserve">-  abrasions </w:t>
      </w:r>
      <w:r w:rsidR="00D40016" w:rsidRPr="00542B4F">
        <w:t>on</w:t>
      </w:r>
      <w:r w:rsidRPr="00542B4F">
        <w:t xml:space="preserve"> the lumbar region, [which] could have been caused by a solid blunt object of a limited surface </w:t>
      </w:r>
      <w:r w:rsidR="00D40016" w:rsidRPr="00542B4F">
        <w:t xml:space="preserve">area, </w:t>
      </w:r>
      <w:r w:rsidRPr="00542B4F">
        <w:t>one to three days before the examination</w:t>
      </w:r>
      <w:r w:rsidR="009853FD" w:rsidRPr="00542B4F">
        <w:t>.</w:t>
      </w:r>
      <w:r w:rsidRPr="00542B4F">
        <w:t>”</w:t>
      </w:r>
    </w:p>
    <w:bookmarkStart w:id="11" w:name="MedicalReport15032006_3"/>
    <w:p w:rsidR="00F72D1B" w:rsidRPr="00542B4F" w:rsidRDefault="000F5BC8"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21</w:t>
      </w:r>
      <w:r w:rsidRPr="00542B4F">
        <w:fldChar w:fldCharType="end"/>
      </w:r>
      <w:bookmarkEnd w:id="11"/>
      <w:r w:rsidRPr="00542B4F">
        <w:t xml:space="preserve">.  The expert noted that she </w:t>
      </w:r>
      <w:r w:rsidR="009F4C9F" w:rsidRPr="00542B4F">
        <w:t xml:space="preserve">had been </w:t>
      </w:r>
      <w:r w:rsidRPr="00542B4F">
        <w:t xml:space="preserve">unable to establish the mechanism </w:t>
      </w:r>
      <w:r w:rsidR="00B67B5C" w:rsidRPr="00542B4F">
        <w:t xml:space="preserve">with which </w:t>
      </w:r>
      <w:r w:rsidRPr="00542B4F">
        <w:t xml:space="preserve">the above injuries </w:t>
      </w:r>
      <w:r w:rsidR="00B67B5C" w:rsidRPr="00542B4F">
        <w:t xml:space="preserve">had been inflicted </w:t>
      </w:r>
      <w:r w:rsidRPr="00542B4F">
        <w:t>with more precision and specified that the traumas had not caused harm to the applicant</w:t>
      </w:r>
      <w:r w:rsidR="00542B4F" w:rsidRPr="00542B4F">
        <w:t>’</w:t>
      </w:r>
      <w:r w:rsidRPr="00542B4F">
        <w:t>s health.</w:t>
      </w:r>
    </w:p>
    <w:p w:rsidR="002117CF" w:rsidRPr="00542B4F" w:rsidRDefault="002117CF" w:rsidP="00542B4F">
      <w:pPr>
        <w:pStyle w:val="ECHRHeading3"/>
      </w:pPr>
      <w:r w:rsidRPr="00542B4F">
        <w:rPr>
          <w:bCs w:val="0"/>
          <w:i w:val="0"/>
        </w:rPr>
        <w:t>2</w:t>
      </w:r>
      <w:r w:rsidRPr="00542B4F">
        <w:t>.  Witnesses</w:t>
      </w:r>
      <w:r w:rsidR="00542B4F" w:rsidRPr="00542B4F">
        <w:t>’</w:t>
      </w:r>
      <w:r w:rsidRPr="00542B4F">
        <w:rPr>
          <w:bCs w:val="0"/>
          <w:i w:val="0"/>
        </w:rPr>
        <w:t xml:space="preserve"> </w:t>
      </w:r>
      <w:r w:rsidRPr="00542B4F">
        <w:t>statements</w:t>
      </w:r>
    </w:p>
    <w:bookmarkStart w:id="12" w:name="Relatives_statements042006"/>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22</w:t>
      </w:r>
      <w:r w:rsidRPr="00542B4F">
        <w:fldChar w:fldCharType="end"/>
      </w:r>
      <w:bookmarkEnd w:id="12"/>
      <w:r w:rsidRPr="00542B4F">
        <w:t>.  When questioned by lawyers of a local human rights prot</w:t>
      </w:r>
      <w:r w:rsidR="00BE6626" w:rsidRPr="00542B4F">
        <w:t>ection organisation on 7 and 17 </w:t>
      </w:r>
      <w:r w:rsidRPr="00542B4F">
        <w:t>April 2006, the applicant</w:t>
      </w:r>
      <w:r w:rsidR="00542B4F" w:rsidRPr="00542B4F">
        <w:t>’</w:t>
      </w:r>
      <w:r w:rsidRPr="00542B4F">
        <w:t>s relatives and Ms Sh., the applicant</w:t>
      </w:r>
      <w:r w:rsidR="00542B4F" w:rsidRPr="00542B4F">
        <w:t>’</w:t>
      </w:r>
      <w:r w:rsidRPr="00542B4F">
        <w:t>s neighbour</w:t>
      </w:r>
      <w:r w:rsidR="00DC15EE" w:rsidRPr="00542B4F">
        <w:t>,</w:t>
      </w:r>
      <w:r w:rsidRPr="00542B4F">
        <w:t xml:space="preserve"> testified that they had seen the applicant on </w:t>
      </w:r>
      <w:r w:rsidR="009A24F3" w:rsidRPr="00542B4F">
        <w:t xml:space="preserve">the morning of </w:t>
      </w:r>
      <w:r w:rsidRPr="00542B4F">
        <w:t>12 March 2006 in good health.</w:t>
      </w:r>
    </w:p>
    <w:p w:rsidR="002773E9" w:rsidRPr="00542B4F" w:rsidRDefault="002773E9" w:rsidP="00542B4F">
      <w:pPr>
        <w:pStyle w:val="ECHRHeading2"/>
      </w:pPr>
      <w:r w:rsidRPr="00542B4F">
        <w:t>C.  The applicant</w:t>
      </w:r>
      <w:r w:rsidR="00542B4F" w:rsidRPr="00542B4F">
        <w:t>’</w:t>
      </w:r>
      <w:r w:rsidRPr="00542B4F">
        <w:t>s attempts to institute criminal proceedings in connection with the alleged ill-treatment</w:t>
      </w:r>
    </w:p>
    <w:p w:rsidR="00FA3C3B" w:rsidRPr="00542B4F" w:rsidRDefault="00FA3C3B" w:rsidP="00542B4F">
      <w:pPr>
        <w:pStyle w:val="ECHRHeading3"/>
      </w:pPr>
      <w:r w:rsidRPr="00542B4F">
        <w:t xml:space="preserve">1.  Initial inquiry </w:t>
      </w:r>
      <w:r w:rsidR="00EC591E" w:rsidRPr="00542B4F">
        <w:t>into the ill-treatment complaint</w:t>
      </w:r>
    </w:p>
    <w:p w:rsidR="00F72D1B" w:rsidRPr="00542B4F" w:rsidRDefault="00C52C8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23</w:t>
      </w:r>
      <w:r w:rsidRPr="00542B4F">
        <w:fldChar w:fldCharType="end"/>
      </w:r>
      <w:r w:rsidRPr="00542B4F">
        <w:t>.  </w:t>
      </w:r>
      <w:r w:rsidR="002773E9" w:rsidRPr="00542B4F">
        <w:t>On 13 March 2006 the applicant complained to a local prosecutor</w:t>
      </w:r>
      <w:r w:rsidR="009A24F3" w:rsidRPr="00542B4F">
        <w:t xml:space="preserve"> that he had been ill-treated</w:t>
      </w:r>
      <w:r w:rsidR="002773E9" w:rsidRPr="00542B4F">
        <w:t>.</w:t>
      </w:r>
    </w:p>
    <w:p w:rsidR="00F72D1B"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24</w:t>
      </w:r>
      <w:r w:rsidRPr="00542B4F">
        <w:fldChar w:fldCharType="end"/>
      </w:r>
      <w:r w:rsidR="00AD289D" w:rsidRPr="00542B4F">
        <w:t xml:space="preserve">.  At some point, no later than 18 March 2006, </w:t>
      </w:r>
      <w:r w:rsidR="00326DF0" w:rsidRPr="00542B4F">
        <w:t xml:space="preserve">a </w:t>
      </w:r>
      <w:r w:rsidR="00AD289D" w:rsidRPr="00542B4F">
        <w:t>deputy prosecutor of the Yoshkar-Ola prosecutor</w:t>
      </w:r>
      <w:r w:rsidR="00542B4F" w:rsidRPr="00542B4F">
        <w:t>’</w:t>
      </w:r>
      <w:r w:rsidR="00AD289D" w:rsidRPr="00542B4F">
        <w:t xml:space="preserve">s office </w:t>
      </w:r>
      <w:r w:rsidR="00277720" w:rsidRPr="00542B4F">
        <w:t>opened a “pre</w:t>
      </w:r>
      <w:r w:rsidR="00277720" w:rsidRPr="00542B4F">
        <w:noBreakHyphen/>
        <w:t>investigation inquiry” into the applicant</w:t>
      </w:r>
      <w:r w:rsidR="00542B4F" w:rsidRPr="00542B4F">
        <w:t>’</w:t>
      </w:r>
      <w:r w:rsidR="00277720" w:rsidRPr="00542B4F">
        <w:t>s complaint under Article 144 of the Code of Criminal Procedure (</w:t>
      </w:r>
      <w:r w:rsidR="00277720" w:rsidRPr="00542B4F">
        <w:rPr>
          <w:i/>
          <w:lang w:val="ru-RU"/>
        </w:rPr>
        <w:t>проверка</w:t>
      </w:r>
      <w:r w:rsidR="00277720" w:rsidRPr="00542B4F">
        <w:rPr>
          <w:i/>
        </w:rPr>
        <w:t xml:space="preserve"> </w:t>
      </w:r>
      <w:r w:rsidR="00277720" w:rsidRPr="00542B4F">
        <w:rPr>
          <w:i/>
          <w:lang w:val="ru-RU"/>
        </w:rPr>
        <w:t>по</w:t>
      </w:r>
      <w:r w:rsidR="00277720" w:rsidRPr="00542B4F">
        <w:rPr>
          <w:i/>
        </w:rPr>
        <w:t xml:space="preserve"> </w:t>
      </w:r>
      <w:r w:rsidR="00277720" w:rsidRPr="00542B4F">
        <w:rPr>
          <w:i/>
          <w:lang w:val="ru-RU"/>
        </w:rPr>
        <w:t>заявлению</w:t>
      </w:r>
      <w:r w:rsidR="00277720" w:rsidRPr="00542B4F">
        <w:rPr>
          <w:i/>
        </w:rPr>
        <w:t xml:space="preserve"> </w:t>
      </w:r>
      <w:r w:rsidR="00277720" w:rsidRPr="00542B4F">
        <w:rPr>
          <w:i/>
          <w:lang w:val="ru-RU"/>
        </w:rPr>
        <w:t>о</w:t>
      </w:r>
      <w:r w:rsidR="00277720" w:rsidRPr="00542B4F">
        <w:rPr>
          <w:i/>
        </w:rPr>
        <w:t xml:space="preserve"> </w:t>
      </w:r>
      <w:r w:rsidR="00277720" w:rsidRPr="00542B4F">
        <w:rPr>
          <w:i/>
          <w:lang w:val="ru-RU"/>
        </w:rPr>
        <w:t>преступлении</w:t>
      </w:r>
      <w:r w:rsidR="00277720" w:rsidRPr="00542B4F">
        <w:t xml:space="preserve">). </w:t>
      </w:r>
      <w:r w:rsidR="00AD289D" w:rsidRPr="00542B4F">
        <w:t xml:space="preserve">He </w:t>
      </w:r>
      <w:r w:rsidR="00067719" w:rsidRPr="00542B4F">
        <w:t xml:space="preserve">interviewed </w:t>
      </w:r>
      <w:r w:rsidR="00D40016" w:rsidRPr="00542B4F">
        <w:t xml:space="preserve">the </w:t>
      </w:r>
      <w:r w:rsidR="002E3CBF" w:rsidRPr="00542B4F">
        <w:t xml:space="preserve">three </w:t>
      </w:r>
      <w:r w:rsidR="00D40016" w:rsidRPr="00542B4F">
        <w:t>d</w:t>
      </w:r>
      <w:r w:rsidR="00067719" w:rsidRPr="00542B4F">
        <w:t xml:space="preserve">rug </w:t>
      </w:r>
      <w:r w:rsidR="00D40016" w:rsidRPr="00542B4F">
        <w:t>c</w:t>
      </w:r>
      <w:r w:rsidR="00067719" w:rsidRPr="00542B4F">
        <w:t xml:space="preserve">ontrol officers, </w:t>
      </w:r>
      <w:r w:rsidR="009A24F3" w:rsidRPr="00542B4F">
        <w:t xml:space="preserve">Mr </w:t>
      </w:r>
      <w:r w:rsidR="00067719" w:rsidRPr="00542B4F">
        <w:t xml:space="preserve">D., </w:t>
      </w:r>
      <w:r w:rsidR="009A24F3" w:rsidRPr="00542B4F">
        <w:t xml:space="preserve">Mr </w:t>
      </w:r>
      <w:r w:rsidR="00067719" w:rsidRPr="00542B4F">
        <w:t xml:space="preserve">M. and </w:t>
      </w:r>
      <w:r w:rsidR="009A24F3" w:rsidRPr="00542B4F">
        <w:t xml:space="preserve">Mr </w:t>
      </w:r>
      <w:r w:rsidR="00067719" w:rsidRPr="00542B4F">
        <w:t xml:space="preserve">V., </w:t>
      </w:r>
      <w:r w:rsidR="00AD289D" w:rsidRPr="00542B4F">
        <w:t>who had arrested him</w:t>
      </w:r>
      <w:r w:rsidR="00277720" w:rsidRPr="00542B4F">
        <w:t xml:space="preserve">, </w:t>
      </w:r>
      <w:r w:rsidR="00D40016" w:rsidRPr="00542B4F">
        <w:t xml:space="preserve">and </w:t>
      </w:r>
      <w:r w:rsidR="00277720" w:rsidRPr="00542B4F">
        <w:t xml:space="preserve">investigators N. and P. </w:t>
      </w:r>
      <w:r w:rsidR="00D40016" w:rsidRPr="00542B4F">
        <w:t xml:space="preserve">He </w:t>
      </w:r>
      <w:r w:rsidR="00277720" w:rsidRPr="00542B4F">
        <w:t xml:space="preserve">also </w:t>
      </w:r>
      <w:r w:rsidR="00D40016" w:rsidRPr="00542B4F">
        <w:t>took “</w:t>
      </w:r>
      <w:r w:rsidR="00277720" w:rsidRPr="00542B4F">
        <w:t>explanations</w:t>
      </w:r>
      <w:r w:rsidR="00D40016" w:rsidRPr="00542B4F">
        <w:t>” from the applicant</w:t>
      </w:r>
      <w:r w:rsidR="00AD289D" w:rsidRPr="00542B4F">
        <w:t>.</w:t>
      </w:r>
    </w:p>
    <w:bookmarkStart w:id="13" w:name="Officers_statements032006_1"/>
    <w:p w:rsidR="00F72D1B" w:rsidRPr="00542B4F" w:rsidRDefault="00C44DEC" w:rsidP="00542B4F">
      <w:pPr>
        <w:pStyle w:val="ECHRPara"/>
      </w:pPr>
      <w:r w:rsidRPr="00542B4F">
        <w:lastRenderedPageBreak/>
        <w:fldChar w:fldCharType="begin"/>
      </w:r>
      <w:r w:rsidRPr="00542B4F">
        <w:instrText xml:space="preserve"> SEQ level0 \*arabic </w:instrText>
      </w:r>
      <w:r w:rsidRPr="00542B4F">
        <w:fldChar w:fldCharType="separate"/>
      </w:r>
      <w:r w:rsidR="00542B4F" w:rsidRPr="00542B4F">
        <w:rPr>
          <w:noProof/>
        </w:rPr>
        <w:t>25</w:t>
      </w:r>
      <w:r w:rsidRPr="00542B4F">
        <w:fldChar w:fldCharType="end"/>
      </w:r>
      <w:bookmarkEnd w:id="13"/>
      <w:r w:rsidRPr="00542B4F">
        <w:t>.  </w:t>
      </w:r>
      <w:r w:rsidR="002737A9" w:rsidRPr="00542B4F">
        <w:t>The three officers testified that they had arrested the applicant on the street at about 2 p.m</w:t>
      </w:r>
      <w:r w:rsidR="009A24F3" w:rsidRPr="00542B4F">
        <w:t>.</w:t>
      </w:r>
      <w:r w:rsidR="00B2251E" w:rsidRPr="00542B4F">
        <w:t xml:space="preserve"> and </w:t>
      </w:r>
      <w:r w:rsidR="009A24F3" w:rsidRPr="00542B4F">
        <w:t xml:space="preserve">had </w:t>
      </w:r>
      <w:r w:rsidR="00B2251E" w:rsidRPr="00542B4F">
        <w:t xml:space="preserve">then </w:t>
      </w:r>
      <w:r w:rsidR="009A24F3" w:rsidRPr="00542B4F">
        <w:t xml:space="preserve">taken </w:t>
      </w:r>
      <w:r w:rsidR="00B2251E" w:rsidRPr="00542B4F">
        <w:t>him to the investigator</w:t>
      </w:r>
      <w:r w:rsidR="002737A9" w:rsidRPr="00542B4F">
        <w:t xml:space="preserve">. Officer V. stated that the applicant </w:t>
      </w:r>
      <w:r w:rsidR="009A24F3" w:rsidRPr="00542B4F">
        <w:t xml:space="preserve">had been taken </w:t>
      </w:r>
      <w:r w:rsidR="002737A9" w:rsidRPr="00542B4F">
        <w:t xml:space="preserve">to the </w:t>
      </w:r>
      <w:r w:rsidR="009A24F3" w:rsidRPr="00542B4F">
        <w:t xml:space="preserve">premises of the </w:t>
      </w:r>
      <w:r w:rsidR="002737A9" w:rsidRPr="00542B4F">
        <w:t xml:space="preserve">Drug Control Service </w:t>
      </w:r>
      <w:r w:rsidR="00D40016" w:rsidRPr="00542B4F">
        <w:t xml:space="preserve">at about 2.30 p.m. </w:t>
      </w:r>
      <w:r w:rsidR="002737A9" w:rsidRPr="00542B4F">
        <w:t xml:space="preserve">and </w:t>
      </w:r>
      <w:r w:rsidR="00D40016" w:rsidRPr="00542B4F">
        <w:t xml:space="preserve">had then been </w:t>
      </w:r>
      <w:r w:rsidR="002737A9" w:rsidRPr="00542B4F">
        <w:t>transferred to investigator N.</w:t>
      </w:r>
    </w:p>
    <w:bookmarkStart w:id="14" w:name="Officers_statements032006_2"/>
    <w:p w:rsidR="00F72D1B" w:rsidRPr="00542B4F" w:rsidRDefault="00B2251E"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26</w:t>
      </w:r>
      <w:r w:rsidRPr="00542B4F">
        <w:fldChar w:fldCharType="end"/>
      </w:r>
      <w:bookmarkEnd w:id="14"/>
      <w:r w:rsidRPr="00542B4F">
        <w:t>.  </w:t>
      </w:r>
      <w:r w:rsidR="002737A9" w:rsidRPr="00542B4F">
        <w:t>All three officers stated that the</w:t>
      </w:r>
      <w:r w:rsidRPr="00542B4F">
        <w:t xml:space="preserve">y had introduced themselves and informed the applicant that </w:t>
      </w:r>
      <w:r w:rsidR="009A24F3" w:rsidRPr="00542B4F">
        <w:t xml:space="preserve">he was under </w:t>
      </w:r>
      <w:r w:rsidRPr="00542B4F">
        <w:t>arrest. The</w:t>
      </w:r>
      <w:r w:rsidR="002737A9" w:rsidRPr="00542B4F">
        <w:t xml:space="preserve"> applicant had resisted arrest. Notably, he had pushed the officers, </w:t>
      </w:r>
      <w:r w:rsidR="0024264F" w:rsidRPr="00542B4F">
        <w:t>shouted and used coarse language</w:t>
      </w:r>
      <w:r w:rsidR="002737A9" w:rsidRPr="00542B4F">
        <w:t>,</w:t>
      </w:r>
      <w:r w:rsidRPr="00542B4F">
        <w:t xml:space="preserve"> attempted to hit the </w:t>
      </w:r>
      <w:r w:rsidR="009A24F3" w:rsidRPr="00542B4F">
        <w:t xml:space="preserve">officers </w:t>
      </w:r>
      <w:r w:rsidRPr="00542B4F">
        <w:t>and to escape. Officer M. specified that at some point the applicant had fallen</w:t>
      </w:r>
      <w:r w:rsidR="009A24F3" w:rsidRPr="00542B4F">
        <w:t xml:space="preserve"> –</w:t>
      </w:r>
      <w:r w:rsidRPr="00542B4F">
        <w:t xml:space="preserve"> and started rolling </w:t>
      </w:r>
      <w:r w:rsidR="009A24F3" w:rsidRPr="00542B4F">
        <w:t>–</w:t>
      </w:r>
      <w:r w:rsidRPr="00542B4F">
        <w:t xml:space="preserve"> on the ground. As a result, the officers had </w:t>
      </w:r>
      <w:r w:rsidR="009A24F3" w:rsidRPr="00542B4F">
        <w:t xml:space="preserve">had </w:t>
      </w:r>
      <w:r w:rsidRPr="00542B4F">
        <w:t>to use “physical force” or “wrestling techniques”</w:t>
      </w:r>
      <w:r w:rsidR="00D40016" w:rsidRPr="00542B4F">
        <w:t>,</w:t>
      </w:r>
      <w:r w:rsidRPr="00542B4F">
        <w:t xml:space="preserve"> and </w:t>
      </w:r>
      <w:r w:rsidR="00D40016" w:rsidRPr="00542B4F">
        <w:t xml:space="preserve">had had </w:t>
      </w:r>
      <w:r w:rsidRPr="00542B4F">
        <w:t>to handcuff the applicant.</w:t>
      </w:r>
    </w:p>
    <w:bookmarkStart w:id="15" w:name="V_statement032006"/>
    <w:p w:rsidR="00F72D1B" w:rsidRPr="00542B4F" w:rsidRDefault="00B2251E"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27</w:t>
      </w:r>
      <w:r w:rsidRPr="00542B4F">
        <w:fldChar w:fldCharType="end"/>
      </w:r>
      <w:bookmarkEnd w:id="15"/>
      <w:r w:rsidRPr="00542B4F">
        <w:t xml:space="preserve">.  Officer V. testified that, once </w:t>
      </w:r>
      <w:r w:rsidR="00D40016" w:rsidRPr="00542B4F">
        <w:t xml:space="preserve">he had been taken to </w:t>
      </w:r>
      <w:r w:rsidRPr="00542B4F">
        <w:t xml:space="preserve">the </w:t>
      </w:r>
      <w:r w:rsidR="00D40016" w:rsidRPr="00542B4F">
        <w:t xml:space="preserve">premises of the </w:t>
      </w:r>
      <w:r w:rsidRPr="00542B4F">
        <w:t>Drug Control</w:t>
      </w:r>
      <w:r w:rsidR="00D40016" w:rsidRPr="00542B4F">
        <w:t xml:space="preserve"> Service</w:t>
      </w:r>
      <w:r w:rsidRPr="00542B4F">
        <w:t xml:space="preserve">, the applicant had been interviewed by investigator N. </w:t>
      </w:r>
      <w:r w:rsidR="00A2386F" w:rsidRPr="00542B4F">
        <w:t xml:space="preserve">– </w:t>
      </w:r>
      <w:r w:rsidRPr="00542B4F">
        <w:t xml:space="preserve">V. </w:t>
      </w:r>
      <w:r w:rsidR="00A2386F" w:rsidRPr="00542B4F">
        <w:t xml:space="preserve">had </w:t>
      </w:r>
      <w:r w:rsidRPr="00542B4F">
        <w:t>entered N.</w:t>
      </w:r>
      <w:r w:rsidR="00542B4F" w:rsidRPr="00542B4F">
        <w:t>’</w:t>
      </w:r>
      <w:r w:rsidRPr="00542B4F">
        <w:t xml:space="preserve">s office </w:t>
      </w:r>
      <w:r w:rsidR="00D40016" w:rsidRPr="00542B4F">
        <w:t xml:space="preserve">at one point </w:t>
      </w:r>
      <w:r w:rsidRPr="00542B4F">
        <w:t xml:space="preserve">and </w:t>
      </w:r>
      <w:r w:rsidR="00A2386F" w:rsidRPr="00542B4F">
        <w:t xml:space="preserve">had seen </w:t>
      </w:r>
      <w:r w:rsidRPr="00542B4F">
        <w:t>N. putting questions to the applicant. No physical force or psychological pressure had been used against the applicant after</w:t>
      </w:r>
      <w:r w:rsidR="00A2386F" w:rsidRPr="00542B4F">
        <w:t xml:space="preserve"> his arrest</w:t>
      </w:r>
      <w:r w:rsidRPr="00542B4F">
        <w:t>, since there had no longer been any need for</w:t>
      </w:r>
      <w:r w:rsidR="00A2386F" w:rsidRPr="00542B4F">
        <w:t xml:space="preserve"> it</w:t>
      </w:r>
      <w:r w:rsidRPr="00542B4F">
        <w:t>.</w:t>
      </w:r>
    </w:p>
    <w:bookmarkStart w:id="16" w:name="N_statement032006"/>
    <w:p w:rsidR="00B2251E" w:rsidRPr="00542B4F" w:rsidRDefault="00B2251E"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28</w:t>
      </w:r>
      <w:r w:rsidRPr="00542B4F">
        <w:fldChar w:fldCharType="end"/>
      </w:r>
      <w:bookmarkEnd w:id="16"/>
      <w:r w:rsidRPr="00542B4F">
        <w:t xml:space="preserve">.  Investigator N. stated </w:t>
      </w:r>
      <w:r w:rsidR="00037BC5" w:rsidRPr="00542B4F">
        <w:t xml:space="preserve">on 20 March 2006 </w:t>
      </w:r>
      <w:r w:rsidRPr="00542B4F">
        <w:t xml:space="preserve">that </w:t>
      </w:r>
      <w:r w:rsidR="00037BC5" w:rsidRPr="00542B4F">
        <w:t xml:space="preserve">a decision to arrest the applicant had been taken </w:t>
      </w:r>
      <w:r w:rsidRPr="00542B4F">
        <w:t xml:space="preserve">at about 2 p.m. </w:t>
      </w:r>
      <w:r w:rsidR="00037BC5" w:rsidRPr="00542B4F">
        <w:t>on 12 March 2006</w:t>
      </w:r>
      <w:r w:rsidRPr="00542B4F">
        <w:t xml:space="preserve">. When </w:t>
      </w:r>
      <w:r w:rsidR="00A2386F" w:rsidRPr="00542B4F">
        <w:t xml:space="preserve">the applicant </w:t>
      </w:r>
      <w:r w:rsidR="00D40016" w:rsidRPr="00542B4F">
        <w:t xml:space="preserve">arrived at </w:t>
      </w:r>
      <w:r w:rsidR="00161F71" w:rsidRPr="00542B4F">
        <w:t xml:space="preserve">offices of </w:t>
      </w:r>
      <w:r w:rsidRPr="00542B4F">
        <w:t>the Drug Control</w:t>
      </w:r>
      <w:r w:rsidR="00161F71" w:rsidRPr="00542B4F">
        <w:t xml:space="preserve"> Service</w:t>
      </w:r>
      <w:r w:rsidRPr="00542B4F">
        <w:t xml:space="preserve">, </w:t>
      </w:r>
      <w:r w:rsidR="00A2386F" w:rsidRPr="00542B4F">
        <w:t xml:space="preserve">he </w:t>
      </w:r>
      <w:r w:rsidR="00D40016" w:rsidRPr="00542B4F">
        <w:t xml:space="preserve">was </w:t>
      </w:r>
      <w:r w:rsidRPr="00542B4F">
        <w:t xml:space="preserve">already handcuffed. </w:t>
      </w:r>
      <w:r w:rsidR="00802892" w:rsidRPr="00542B4F">
        <w:t>The</w:t>
      </w:r>
      <w:r w:rsidRPr="00542B4F">
        <w:t xml:space="preserve"> police officers who accompanied him explained that the applicant had resisted arrest. </w:t>
      </w:r>
      <w:r w:rsidR="0030280F" w:rsidRPr="00542B4F">
        <w:t xml:space="preserve">On an unspecified date N. submitted </w:t>
      </w:r>
      <w:r w:rsidRPr="00542B4F">
        <w:t xml:space="preserve">a </w:t>
      </w:r>
      <w:r w:rsidR="00037BC5" w:rsidRPr="00542B4F">
        <w:t xml:space="preserve">supplement to </w:t>
      </w:r>
      <w:r w:rsidR="0089298D" w:rsidRPr="00542B4F">
        <w:t xml:space="preserve">his </w:t>
      </w:r>
      <w:r w:rsidR="00037BC5" w:rsidRPr="00542B4F">
        <w:t>statement</w:t>
      </w:r>
      <w:r w:rsidR="0030280F" w:rsidRPr="00542B4F">
        <w:t xml:space="preserve"> specifying </w:t>
      </w:r>
      <w:r w:rsidR="00037BC5" w:rsidRPr="00542B4F">
        <w:t xml:space="preserve">that the applicant had been brought to the </w:t>
      </w:r>
      <w:r w:rsidR="0053462A" w:rsidRPr="00542B4F">
        <w:t xml:space="preserve">premises of the </w:t>
      </w:r>
      <w:r w:rsidR="00037BC5" w:rsidRPr="00542B4F">
        <w:t xml:space="preserve">Drug Control </w:t>
      </w:r>
      <w:r w:rsidR="0053462A" w:rsidRPr="00542B4F">
        <w:t xml:space="preserve">Service </w:t>
      </w:r>
      <w:r w:rsidR="00037BC5" w:rsidRPr="00542B4F">
        <w:t xml:space="preserve">at about 2 p.m. and </w:t>
      </w:r>
      <w:r w:rsidR="00A2386F" w:rsidRPr="00542B4F">
        <w:t xml:space="preserve">placed in </w:t>
      </w:r>
      <w:r w:rsidR="00037BC5" w:rsidRPr="00542B4F">
        <w:t xml:space="preserve">office no. 314. N. had not seen any injuries on the applicant. </w:t>
      </w:r>
      <w:r w:rsidR="00A2386F" w:rsidRPr="00542B4F">
        <w:t xml:space="preserve">He </w:t>
      </w:r>
      <w:r w:rsidR="00037BC5" w:rsidRPr="00542B4F">
        <w:t xml:space="preserve">had </w:t>
      </w:r>
      <w:r w:rsidR="00A2386F" w:rsidRPr="00542B4F">
        <w:t xml:space="preserve">informed </w:t>
      </w:r>
      <w:r w:rsidR="00037BC5" w:rsidRPr="00542B4F">
        <w:t>the applicant of the suspicions against him and invited him to cooperate with the authorities. V. had also been present. They had not used physical or psychological pressure against the applicant. At about 4 p.m. N. had transferred to applicant to investigator P.</w:t>
      </w:r>
    </w:p>
    <w:bookmarkStart w:id="17" w:name="P_statement032006"/>
    <w:p w:rsidR="00037BC5" w:rsidRPr="00542B4F" w:rsidRDefault="000C712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29</w:t>
      </w:r>
      <w:r w:rsidRPr="00542B4F">
        <w:rPr>
          <w:noProof/>
        </w:rPr>
        <w:fldChar w:fldCharType="end"/>
      </w:r>
      <w:bookmarkEnd w:id="17"/>
      <w:r w:rsidR="00037BC5" w:rsidRPr="00542B4F">
        <w:t>.  On 18</w:t>
      </w:r>
      <w:r w:rsidR="00E269B6" w:rsidRPr="00542B4F">
        <w:t> </w:t>
      </w:r>
      <w:r w:rsidR="00037BC5" w:rsidRPr="00542B4F">
        <w:t xml:space="preserve">March 2006 investigator P. stated that the applicant had been brought to his office at 5.50 p.m. </w:t>
      </w:r>
      <w:r w:rsidR="003804C2" w:rsidRPr="00542B4F">
        <w:t xml:space="preserve">on 12 March 2006. </w:t>
      </w:r>
      <w:r w:rsidR="00037BC5" w:rsidRPr="00542B4F">
        <w:t xml:space="preserve">P. had compiled an arrest record in respect of the applicant. He had not seen any injuries on his face. </w:t>
      </w:r>
      <w:r w:rsidR="00A2386F" w:rsidRPr="00542B4F">
        <w:t xml:space="preserve">A </w:t>
      </w:r>
      <w:r w:rsidR="00037BC5" w:rsidRPr="00542B4F">
        <w:t>search of the applicant</w:t>
      </w:r>
      <w:r w:rsidR="00542B4F" w:rsidRPr="00542B4F">
        <w:t>’</w:t>
      </w:r>
      <w:r w:rsidR="00037BC5" w:rsidRPr="00542B4F">
        <w:t xml:space="preserve">s flat had </w:t>
      </w:r>
      <w:r w:rsidR="00A2386F" w:rsidRPr="00542B4F">
        <w:t xml:space="preserve">then </w:t>
      </w:r>
      <w:r w:rsidR="00037BC5" w:rsidRPr="00542B4F">
        <w:t xml:space="preserve">been conducted. During the search the applicant had complained to his parents </w:t>
      </w:r>
      <w:r w:rsidR="00A2386F" w:rsidRPr="00542B4F">
        <w:t xml:space="preserve">that he had been beaten </w:t>
      </w:r>
      <w:r w:rsidR="00037BC5" w:rsidRPr="00542B4F">
        <w:t xml:space="preserve">by the </w:t>
      </w:r>
      <w:r w:rsidR="006F2784" w:rsidRPr="00542B4F">
        <w:t>d</w:t>
      </w:r>
      <w:r w:rsidR="00037BC5" w:rsidRPr="00542B4F">
        <w:t xml:space="preserve">rug </w:t>
      </w:r>
      <w:r w:rsidR="006F2784" w:rsidRPr="00542B4F">
        <w:t>c</w:t>
      </w:r>
      <w:r w:rsidR="00037BC5" w:rsidRPr="00542B4F">
        <w:t>ontrol officers, and P. had noticed bruises on one [unspecified] side of the applicant</w:t>
      </w:r>
      <w:r w:rsidR="00542B4F" w:rsidRPr="00542B4F">
        <w:t>’</w:t>
      </w:r>
      <w:r w:rsidR="00037BC5" w:rsidRPr="00542B4F">
        <w:t xml:space="preserve">s face. On 13 March 2006 the applicant had requested </w:t>
      </w:r>
      <w:r w:rsidR="00A2386F" w:rsidRPr="00542B4F">
        <w:t xml:space="preserve">a </w:t>
      </w:r>
      <w:r w:rsidR="00037BC5" w:rsidRPr="00542B4F">
        <w:t>medical examination, and P. had granted that</w:t>
      </w:r>
      <w:r w:rsidR="00A2386F" w:rsidRPr="00542B4F">
        <w:t xml:space="preserve"> request</w:t>
      </w:r>
      <w:r w:rsidR="00037BC5" w:rsidRPr="00542B4F">
        <w:t xml:space="preserve">. Neither </w:t>
      </w:r>
      <w:r w:rsidR="00A2386F" w:rsidRPr="00542B4F">
        <w:t xml:space="preserve">he </w:t>
      </w:r>
      <w:r w:rsidR="00037BC5" w:rsidRPr="00542B4F">
        <w:t xml:space="preserve">nor </w:t>
      </w:r>
      <w:r w:rsidR="00A2386F" w:rsidRPr="00542B4F">
        <w:t xml:space="preserve">any of the </w:t>
      </w:r>
      <w:r w:rsidR="00037BC5" w:rsidRPr="00542B4F">
        <w:t xml:space="preserve">other </w:t>
      </w:r>
      <w:r w:rsidR="006F2784" w:rsidRPr="00542B4F">
        <w:t>d</w:t>
      </w:r>
      <w:r w:rsidR="00037BC5" w:rsidRPr="00542B4F">
        <w:t xml:space="preserve">rug </w:t>
      </w:r>
      <w:r w:rsidR="006F2784" w:rsidRPr="00542B4F">
        <w:t>c</w:t>
      </w:r>
      <w:r w:rsidR="00037BC5" w:rsidRPr="00542B4F">
        <w:t>ontrol officers had exercised any kind of physical or psychological pressure on the applicant.</w:t>
      </w:r>
    </w:p>
    <w:bookmarkStart w:id="18" w:name="ApptExplanationInquiry2006"/>
    <w:p w:rsidR="00F72D1B" w:rsidRPr="00542B4F" w:rsidRDefault="00497A64"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30</w:t>
      </w:r>
      <w:r w:rsidRPr="00542B4F">
        <w:rPr>
          <w:noProof/>
        </w:rPr>
        <w:fldChar w:fldCharType="end"/>
      </w:r>
      <w:bookmarkEnd w:id="18"/>
      <w:r w:rsidR="00C13075" w:rsidRPr="00542B4F">
        <w:t xml:space="preserve">.  The applicant maintained his account of </w:t>
      </w:r>
      <w:r w:rsidR="002416FF" w:rsidRPr="00542B4F">
        <w:t xml:space="preserve">the </w:t>
      </w:r>
      <w:r w:rsidR="00C13075" w:rsidRPr="00542B4F">
        <w:t xml:space="preserve">events </w:t>
      </w:r>
      <w:r w:rsidR="00277720" w:rsidRPr="00542B4F">
        <w:t>(see paragraphs </w:t>
      </w:r>
      <w:r w:rsidR="00842723" w:rsidRPr="00542B4F">
        <w:fldChar w:fldCharType="begin"/>
      </w:r>
      <w:r w:rsidR="00842723" w:rsidRPr="00542B4F">
        <w:instrText xml:space="preserve"> REF APPTsAccount12032006 \h </w:instrText>
      </w:r>
      <w:r w:rsidR="00842723" w:rsidRPr="00542B4F">
        <w:fldChar w:fldCharType="separate"/>
      </w:r>
      <w:r w:rsidR="00542B4F" w:rsidRPr="00542B4F">
        <w:rPr>
          <w:noProof/>
        </w:rPr>
        <w:t>6</w:t>
      </w:r>
      <w:r w:rsidR="00842723" w:rsidRPr="00542B4F">
        <w:fldChar w:fldCharType="end"/>
      </w:r>
      <w:r w:rsidR="005679FB" w:rsidRPr="00542B4F">
        <w:noBreakHyphen/>
      </w:r>
      <w:r w:rsidR="00842723" w:rsidRPr="00542B4F">
        <w:fldChar w:fldCharType="begin"/>
      </w:r>
      <w:r w:rsidR="00842723" w:rsidRPr="00542B4F">
        <w:instrText xml:space="preserve"> REF APPTsAccount_fin \h </w:instrText>
      </w:r>
      <w:r w:rsidR="00842723" w:rsidRPr="00542B4F">
        <w:fldChar w:fldCharType="separate"/>
      </w:r>
      <w:r w:rsidR="00542B4F" w:rsidRPr="00542B4F">
        <w:rPr>
          <w:noProof/>
        </w:rPr>
        <w:t>8</w:t>
      </w:r>
      <w:r w:rsidR="00842723" w:rsidRPr="00542B4F">
        <w:fldChar w:fldCharType="end"/>
      </w:r>
      <w:r w:rsidR="00277720" w:rsidRPr="00542B4F">
        <w:t xml:space="preserve"> above), referred to the medical </w:t>
      </w:r>
      <w:r w:rsidR="0030280F" w:rsidRPr="00542B4F">
        <w:t xml:space="preserve">reports </w:t>
      </w:r>
      <w:r w:rsidR="00CD4308" w:rsidRPr="00542B4F">
        <w:t>(see paragraph</w:t>
      </w:r>
      <w:r w:rsidR="00842723" w:rsidRPr="00542B4F">
        <w:t>s </w:t>
      </w:r>
      <w:r w:rsidR="00842723" w:rsidRPr="00542B4F">
        <w:fldChar w:fldCharType="begin"/>
      </w:r>
      <w:r w:rsidR="00842723" w:rsidRPr="00542B4F">
        <w:instrText xml:space="preserve"> REF InjuriesRecordIVS12032006 \h </w:instrText>
      </w:r>
      <w:r w:rsidR="00842723" w:rsidRPr="00542B4F">
        <w:fldChar w:fldCharType="separate"/>
      </w:r>
      <w:r w:rsidR="00542B4F" w:rsidRPr="00542B4F">
        <w:rPr>
          <w:noProof/>
        </w:rPr>
        <w:t>14</w:t>
      </w:r>
      <w:r w:rsidR="00842723" w:rsidRPr="00542B4F">
        <w:fldChar w:fldCharType="end"/>
      </w:r>
      <w:r w:rsidR="00842723" w:rsidRPr="00542B4F">
        <w:t xml:space="preserve"> and </w:t>
      </w:r>
      <w:r w:rsidR="00842723" w:rsidRPr="00542B4F">
        <w:fldChar w:fldCharType="begin"/>
      </w:r>
      <w:r w:rsidR="00842723" w:rsidRPr="00542B4F">
        <w:instrText xml:space="preserve"> REF MedicalReport15032006 \h </w:instrText>
      </w:r>
      <w:r w:rsidR="00842723" w:rsidRPr="00542B4F">
        <w:fldChar w:fldCharType="separate"/>
      </w:r>
      <w:r w:rsidR="00542B4F" w:rsidRPr="00542B4F">
        <w:rPr>
          <w:noProof/>
        </w:rPr>
        <w:t>19</w:t>
      </w:r>
      <w:r w:rsidR="00842723" w:rsidRPr="00542B4F">
        <w:fldChar w:fldCharType="end"/>
      </w:r>
      <w:r w:rsidR="00842723" w:rsidRPr="00542B4F">
        <w:t>-</w:t>
      </w:r>
      <w:r w:rsidR="00842723" w:rsidRPr="00542B4F">
        <w:fldChar w:fldCharType="begin"/>
      </w:r>
      <w:r w:rsidR="00842723" w:rsidRPr="00542B4F">
        <w:instrText xml:space="preserve"> REF MedicalReport15032006_3 \h </w:instrText>
      </w:r>
      <w:r w:rsidR="00842723" w:rsidRPr="00542B4F">
        <w:fldChar w:fldCharType="separate"/>
      </w:r>
      <w:r w:rsidR="00542B4F" w:rsidRPr="00542B4F">
        <w:rPr>
          <w:noProof/>
        </w:rPr>
        <w:t>21</w:t>
      </w:r>
      <w:r w:rsidR="00842723" w:rsidRPr="00542B4F">
        <w:fldChar w:fldCharType="end"/>
      </w:r>
      <w:r w:rsidR="00CD4308" w:rsidRPr="00542B4F">
        <w:t xml:space="preserve"> above) </w:t>
      </w:r>
      <w:r w:rsidR="00C13075" w:rsidRPr="00542B4F">
        <w:t>and insisted that he had been in good health before the arrest.</w:t>
      </w:r>
    </w:p>
    <w:bookmarkStart w:id="19" w:name="Refusal23032006reasoning"/>
    <w:p w:rsidR="002773E9" w:rsidRPr="00542B4F" w:rsidRDefault="00AD289D" w:rsidP="00542B4F">
      <w:pPr>
        <w:pStyle w:val="ECHRPara"/>
      </w:pPr>
      <w:r w:rsidRPr="00542B4F">
        <w:lastRenderedPageBreak/>
        <w:fldChar w:fldCharType="begin"/>
      </w:r>
      <w:r w:rsidRPr="00542B4F">
        <w:instrText xml:space="preserve"> SEQ level0 \*arabic </w:instrText>
      </w:r>
      <w:r w:rsidRPr="00542B4F">
        <w:fldChar w:fldCharType="separate"/>
      </w:r>
      <w:r w:rsidR="00542B4F" w:rsidRPr="00542B4F">
        <w:rPr>
          <w:noProof/>
        </w:rPr>
        <w:t>31</w:t>
      </w:r>
      <w:r w:rsidRPr="00542B4F">
        <w:fldChar w:fldCharType="end"/>
      </w:r>
      <w:bookmarkEnd w:id="19"/>
      <w:r w:rsidRPr="00542B4F">
        <w:t>.  </w:t>
      </w:r>
      <w:r w:rsidR="002773E9" w:rsidRPr="00542B4F">
        <w:t>On 23 March 2006 the deputy prosecutor of the Yoshkar-Ola prosecutor</w:t>
      </w:r>
      <w:r w:rsidR="00542B4F" w:rsidRPr="00542B4F">
        <w:t>’</w:t>
      </w:r>
      <w:r w:rsidR="002773E9" w:rsidRPr="00542B4F">
        <w:t>s office refused to open criminal proceedings in respect of the police</w:t>
      </w:r>
      <w:r w:rsidR="002416FF" w:rsidRPr="00542B4F">
        <w:t xml:space="preserve"> officers</w:t>
      </w:r>
      <w:r w:rsidR="002773E9" w:rsidRPr="00542B4F">
        <w:t xml:space="preserve"> </w:t>
      </w:r>
      <w:r w:rsidR="002416FF" w:rsidRPr="00542B4F">
        <w:t xml:space="preserve">for </w:t>
      </w:r>
      <w:r w:rsidR="002773E9" w:rsidRPr="00542B4F">
        <w:t xml:space="preserve">lack of </w:t>
      </w:r>
      <w:r w:rsidR="002416FF" w:rsidRPr="00542B4F">
        <w:t xml:space="preserve">any </w:t>
      </w:r>
      <w:r w:rsidR="002773E9" w:rsidRPr="00542B4F">
        <w:t xml:space="preserve">indication of a crime. He </w:t>
      </w:r>
      <w:r w:rsidR="00C13075" w:rsidRPr="00542B4F">
        <w:t xml:space="preserve">referred to the above </w:t>
      </w:r>
      <w:r w:rsidR="002416FF" w:rsidRPr="00542B4F">
        <w:t>“</w:t>
      </w:r>
      <w:r w:rsidR="00C13075" w:rsidRPr="00542B4F">
        <w:t>explanations</w:t>
      </w:r>
      <w:r w:rsidR="002416FF" w:rsidRPr="00542B4F">
        <w:t>”</w:t>
      </w:r>
      <w:r w:rsidR="00C13075" w:rsidRPr="00542B4F">
        <w:t xml:space="preserve"> </w:t>
      </w:r>
      <w:r w:rsidR="002416FF" w:rsidRPr="00542B4F">
        <w:t xml:space="preserve">submitted </w:t>
      </w:r>
      <w:r w:rsidR="00C13075" w:rsidRPr="00542B4F">
        <w:t>by the applicant and officers D., M., V</w:t>
      </w:r>
      <w:r w:rsidR="0030280F" w:rsidRPr="00542B4F">
        <w:t>.</w:t>
      </w:r>
      <w:r w:rsidR="00C13075" w:rsidRPr="00542B4F">
        <w:t xml:space="preserve"> and N., as well as the medical report of 15 March 2006.</w:t>
      </w:r>
      <w:r w:rsidR="002773E9" w:rsidRPr="00542B4F">
        <w:t xml:space="preserve"> </w:t>
      </w:r>
      <w:r w:rsidR="00C13075" w:rsidRPr="00542B4F">
        <w:t xml:space="preserve">The deputy prosecutor observed that the applicant had </w:t>
      </w:r>
      <w:r w:rsidR="0030280F" w:rsidRPr="00542B4F">
        <w:t xml:space="preserve">sustained </w:t>
      </w:r>
      <w:r w:rsidR="00C13075" w:rsidRPr="00542B4F">
        <w:t xml:space="preserve">injuries both before and during the </w:t>
      </w:r>
      <w:r w:rsidR="002416FF" w:rsidRPr="00542B4F">
        <w:t xml:space="preserve">arrest on </w:t>
      </w:r>
      <w:r w:rsidR="00C13075" w:rsidRPr="00542B4F">
        <w:t>12</w:t>
      </w:r>
      <w:r w:rsidR="00E269B6" w:rsidRPr="00542B4F">
        <w:t> </w:t>
      </w:r>
      <w:r w:rsidR="00C13075" w:rsidRPr="00542B4F">
        <w:t xml:space="preserve">March 2006. </w:t>
      </w:r>
      <w:r w:rsidR="00277720" w:rsidRPr="00542B4F">
        <w:t>He concluded that the</w:t>
      </w:r>
      <w:r w:rsidR="00C13075" w:rsidRPr="00542B4F">
        <w:t xml:space="preserve"> injuries </w:t>
      </w:r>
      <w:r w:rsidR="0030280F" w:rsidRPr="00542B4F">
        <w:t xml:space="preserve">sustained </w:t>
      </w:r>
      <w:r w:rsidR="00C13075" w:rsidRPr="00542B4F">
        <w:t xml:space="preserve">during the arrest had resulted from the use of handcuffs and physical force. The deputy prosecutor </w:t>
      </w:r>
      <w:r w:rsidR="00277720" w:rsidRPr="00542B4F">
        <w:t xml:space="preserve">further </w:t>
      </w:r>
      <w:r w:rsidR="00C13075" w:rsidRPr="00542B4F">
        <w:t xml:space="preserve">found that the </w:t>
      </w:r>
      <w:r w:rsidR="002773E9" w:rsidRPr="00542B4F">
        <w:t>police</w:t>
      </w:r>
      <w:r w:rsidR="002416FF" w:rsidRPr="00542B4F">
        <w:t xml:space="preserve"> officers</w:t>
      </w:r>
      <w:r w:rsidR="002773E9" w:rsidRPr="00542B4F">
        <w:t xml:space="preserve"> had acted lawfully</w:t>
      </w:r>
      <w:r w:rsidR="00C13075" w:rsidRPr="00542B4F">
        <w:t xml:space="preserve"> during the applicant</w:t>
      </w:r>
      <w:r w:rsidR="00542B4F" w:rsidRPr="00542B4F">
        <w:t>’</w:t>
      </w:r>
      <w:r w:rsidR="00C13075" w:rsidRPr="00542B4F">
        <w:t xml:space="preserve">s arrest. </w:t>
      </w:r>
      <w:r w:rsidR="002773E9" w:rsidRPr="00542B4F">
        <w:t xml:space="preserve">The applicant had actively resisted arrest and, as a result, the officers </w:t>
      </w:r>
      <w:r w:rsidR="00C13075" w:rsidRPr="00542B4F">
        <w:t>had used physical forc</w:t>
      </w:r>
      <w:r w:rsidR="00CD4308" w:rsidRPr="00542B4F">
        <w:t xml:space="preserve">e on him as provided </w:t>
      </w:r>
      <w:r w:rsidR="002416FF" w:rsidRPr="00542B4F">
        <w:t xml:space="preserve">for under </w:t>
      </w:r>
      <w:r w:rsidR="00CD4308" w:rsidRPr="00542B4F">
        <w:t>Article </w:t>
      </w:r>
      <w:r w:rsidR="00C13075" w:rsidRPr="00542B4F">
        <w:t xml:space="preserve">13 of the Police Act. They </w:t>
      </w:r>
      <w:r w:rsidR="00277720" w:rsidRPr="00542B4F">
        <w:t xml:space="preserve">had not had </w:t>
      </w:r>
      <w:r w:rsidR="00C13075" w:rsidRPr="00542B4F">
        <w:t xml:space="preserve">to give </w:t>
      </w:r>
      <w:r w:rsidR="002416FF" w:rsidRPr="00542B4F">
        <w:t xml:space="preserve">the applicant </w:t>
      </w:r>
      <w:r w:rsidR="00C13075" w:rsidRPr="00542B4F">
        <w:t>prior notification that physical force would be used against him</w:t>
      </w:r>
      <w:r w:rsidR="00EA1DE9" w:rsidRPr="00542B4F">
        <w:t xml:space="preserve">, since such notification </w:t>
      </w:r>
      <w:r w:rsidR="00277720" w:rsidRPr="00542B4F">
        <w:t xml:space="preserve">“had been </w:t>
      </w:r>
      <w:r w:rsidR="00EA1DE9" w:rsidRPr="00542B4F">
        <w:t>inappropriate</w:t>
      </w:r>
      <w:r w:rsidR="00277720" w:rsidRPr="00542B4F">
        <w:t>”</w:t>
      </w:r>
      <w:r w:rsidR="00EA1DE9" w:rsidRPr="00542B4F">
        <w:t xml:space="preserve"> </w:t>
      </w:r>
      <w:r w:rsidR="00EA1DE9" w:rsidRPr="00542B4F">
        <w:rPr>
          <w:i/>
        </w:rPr>
        <w:t>(</w:t>
      </w:r>
      <w:r w:rsidR="00EA1DE9" w:rsidRPr="00542B4F">
        <w:rPr>
          <w:i/>
          <w:lang w:val="ru-RU"/>
        </w:rPr>
        <w:t>предупреждение</w:t>
      </w:r>
      <w:r w:rsidR="00EA1DE9" w:rsidRPr="00542B4F">
        <w:rPr>
          <w:i/>
        </w:rPr>
        <w:t xml:space="preserve"> </w:t>
      </w:r>
      <w:r w:rsidR="00EA1DE9" w:rsidRPr="00542B4F">
        <w:rPr>
          <w:i/>
          <w:lang w:val="ru-RU"/>
        </w:rPr>
        <w:t>являлось</w:t>
      </w:r>
      <w:r w:rsidR="00EA1DE9" w:rsidRPr="00542B4F">
        <w:rPr>
          <w:i/>
        </w:rPr>
        <w:t xml:space="preserve"> </w:t>
      </w:r>
      <w:r w:rsidR="00EA1DE9" w:rsidRPr="00542B4F">
        <w:rPr>
          <w:i/>
          <w:lang w:val="ru-RU"/>
        </w:rPr>
        <w:t>неуместным</w:t>
      </w:r>
      <w:r w:rsidR="00EA1DE9" w:rsidRPr="00542B4F">
        <w:t xml:space="preserve">) </w:t>
      </w:r>
      <w:r w:rsidR="00C13075" w:rsidRPr="00542B4F">
        <w:t xml:space="preserve">in the circumstances. </w:t>
      </w:r>
      <w:r w:rsidR="002773E9" w:rsidRPr="00542B4F">
        <w:t>As regards the alleg</w:t>
      </w:r>
      <w:r w:rsidR="00C13075" w:rsidRPr="00542B4F">
        <w:t>ations of</w:t>
      </w:r>
      <w:r w:rsidR="002773E9" w:rsidRPr="00542B4F">
        <w:t xml:space="preserve"> ill</w:t>
      </w:r>
      <w:r w:rsidR="002773E9" w:rsidRPr="00542B4F">
        <w:noBreakHyphen/>
        <w:t xml:space="preserve">treatment </w:t>
      </w:r>
      <w:r w:rsidR="002416FF" w:rsidRPr="00542B4F">
        <w:t xml:space="preserve">on the premises of </w:t>
      </w:r>
      <w:r w:rsidR="002773E9" w:rsidRPr="00542B4F">
        <w:t xml:space="preserve">the Drug Control Service, the prosecutor </w:t>
      </w:r>
      <w:r w:rsidR="0030280F" w:rsidRPr="00542B4F">
        <w:t xml:space="preserve">held that they were </w:t>
      </w:r>
      <w:r w:rsidR="00C13075" w:rsidRPr="00542B4F">
        <w:t>unfounded, because “</w:t>
      </w:r>
      <w:r w:rsidR="002416FF" w:rsidRPr="00542B4F">
        <w:t>the</w:t>
      </w:r>
      <w:r w:rsidR="00C13075" w:rsidRPr="00542B4F">
        <w:t xml:space="preserve"> issue of the applicant</w:t>
      </w:r>
      <w:r w:rsidR="00542B4F" w:rsidRPr="00542B4F">
        <w:t>’</w:t>
      </w:r>
      <w:r w:rsidR="00C13075" w:rsidRPr="00542B4F">
        <w:t xml:space="preserve">s confession was not a matter of principle for the </w:t>
      </w:r>
      <w:r w:rsidR="002416FF" w:rsidRPr="00542B4F">
        <w:t xml:space="preserve">investigating </w:t>
      </w:r>
      <w:r w:rsidR="00C13075" w:rsidRPr="00542B4F">
        <w:t>authority in view of the guarantees of Articles</w:t>
      </w:r>
      <w:r w:rsidR="00277720" w:rsidRPr="00542B4F">
        <w:t> </w:t>
      </w:r>
      <w:r w:rsidR="00C13075" w:rsidRPr="00542B4F">
        <w:t>49 and 51 of the Constitution”</w:t>
      </w:r>
      <w:r w:rsidR="002773E9" w:rsidRPr="00542B4F">
        <w:t>. The prosecutor concluded that the applicant</w:t>
      </w:r>
      <w:r w:rsidR="00542B4F" w:rsidRPr="00542B4F">
        <w:t>’</w:t>
      </w:r>
      <w:r w:rsidR="002773E9" w:rsidRPr="00542B4F">
        <w:t xml:space="preserve">s complaint in this </w:t>
      </w:r>
      <w:r w:rsidR="002416FF" w:rsidRPr="00542B4F">
        <w:t xml:space="preserve">connection </w:t>
      </w:r>
      <w:r w:rsidR="002773E9" w:rsidRPr="00542B4F">
        <w:t xml:space="preserve">rather constituted part of </w:t>
      </w:r>
      <w:r w:rsidR="002416FF" w:rsidRPr="00542B4F">
        <w:t xml:space="preserve">his </w:t>
      </w:r>
      <w:r w:rsidR="002773E9" w:rsidRPr="00542B4F">
        <w:t xml:space="preserve">defence strategy aimed at avoiding responsibility for </w:t>
      </w:r>
      <w:r w:rsidR="002416FF" w:rsidRPr="00542B4F">
        <w:t xml:space="preserve">the </w:t>
      </w:r>
      <w:r w:rsidR="002773E9" w:rsidRPr="00542B4F">
        <w:t>criminal offences</w:t>
      </w:r>
      <w:r w:rsidR="002416FF" w:rsidRPr="00542B4F">
        <w:t xml:space="preserve"> with which he was charged</w:t>
      </w:r>
      <w:r w:rsidR="002773E9" w:rsidRPr="00542B4F">
        <w:t>.</w:t>
      </w:r>
    </w:p>
    <w:p w:rsidR="00EC591E" w:rsidRPr="00542B4F" w:rsidRDefault="00EC591E" w:rsidP="00542B4F">
      <w:pPr>
        <w:pStyle w:val="ECHRHeading3"/>
      </w:pPr>
      <w:r w:rsidRPr="00542B4F">
        <w:t>2.  Subsequent court proceedings</w:t>
      </w:r>
    </w:p>
    <w:bookmarkStart w:id="20" w:name="Appeal14042006"/>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32</w:t>
      </w:r>
      <w:r w:rsidRPr="00542B4F">
        <w:fldChar w:fldCharType="end"/>
      </w:r>
      <w:bookmarkEnd w:id="20"/>
      <w:r w:rsidRPr="00542B4F">
        <w:t xml:space="preserve">.  On 14 April 2006 the applicant appealed against the </w:t>
      </w:r>
      <w:r w:rsidR="002416FF" w:rsidRPr="00542B4F">
        <w:t>deputy prosecutor</w:t>
      </w:r>
      <w:r w:rsidR="00542B4F" w:rsidRPr="00542B4F">
        <w:t>’</w:t>
      </w:r>
      <w:r w:rsidR="002416FF" w:rsidRPr="00542B4F">
        <w:t xml:space="preserve">s decision </w:t>
      </w:r>
      <w:r w:rsidRPr="00542B4F">
        <w:t>to the Yoshkar-Ola Town Court.</w:t>
      </w:r>
      <w:r w:rsidR="00A039BF" w:rsidRPr="00542B4F">
        <w:t xml:space="preserve"> He </w:t>
      </w:r>
      <w:r w:rsidR="00B12EA0" w:rsidRPr="00542B4F">
        <w:t>maintained his account of the events</w:t>
      </w:r>
      <w:r w:rsidR="002416FF" w:rsidRPr="00542B4F">
        <w:t>,</w:t>
      </w:r>
      <w:r w:rsidR="00B12EA0" w:rsidRPr="00542B4F">
        <w:t xml:space="preserve"> </w:t>
      </w:r>
      <w:r w:rsidR="002416FF" w:rsidRPr="00542B4F">
        <w:t>arguing</w:t>
      </w:r>
      <w:r w:rsidR="00A039BF" w:rsidRPr="00542B4F">
        <w:t xml:space="preserve">, in particular, that </w:t>
      </w:r>
      <w:r w:rsidR="0057799D" w:rsidRPr="00542B4F">
        <w:t>the arrest record had not contained any information on the use of force agai</w:t>
      </w:r>
      <w:r w:rsidR="00B47D57" w:rsidRPr="00542B4F">
        <w:t>nst him during the</w:t>
      </w:r>
      <w:r w:rsidR="00BC422F" w:rsidRPr="00542B4F">
        <w:t xml:space="preserve"> arrest.</w:t>
      </w:r>
      <w:r w:rsidR="00B47D57" w:rsidRPr="00542B4F">
        <w:t xml:space="preserve"> </w:t>
      </w:r>
      <w:r w:rsidR="00BC422F" w:rsidRPr="00542B4F">
        <w:t xml:space="preserve">In addition, </w:t>
      </w:r>
      <w:r w:rsidR="0057799D" w:rsidRPr="00542B4F">
        <w:t>the decision of 23 March 2006 contain</w:t>
      </w:r>
      <w:r w:rsidR="00BC422F" w:rsidRPr="00542B4F">
        <w:t>ed</w:t>
      </w:r>
      <w:r w:rsidR="0057799D" w:rsidRPr="00542B4F">
        <w:t xml:space="preserve"> </w:t>
      </w:r>
      <w:r w:rsidR="00BC422F" w:rsidRPr="00542B4F">
        <w:t>n</w:t>
      </w:r>
      <w:r w:rsidR="0057799D" w:rsidRPr="00542B4F">
        <w:t>either a reference to any document pertaining to the use of physical force and handcuffs during the</w:t>
      </w:r>
      <w:r w:rsidR="00BC422F" w:rsidRPr="00542B4F">
        <w:t xml:space="preserve"> arrest</w:t>
      </w:r>
      <w:r w:rsidR="0057799D" w:rsidRPr="00542B4F">
        <w:t xml:space="preserve">, </w:t>
      </w:r>
      <w:r w:rsidR="00BC422F" w:rsidRPr="00542B4F">
        <w:t>n</w:t>
      </w:r>
      <w:r w:rsidR="0057799D" w:rsidRPr="00542B4F">
        <w:t xml:space="preserve">or any details as to why a prior warning about use of force had been </w:t>
      </w:r>
      <w:r w:rsidR="00BC422F" w:rsidRPr="00542B4F">
        <w:t xml:space="preserve">deemed </w:t>
      </w:r>
      <w:r w:rsidR="0057799D" w:rsidRPr="00542B4F">
        <w:t>“inappropriate”. He argued that the police</w:t>
      </w:r>
      <w:r w:rsidR="00BC422F" w:rsidRPr="00542B4F">
        <w:t xml:space="preserve"> officers</w:t>
      </w:r>
      <w:r w:rsidR="0057799D" w:rsidRPr="00542B4F">
        <w:t xml:space="preserve"> had not had</w:t>
      </w:r>
      <w:r w:rsidR="00EC591E" w:rsidRPr="00542B4F">
        <w:t xml:space="preserve"> – </w:t>
      </w:r>
      <w:r w:rsidR="0057799D" w:rsidRPr="00542B4F">
        <w:t xml:space="preserve">and could not have had – any information that he had been potentially dangerous. </w:t>
      </w:r>
      <w:r w:rsidR="0045315D" w:rsidRPr="00542B4F">
        <w:t xml:space="preserve">He </w:t>
      </w:r>
      <w:r w:rsidR="00B47D57" w:rsidRPr="00542B4F">
        <w:t>further maintained that</w:t>
      </w:r>
      <w:r w:rsidR="0045315D" w:rsidRPr="00542B4F">
        <w:t xml:space="preserve"> his </w:t>
      </w:r>
      <w:r w:rsidR="00E04A2B" w:rsidRPr="00542B4F">
        <w:t xml:space="preserve">multiple </w:t>
      </w:r>
      <w:r w:rsidR="0045315D" w:rsidRPr="00542B4F">
        <w:t xml:space="preserve">injuries had been </w:t>
      </w:r>
      <w:r w:rsidR="00BC422F" w:rsidRPr="00542B4F">
        <w:t xml:space="preserve">sustained </w:t>
      </w:r>
      <w:r w:rsidR="0045315D" w:rsidRPr="00542B4F">
        <w:t xml:space="preserve">when he had already been handcuffed. </w:t>
      </w:r>
      <w:r w:rsidR="00BC422F" w:rsidRPr="00542B4F">
        <w:t>H</w:t>
      </w:r>
      <w:r w:rsidR="0057799D" w:rsidRPr="00542B4F">
        <w:t xml:space="preserve">e pointed out that he had not been provided with any medical assistance and </w:t>
      </w:r>
      <w:r w:rsidR="0071326C" w:rsidRPr="00542B4F">
        <w:t>his relatives had not been informed of the arrest in a timely manner</w:t>
      </w:r>
      <w:r w:rsidR="0057799D" w:rsidRPr="00542B4F">
        <w:t xml:space="preserve">. </w:t>
      </w:r>
      <w:r w:rsidR="0045315D" w:rsidRPr="00542B4F">
        <w:t xml:space="preserve">He </w:t>
      </w:r>
      <w:r w:rsidR="0057799D" w:rsidRPr="00542B4F">
        <w:t xml:space="preserve">further noted that witnesses who had seen him before and after </w:t>
      </w:r>
      <w:r w:rsidR="00E04A2B" w:rsidRPr="00542B4F">
        <w:t xml:space="preserve">his </w:t>
      </w:r>
      <w:r w:rsidR="0057799D" w:rsidRPr="00542B4F">
        <w:t>arrest (for instance, during the search of the flat) had not been identified and questioned. The applicant</w:t>
      </w:r>
      <w:r w:rsidR="00542B4F" w:rsidRPr="00542B4F">
        <w:t>’</w:t>
      </w:r>
      <w:r w:rsidR="0057799D" w:rsidRPr="00542B4F">
        <w:t xml:space="preserve">s submissions that he </w:t>
      </w:r>
      <w:r w:rsidR="00BC422F" w:rsidRPr="00542B4F">
        <w:t xml:space="preserve">could </w:t>
      </w:r>
      <w:r w:rsidR="0057799D" w:rsidRPr="00542B4F">
        <w:t xml:space="preserve">identify both the </w:t>
      </w:r>
      <w:r w:rsidR="005C7DEE" w:rsidRPr="00542B4F">
        <w:t xml:space="preserve">scene </w:t>
      </w:r>
      <w:r w:rsidR="005679FB" w:rsidRPr="00542B4F">
        <w:t>of the ill</w:t>
      </w:r>
      <w:r w:rsidR="005679FB" w:rsidRPr="00542B4F">
        <w:noBreakHyphen/>
      </w:r>
      <w:r w:rsidR="00E04A2B" w:rsidRPr="00542B4F">
        <w:t xml:space="preserve">treatment </w:t>
      </w:r>
      <w:r w:rsidR="005C7DEE" w:rsidRPr="00542B4F">
        <w:t xml:space="preserve">and the </w:t>
      </w:r>
      <w:r w:rsidR="00BC422F" w:rsidRPr="00542B4F">
        <w:t xml:space="preserve">officers </w:t>
      </w:r>
      <w:r w:rsidR="0057799D" w:rsidRPr="00542B4F">
        <w:t xml:space="preserve">allegedly involved </w:t>
      </w:r>
      <w:r w:rsidR="00E04A2B" w:rsidRPr="00542B4F">
        <w:t xml:space="preserve">in it </w:t>
      </w:r>
      <w:r w:rsidR="0057799D" w:rsidRPr="00542B4F">
        <w:t>had remained without assessment.</w:t>
      </w:r>
    </w:p>
    <w:bookmarkStart w:id="21" w:name="CourtDec19042006"/>
    <w:p w:rsidR="00F72D1B"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33</w:t>
      </w:r>
      <w:r w:rsidRPr="00542B4F">
        <w:fldChar w:fldCharType="end"/>
      </w:r>
      <w:bookmarkEnd w:id="21"/>
      <w:r w:rsidRPr="00542B4F">
        <w:t xml:space="preserve">.  On 19 April 2006 the </w:t>
      </w:r>
      <w:r w:rsidR="00C0578F" w:rsidRPr="00542B4F">
        <w:t xml:space="preserve">Yoshkar Ola </w:t>
      </w:r>
      <w:r w:rsidRPr="00542B4F">
        <w:t xml:space="preserve">Town Court </w:t>
      </w:r>
      <w:r w:rsidR="0057799D" w:rsidRPr="00542B4F">
        <w:t>dismissed the applicant</w:t>
      </w:r>
      <w:r w:rsidR="00542B4F" w:rsidRPr="00542B4F">
        <w:t>’</w:t>
      </w:r>
      <w:r w:rsidR="0057799D" w:rsidRPr="00542B4F">
        <w:t xml:space="preserve">s appeal and </w:t>
      </w:r>
      <w:r w:rsidRPr="00542B4F">
        <w:t>upheld the prosecutor</w:t>
      </w:r>
      <w:r w:rsidR="00542B4F" w:rsidRPr="00542B4F">
        <w:t>’</w:t>
      </w:r>
      <w:r w:rsidRPr="00542B4F">
        <w:t xml:space="preserve">s decision as lawful. The court </w:t>
      </w:r>
      <w:r w:rsidR="0057799D" w:rsidRPr="00542B4F">
        <w:lastRenderedPageBreak/>
        <w:t xml:space="preserve">noted that the applicant had not objected to the contents of the arrest record on 12 March 2006. The court </w:t>
      </w:r>
      <w:r w:rsidRPr="00542B4F">
        <w:t>endorsed the prosecutor</w:t>
      </w:r>
      <w:r w:rsidR="00542B4F" w:rsidRPr="00542B4F">
        <w:t>’</w:t>
      </w:r>
      <w:r w:rsidRPr="00542B4F">
        <w:t xml:space="preserve">s findings that the police had been obliged to use force and handcuff the applicant because </w:t>
      </w:r>
      <w:r w:rsidR="0057799D" w:rsidRPr="00542B4F">
        <w:t>he had resisted arrest. The court accepted that they</w:t>
      </w:r>
      <w:r w:rsidRPr="00542B4F">
        <w:t xml:space="preserve"> </w:t>
      </w:r>
      <w:r w:rsidR="001B3EC2" w:rsidRPr="00542B4F">
        <w:t xml:space="preserve">had </w:t>
      </w:r>
      <w:r w:rsidRPr="00542B4F">
        <w:t>a</w:t>
      </w:r>
      <w:r w:rsidR="00A039BF" w:rsidRPr="00542B4F">
        <w:t>cted in accordance with Article </w:t>
      </w:r>
      <w:r w:rsidRPr="00542B4F">
        <w:t>13 of the Police Act</w:t>
      </w:r>
      <w:r w:rsidR="00BC422F" w:rsidRPr="00542B4F">
        <w:t>,</w:t>
      </w:r>
      <w:r w:rsidRPr="00542B4F">
        <w:t xml:space="preserve"> </w:t>
      </w:r>
      <w:r w:rsidR="00BC422F" w:rsidRPr="00542B4F">
        <w:t xml:space="preserve">which permitted </w:t>
      </w:r>
      <w:r w:rsidRPr="00542B4F">
        <w:t>police officers to use force in such cases</w:t>
      </w:r>
      <w:r w:rsidR="00BC422F" w:rsidRPr="00542B4F">
        <w:t>,</w:t>
      </w:r>
      <w:r w:rsidR="0057799D" w:rsidRPr="00542B4F">
        <w:t xml:space="preserve"> and that a warning about the intention to use physical force had been inappropriate</w:t>
      </w:r>
      <w:r w:rsidRPr="00542B4F">
        <w:t xml:space="preserve">. The </w:t>
      </w:r>
      <w:r w:rsidR="00A039BF" w:rsidRPr="00542B4F">
        <w:t xml:space="preserve">court found that the deputy </w:t>
      </w:r>
      <w:r w:rsidRPr="00542B4F">
        <w:t>prosecutor had reasonably assessed the circumstances and examined the applicant</w:t>
      </w:r>
      <w:r w:rsidR="00542B4F" w:rsidRPr="00542B4F">
        <w:t>’</w:t>
      </w:r>
      <w:r w:rsidRPr="00542B4F">
        <w:t xml:space="preserve">s allegations in a sufficiently detailed manner. Furthermore, the court noted that the </w:t>
      </w:r>
      <w:r w:rsidR="0057799D" w:rsidRPr="00542B4F">
        <w:t>preliminary investigation into the applicant</w:t>
      </w:r>
      <w:r w:rsidR="00542B4F" w:rsidRPr="00542B4F">
        <w:t>’</w:t>
      </w:r>
      <w:r w:rsidR="0057799D" w:rsidRPr="00542B4F">
        <w:t xml:space="preserve">s criminal case had been completed. It found that the </w:t>
      </w:r>
      <w:r w:rsidR="00C0578F" w:rsidRPr="00542B4F">
        <w:t xml:space="preserve">applicant had, in fact, attempted to challenge the unlawful investigative methods, and it was </w:t>
      </w:r>
      <w:r w:rsidR="00E56192" w:rsidRPr="00542B4F">
        <w:t xml:space="preserve">for the first-instance court dealing with his criminal case </w:t>
      </w:r>
      <w:r w:rsidR="00C0578F" w:rsidRPr="00542B4F">
        <w:t xml:space="preserve">to assess </w:t>
      </w:r>
      <w:r w:rsidR="00BC422F" w:rsidRPr="00542B4F">
        <w:t xml:space="preserve">the </w:t>
      </w:r>
      <w:r w:rsidR="00E56192" w:rsidRPr="00542B4F">
        <w:t xml:space="preserve">admissibility of </w:t>
      </w:r>
      <w:r w:rsidR="00C0578F" w:rsidRPr="00542B4F">
        <w:t>evidence.</w:t>
      </w:r>
    </w:p>
    <w:bookmarkStart w:id="22" w:name="Appeal26042006"/>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34</w:t>
      </w:r>
      <w:r w:rsidRPr="00542B4F">
        <w:fldChar w:fldCharType="end"/>
      </w:r>
      <w:bookmarkEnd w:id="22"/>
      <w:r w:rsidRPr="00542B4F">
        <w:t xml:space="preserve">.  On 26 April 2006 the applicant appealed against the decision. He submitted, in particular, that </w:t>
      </w:r>
      <w:r w:rsidR="00E04A2B" w:rsidRPr="00542B4F">
        <w:t>n</w:t>
      </w:r>
      <w:r w:rsidRPr="00542B4F">
        <w:t xml:space="preserve">either the prosecutor </w:t>
      </w:r>
      <w:r w:rsidR="00E04A2B" w:rsidRPr="00542B4F">
        <w:t>n</w:t>
      </w:r>
      <w:r w:rsidRPr="00542B4F">
        <w:t>or the first</w:t>
      </w:r>
      <w:r w:rsidR="00E04A2B" w:rsidRPr="00542B4F">
        <w:t>-</w:t>
      </w:r>
      <w:r w:rsidRPr="00542B4F">
        <w:t xml:space="preserve">instance court </w:t>
      </w:r>
      <w:r w:rsidR="00E04A2B" w:rsidRPr="00542B4F">
        <w:t xml:space="preserve">had established </w:t>
      </w:r>
      <w:r w:rsidRPr="00542B4F">
        <w:t>in which way he had resisted the police; the authorities had not specified the nature of the orders he had allegedly resisted; the respective decisions contain</w:t>
      </w:r>
      <w:r w:rsidR="00E04A2B" w:rsidRPr="00542B4F">
        <w:t>ed</w:t>
      </w:r>
      <w:r w:rsidRPr="00542B4F">
        <w:t xml:space="preserve"> </w:t>
      </w:r>
      <w:r w:rsidR="00E04A2B" w:rsidRPr="00542B4F">
        <w:t xml:space="preserve">no </w:t>
      </w:r>
      <w:r w:rsidRPr="00542B4F">
        <w:t xml:space="preserve">details </w:t>
      </w:r>
      <w:r w:rsidR="00E04A2B" w:rsidRPr="00542B4F">
        <w:t xml:space="preserve">about </w:t>
      </w:r>
      <w:r w:rsidRPr="00542B4F">
        <w:t xml:space="preserve">his allegedly violent behaviour; the police officers had not provided medical </w:t>
      </w:r>
      <w:r w:rsidR="00C0578F" w:rsidRPr="00542B4F">
        <w:t>assistance</w:t>
      </w:r>
      <w:r w:rsidRPr="00542B4F">
        <w:t xml:space="preserve"> to him; </w:t>
      </w:r>
      <w:r w:rsidR="00BC422F" w:rsidRPr="00542B4F">
        <w:t xml:space="preserve">and </w:t>
      </w:r>
      <w:r w:rsidRPr="00542B4F">
        <w:t>the arrest record contain</w:t>
      </w:r>
      <w:r w:rsidR="00E04A2B" w:rsidRPr="00542B4F">
        <w:t>ed</w:t>
      </w:r>
      <w:r w:rsidRPr="00542B4F">
        <w:t xml:space="preserve"> </w:t>
      </w:r>
      <w:r w:rsidR="00E04A2B" w:rsidRPr="00542B4F">
        <w:t xml:space="preserve">no </w:t>
      </w:r>
      <w:r w:rsidRPr="00542B4F">
        <w:t xml:space="preserve">information </w:t>
      </w:r>
      <w:r w:rsidR="00E04A2B" w:rsidRPr="00542B4F">
        <w:t xml:space="preserve">about </w:t>
      </w:r>
      <w:r w:rsidRPr="00542B4F">
        <w:t>the use of force, contrary to the domestic law requirements. He further argued that the prosecutor</w:t>
      </w:r>
      <w:r w:rsidR="00542B4F" w:rsidRPr="00542B4F">
        <w:t>’</w:t>
      </w:r>
      <w:r w:rsidRPr="00542B4F">
        <w:t>s and the court</w:t>
      </w:r>
      <w:r w:rsidR="00542B4F" w:rsidRPr="00542B4F">
        <w:t>’</w:t>
      </w:r>
      <w:r w:rsidRPr="00542B4F">
        <w:t>s findings had been based solely on the police officers</w:t>
      </w:r>
      <w:r w:rsidR="00542B4F" w:rsidRPr="00542B4F">
        <w:t>’</w:t>
      </w:r>
      <w:r w:rsidRPr="00542B4F">
        <w:t xml:space="preserve"> testimonies and that</w:t>
      </w:r>
      <w:r w:rsidR="00C0578F" w:rsidRPr="00542B4F">
        <w:t xml:space="preserve"> no assessment of his injuries had been made</w:t>
      </w:r>
      <w:r w:rsidRPr="00542B4F">
        <w:t>.</w:t>
      </w:r>
      <w:r w:rsidR="00C0578F" w:rsidRPr="00542B4F">
        <w:t xml:space="preserve"> He maintained that the authorities </w:t>
      </w:r>
      <w:r w:rsidR="0053462A" w:rsidRPr="00542B4F">
        <w:t xml:space="preserve">had </w:t>
      </w:r>
      <w:r w:rsidR="00C0578F" w:rsidRPr="00542B4F">
        <w:t xml:space="preserve">omitted to question </w:t>
      </w:r>
      <w:r w:rsidR="00EC591E" w:rsidRPr="00542B4F">
        <w:t>several witnesses</w:t>
      </w:r>
      <w:r w:rsidR="00CD4308" w:rsidRPr="00542B4F">
        <w:t xml:space="preserve">, including eyewitnesses </w:t>
      </w:r>
      <w:r w:rsidR="0053462A" w:rsidRPr="00542B4F">
        <w:t xml:space="preserve">to </w:t>
      </w:r>
      <w:r w:rsidR="00CD4308" w:rsidRPr="00542B4F">
        <w:t>the arrest and the search</w:t>
      </w:r>
      <w:r w:rsidR="00EC591E" w:rsidRPr="00542B4F">
        <w:t>.</w:t>
      </w:r>
    </w:p>
    <w:bookmarkStart w:id="23" w:name="SCMariEl29052006"/>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35</w:t>
      </w:r>
      <w:r w:rsidRPr="00542B4F">
        <w:fldChar w:fldCharType="end"/>
      </w:r>
      <w:bookmarkEnd w:id="23"/>
      <w:r w:rsidRPr="00542B4F">
        <w:t xml:space="preserve">.  On 29 May 2006 the Supreme Court of the Mari El Republic upheld the decision on appeal. The court found that </w:t>
      </w:r>
      <w:r w:rsidR="00C0578F" w:rsidRPr="00542B4F">
        <w:t xml:space="preserve">all </w:t>
      </w:r>
      <w:r w:rsidR="0053462A" w:rsidRPr="00542B4F">
        <w:t xml:space="preserve">those who had participated in </w:t>
      </w:r>
      <w:r w:rsidR="00C0578F" w:rsidRPr="00542B4F">
        <w:t>the applicant</w:t>
      </w:r>
      <w:r w:rsidR="00542B4F" w:rsidRPr="00542B4F">
        <w:t>’</w:t>
      </w:r>
      <w:r w:rsidR="00C0578F" w:rsidRPr="00542B4F">
        <w:t xml:space="preserve">s arrest had been questioned, and their submissions had received a due assessment by the lower court. It </w:t>
      </w:r>
      <w:r w:rsidR="00E04A2B" w:rsidRPr="00542B4F">
        <w:t xml:space="preserve">transpired </w:t>
      </w:r>
      <w:r w:rsidR="00C0578F" w:rsidRPr="00542B4F">
        <w:t xml:space="preserve">from the inquiry that </w:t>
      </w:r>
      <w:r w:rsidRPr="00542B4F">
        <w:t xml:space="preserve">the applicant had attempted to hit </w:t>
      </w:r>
      <w:r w:rsidR="00C0578F" w:rsidRPr="00542B4F">
        <w:t xml:space="preserve">and push </w:t>
      </w:r>
      <w:r w:rsidR="00E04A2B" w:rsidRPr="00542B4F">
        <w:t xml:space="preserve">the </w:t>
      </w:r>
      <w:r w:rsidR="00C0578F" w:rsidRPr="00542B4F">
        <w:t>police officers</w:t>
      </w:r>
      <w:r w:rsidRPr="00542B4F">
        <w:t xml:space="preserve"> and </w:t>
      </w:r>
      <w:r w:rsidR="00EE6441" w:rsidRPr="00542B4F">
        <w:t xml:space="preserve">to </w:t>
      </w:r>
      <w:r w:rsidRPr="00542B4F">
        <w:t>escape. The lower court</w:t>
      </w:r>
      <w:r w:rsidR="00542B4F" w:rsidRPr="00542B4F">
        <w:t>’</w:t>
      </w:r>
      <w:r w:rsidRPr="00542B4F">
        <w:t>s findings had been sufficiently detailed and had been made in accordance with the domestic law.</w:t>
      </w:r>
    </w:p>
    <w:p w:rsidR="00FA3C3B" w:rsidRPr="00542B4F" w:rsidRDefault="00EC591E" w:rsidP="00542B4F">
      <w:pPr>
        <w:pStyle w:val="ECHRHeading3"/>
      </w:pPr>
      <w:r w:rsidRPr="00542B4F">
        <w:t>3</w:t>
      </w:r>
      <w:r w:rsidR="00FA3C3B" w:rsidRPr="00542B4F">
        <w:t>.  Further information submitted by the Government</w:t>
      </w:r>
    </w:p>
    <w:bookmarkStart w:id="24" w:name="IVSofficer_Statement2012"/>
    <w:p w:rsidR="00FA3C3B" w:rsidRPr="00542B4F" w:rsidRDefault="00FA3C3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36</w:t>
      </w:r>
      <w:r w:rsidRPr="00542B4F">
        <w:fldChar w:fldCharType="end"/>
      </w:r>
      <w:bookmarkEnd w:id="24"/>
      <w:r w:rsidRPr="00542B4F">
        <w:t>.  On 10</w:t>
      </w:r>
      <w:r w:rsidR="00C01F45" w:rsidRPr="00542B4F">
        <w:t> </w:t>
      </w:r>
      <w:r w:rsidRPr="00542B4F">
        <w:t>December 2012 Mr Sh., one of the IVS officers</w:t>
      </w:r>
      <w:r w:rsidR="00C0578F" w:rsidRPr="00542B4F">
        <w:t xml:space="preserve"> on duty on 12</w:t>
      </w:r>
      <w:r w:rsidR="00C01F45" w:rsidRPr="00542B4F">
        <w:t> </w:t>
      </w:r>
      <w:r w:rsidR="00C0578F" w:rsidRPr="00542B4F">
        <w:t>March 20</w:t>
      </w:r>
      <w:r w:rsidR="00044C9B" w:rsidRPr="00542B4F">
        <w:t>06</w:t>
      </w:r>
      <w:r w:rsidRPr="00542B4F">
        <w:t xml:space="preserve">, </w:t>
      </w:r>
      <w:r w:rsidR="00EE6441" w:rsidRPr="00542B4F">
        <w:t xml:space="preserve">gave </w:t>
      </w:r>
      <w:r w:rsidRPr="00542B4F">
        <w:t xml:space="preserve">written explanations </w:t>
      </w:r>
      <w:r w:rsidR="00C0578F" w:rsidRPr="00542B4F">
        <w:t xml:space="preserve">to a local police officer </w:t>
      </w:r>
      <w:r w:rsidRPr="00542B4F">
        <w:t xml:space="preserve">within unspecified proceedings. He confirmed that on 12 March 2006 the applicant had been brought to the IVS and examined in the presence of a Drug Control Service officer and an IVS officer on duty, Mr B. </w:t>
      </w:r>
      <w:r w:rsidR="0053462A" w:rsidRPr="00542B4F">
        <w:t>The i</w:t>
      </w:r>
      <w:r w:rsidRPr="00542B4F">
        <w:t>njuries listed in paragraph </w:t>
      </w:r>
      <w:r w:rsidR="00AC6B95" w:rsidRPr="00542B4F">
        <w:fldChar w:fldCharType="begin"/>
      </w:r>
      <w:r w:rsidR="00AC6B95" w:rsidRPr="00542B4F">
        <w:instrText xml:space="preserve"> REF InjuriesRecordIVS12032006 \h </w:instrText>
      </w:r>
      <w:r w:rsidR="00AC6B95" w:rsidRPr="00542B4F">
        <w:fldChar w:fldCharType="separate"/>
      </w:r>
      <w:r w:rsidR="00542B4F" w:rsidRPr="00542B4F">
        <w:rPr>
          <w:noProof/>
        </w:rPr>
        <w:t>14</w:t>
      </w:r>
      <w:r w:rsidR="00AC6B95" w:rsidRPr="00542B4F">
        <w:fldChar w:fldCharType="end"/>
      </w:r>
      <w:r w:rsidRPr="00542B4F">
        <w:t xml:space="preserve"> above had been detected on the applicant on arrival. The applicant had specified that </w:t>
      </w:r>
      <w:r w:rsidR="00013EBB" w:rsidRPr="00542B4F">
        <w:t>those injuries</w:t>
      </w:r>
      <w:r w:rsidRPr="00542B4F">
        <w:t xml:space="preserve"> had been inflicted by the </w:t>
      </w:r>
      <w:r w:rsidR="006F2784" w:rsidRPr="00542B4F">
        <w:t>d</w:t>
      </w:r>
      <w:r w:rsidRPr="00542B4F">
        <w:t xml:space="preserve">rug </w:t>
      </w:r>
      <w:r w:rsidR="006F2784" w:rsidRPr="00542B4F">
        <w:t>c</w:t>
      </w:r>
      <w:r w:rsidRPr="00542B4F">
        <w:t>ontrol officers.</w:t>
      </w:r>
    </w:p>
    <w:p w:rsidR="002773E9" w:rsidRPr="00542B4F" w:rsidRDefault="002773E9" w:rsidP="00542B4F">
      <w:pPr>
        <w:pStyle w:val="ECHRHeading2"/>
      </w:pPr>
      <w:r w:rsidRPr="00542B4F">
        <w:lastRenderedPageBreak/>
        <w:t>D.  Criminal proceedings against the applicant</w:t>
      </w:r>
    </w:p>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37</w:t>
      </w:r>
      <w:r w:rsidRPr="00542B4F">
        <w:fldChar w:fldCharType="end"/>
      </w:r>
      <w:r w:rsidRPr="00542B4F">
        <w:t>.  </w:t>
      </w:r>
      <w:r w:rsidR="00BB2484" w:rsidRPr="00542B4F">
        <w:t xml:space="preserve">On 31 May 2006 the Yoshkar-Ola Town Court convicted the applicant of drug </w:t>
      </w:r>
      <w:r w:rsidR="00EE6441" w:rsidRPr="00542B4F">
        <w:t xml:space="preserve">dealing </w:t>
      </w:r>
      <w:r w:rsidR="00597F31" w:rsidRPr="00542B4F">
        <w:t>and sentenced him to five years</w:t>
      </w:r>
      <w:r w:rsidR="00542B4F" w:rsidRPr="00542B4F">
        <w:t>’</w:t>
      </w:r>
      <w:r w:rsidR="00597F31" w:rsidRPr="00542B4F">
        <w:t xml:space="preserve"> imprisonment</w:t>
      </w:r>
      <w:r w:rsidR="00BB2484" w:rsidRPr="00542B4F">
        <w:t xml:space="preserve">. </w:t>
      </w:r>
      <w:r w:rsidR="00837898" w:rsidRPr="00542B4F">
        <w:t>The court noted, inter alia, that there was no reason not to trust the police officers</w:t>
      </w:r>
      <w:r w:rsidR="00542B4F" w:rsidRPr="00542B4F">
        <w:t>’</w:t>
      </w:r>
      <w:r w:rsidR="00837898" w:rsidRPr="00542B4F">
        <w:t xml:space="preserve"> statements.</w:t>
      </w:r>
    </w:p>
    <w:p w:rsidR="002773E9" w:rsidRPr="00542B4F" w:rsidRDefault="002773E9"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38</w:t>
      </w:r>
      <w:r w:rsidRPr="00542B4F">
        <w:fldChar w:fldCharType="end"/>
      </w:r>
      <w:r w:rsidRPr="00542B4F">
        <w:t>.  </w:t>
      </w:r>
      <w:r w:rsidR="00597F31" w:rsidRPr="00542B4F">
        <w:t>The applicant appealed, arguing, in p</w:t>
      </w:r>
      <w:r w:rsidR="005679FB" w:rsidRPr="00542B4F">
        <w:t>articular, that he had been ill</w:t>
      </w:r>
      <w:r w:rsidR="005679FB" w:rsidRPr="00542B4F">
        <w:noBreakHyphen/>
      </w:r>
      <w:r w:rsidR="00597F31" w:rsidRPr="00542B4F">
        <w:t xml:space="preserve">treated by </w:t>
      </w:r>
      <w:r w:rsidR="00EE6441" w:rsidRPr="00542B4F">
        <w:t>d</w:t>
      </w:r>
      <w:r w:rsidR="00597F31" w:rsidRPr="00542B4F">
        <w:t xml:space="preserve">rug </w:t>
      </w:r>
      <w:r w:rsidR="00EE6441" w:rsidRPr="00542B4F">
        <w:t>c</w:t>
      </w:r>
      <w:r w:rsidR="00597F31" w:rsidRPr="00542B4F">
        <w:t xml:space="preserve">ontrol </w:t>
      </w:r>
      <w:r w:rsidR="0053462A" w:rsidRPr="00542B4F">
        <w:t>o</w:t>
      </w:r>
      <w:r w:rsidR="00597F31" w:rsidRPr="00542B4F">
        <w:t xml:space="preserve">fficers. On 17 July 2006 the Supreme Court of the Mari El Republic upheld the judgment on appeal, having </w:t>
      </w:r>
      <w:r w:rsidR="00C34C1A" w:rsidRPr="00542B4F">
        <w:t xml:space="preserve">summarily </w:t>
      </w:r>
      <w:r w:rsidR="0053462A" w:rsidRPr="00542B4F">
        <w:t xml:space="preserve">dismissed </w:t>
      </w:r>
      <w:r w:rsidR="00597F31" w:rsidRPr="00542B4F">
        <w:t>the applicant</w:t>
      </w:r>
      <w:r w:rsidR="00542B4F" w:rsidRPr="00542B4F">
        <w:t>’</w:t>
      </w:r>
      <w:r w:rsidR="00597F31" w:rsidRPr="00542B4F">
        <w:t>s arguments as ill-founded.</w:t>
      </w:r>
    </w:p>
    <w:p w:rsidR="00014566" w:rsidRPr="00542B4F" w:rsidRDefault="00014566" w:rsidP="00542B4F">
      <w:pPr>
        <w:pStyle w:val="ECHRHeading1"/>
      </w:pPr>
      <w:r w:rsidRPr="00542B4F">
        <w:t>II.  RELEVANT DOMESTIC LAW AND PRACTICE</w:t>
      </w:r>
    </w:p>
    <w:p w:rsidR="008345C2" w:rsidRPr="00542B4F" w:rsidRDefault="008345C2" w:rsidP="00542B4F">
      <w:pPr>
        <w:pStyle w:val="ECHRHeading2"/>
      </w:pPr>
      <w:r w:rsidRPr="00542B4F">
        <w:t>A.  The Police Act</w:t>
      </w:r>
    </w:p>
    <w:p w:rsidR="001322A7" w:rsidRPr="00542B4F" w:rsidRDefault="00EA1DE9" w:rsidP="00542B4F">
      <w:pPr>
        <w:pStyle w:val="ECHRPara"/>
      </w:pPr>
      <w:r w:rsidRPr="00542B4F">
        <w:rPr>
          <w:lang w:val="ru-RU"/>
        </w:rPr>
        <w:fldChar w:fldCharType="begin"/>
      </w:r>
      <w:r w:rsidRPr="00542B4F">
        <w:instrText xml:space="preserve"> SEQ level0 \*arabic </w:instrText>
      </w:r>
      <w:r w:rsidRPr="00542B4F">
        <w:rPr>
          <w:lang w:val="ru-RU"/>
        </w:rPr>
        <w:fldChar w:fldCharType="separate"/>
      </w:r>
      <w:r w:rsidR="00542B4F" w:rsidRPr="00542B4F">
        <w:rPr>
          <w:noProof/>
        </w:rPr>
        <w:t>39</w:t>
      </w:r>
      <w:r w:rsidRPr="00542B4F">
        <w:rPr>
          <w:lang w:val="ru-RU"/>
        </w:rPr>
        <w:fldChar w:fldCharType="end"/>
      </w:r>
      <w:r w:rsidRPr="00542B4F">
        <w:t>.  </w:t>
      </w:r>
      <w:r w:rsidR="00D056BA" w:rsidRPr="00542B4F">
        <w:t>The Police Act (no.</w:t>
      </w:r>
      <w:r w:rsidR="00C87B44" w:rsidRPr="00542B4F">
        <w:t> </w:t>
      </w:r>
      <w:r w:rsidR="00D056BA" w:rsidRPr="00542B4F">
        <w:t>1026-I of 18 April 1991</w:t>
      </w:r>
      <w:r w:rsidR="00EE6441" w:rsidRPr="00542B4F">
        <w:t>,</w:t>
      </w:r>
      <w:r w:rsidR="00D056BA" w:rsidRPr="00542B4F">
        <w:t xml:space="preserve"> </w:t>
      </w:r>
      <w:r w:rsidR="00EE6441" w:rsidRPr="00542B4F">
        <w:t>as amended</w:t>
      </w:r>
      <w:r w:rsidR="00D056BA" w:rsidRPr="00542B4F">
        <w:t>, in force at the material time) provided that the duties of the police</w:t>
      </w:r>
      <w:r w:rsidR="00EE6441" w:rsidRPr="00542B4F">
        <w:t xml:space="preserve"> included</w:t>
      </w:r>
      <w:r w:rsidR="00D056BA" w:rsidRPr="00542B4F">
        <w:t xml:space="preserve"> the prevention and suppression of criminal and administrative offences and the protection of public order and public safety </w:t>
      </w:r>
      <w:r w:rsidR="001322A7" w:rsidRPr="00542B4F">
        <w:t>(section 2).</w:t>
      </w:r>
    </w:p>
    <w:p w:rsidR="00D056BA"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40</w:t>
      </w:r>
      <w:r w:rsidRPr="00542B4F">
        <w:rPr>
          <w:noProof/>
        </w:rPr>
        <w:fldChar w:fldCharType="end"/>
      </w:r>
      <w:r w:rsidR="001322A7" w:rsidRPr="00542B4F">
        <w:t>.  </w:t>
      </w:r>
      <w:r w:rsidR="00D056BA" w:rsidRPr="00542B4F">
        <w:t>Section 11</w:t>
      </w:r>
      <w:r w:rsidR="00DD6290" w:rsidRPr="00542B4F">
        <w:t>(</w:t>
      </w:r>
      <w:r w:rsidR="00D056BA" w:rsidRPr="00542B4F">
        <w:t>7</w:t>
      </w:r>
      <w:r w:rsidR="00DD6290" w:rsidRPr="00542B4F">
        <w:t>)</w:t>
      </w:r>
      <w:r w:rsidR="00D056BA" w:rsidRPr="00542B4F">
        <w:t xml:space="preserve"> of the Police Act provided that </w:t>
      </w:r>
      <w:r w:rsidR="00EE6441" w:rsidRPr="00542B4F">
        <w:t xml:space="preserve">in </w:t>
      </w:r>
      <w:r w:rsidR="00D056BA" w:rsidRPr="00542B4F">
        <w:t>discharging their duties</w:t>
      </w:r>
      <w:r w:rsidR="00DD6290" w:rsidRPr="00542B4F">
        <w:t>,</w:t>
      </w:r>
      <w:r w:rsidR="00D056BA" w:rsidRPr="00542B4F">
        <w:t xml:space="preserve"> the police </w:t>
      </w:r>
      <w:r w:rsidR="00DD6290" w:rsidRPr="00542B4F">
        <w:t>had the power</w:t>
      </w:r>
      <w:r w:rsidR="00D056BA" w:rsidRPr="00542B4F">
        <w:t xml:space="preserve"> to arrest persons suspected of a criminal offence.</w:t>
      </w:r>
    </w:p>
    <w:bookmarkStart w:id="25" w:name="PoliceActSection12"/>
    <w:p w:rsidR="00D056BA" w:rsidRPr="00542B4F" w:rsidRDefault="008A1BB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41</w:t>
      </w:r>
      <w:r w:rsidRPr="00542B4F">
        <w:rPr>
          <w:noProof/>
        </w:rPr>
        <w:fldChar w:fldCharType="end"/>
      </w:r>
      <w:bookmarkEnd w:id="25"/>
      <w:r w:rsidR="00D056BA" w:rsidRPr="00542B4F">
        <w:t xml:space="preserve">.  The police </w:t>
      </w:r>
      <w:r w:rsidR="00DD6290" w:rsidRPr="00542B4F">
        <w:t xml:space="preserve">were </w:t>
      </w:r>
      <w:r w:rsidR="00D056BA" w:rsidRPr="00542B4F">
        <w:t xml:space="preserve">entitled to use physical force, special equipment or a weapon only in the circumstances specified in the Police Act and in accordance with the rules prescribed by that Act. Police officers had to undergo specific training and be periodically tested for their fitness to act in conditions requiring use of physical force, special equipment or a weapon (section 12(1) and (2)) </w:t>
      </w:r>
      <w:r w:rsidR="00673751" w:rsidRPr="00542B4F">
        <w:t>When</w:t>
      </w:r>
      <w:r w:rsidR="00D056BA" w:rsidRPr="00542B4F">
        <w:t xml:space="preserve"> using physical force, special equipment or a weapon</w:t>
      </w:r>
      <w:r w:rsidR="00DD6290" w:rsidRPr="00542B4F">
        <w:t>,</w:t>
      </w:r>
      <w:r w:rsidR="00D056BA" w:rsidRPr="00542B4F">
        <w:t xml:space="preserve"> the police officer had to:</w:t>
      </w:r>
    </w:p>
    <w:p w:rsidR="00D056BA" w:rsidRPr="00542B4F" w:rsidRDefault="00D056BA" w:rsidP="00542B4F">
      <w:pPr>
        <w:pStyle w:val="ECHRPara"/>
      </w:pPr>
      <w:r w:rsidRPr="00542B4F">
        <w:t xml:space="preserve">-  warn </w:t>
      </w:r>
      <w:r w:rsidR="00DD6290" w:rsidRPr="00542B4F">
        <w:t xml:space="preserve">the person concerned </w:t>
      </w:r>
      <w:r w:rsidRPr="00542B4F">
        <w:t xml:space="preserve">of his intention to use physical force, special equipment or a weapon and give </w:t>
      </w:r>
      <w:r w:rsidR="00DD6290" w:rsidRPr="00542B4F">
        <w:t xml:space="preserve">him or her </w:t>
      </w:r>
      <w:r w:rsidRPr="00542B4F">
        <w:t xml:space="preserve">sufficient time to comply with his order, except in cases where </w:t>
      </w:r>
      <w:r w:rsidR="00DD6290" w:rsidRPr="00542B4F">
        <w:t xml:space="preserve">a </w:t>
      </w:r>
      <w:r w:rsidRPr="00542B4F">
        <w:t xml:space="preserve">delay in using physical force, special equipment or a weapon </w:t>
      </w:r>
      <w:r w:rsidR="00DD6290" w:rsidRPr="00542B4F">
        <w:t xml:space="preserve">might create </w:t>
      </w:r>
      <w:r w:rsidRPr="00542B4F">
        <w:t>an immediate danger for the life and health of citizens and police officers</w:t>
      </w:r>
      <w:r w:rsidR="00EE6441" w:rsidRPr="00542B4F">
        <w:t xml:space="preserve"> or have </w:t>
      </w:r>
      <w:r w:rsidRPr="00542B4F">
        <w:t>other serious consequences</w:t>
      </w:r>
      <w:r w:rsidR="00EE6441" w:rsidRPr="00542B4F">
        <w:t>,</w:t>
      </w:r>
      <w:r w:rsidRPr="00542B4F">
        <w:t xml:space="preserve"> or where </w:t>
      </w:r>
      <w:r w:rsidR="00DD6290" w:rsidRPr="00542B4F">
        <w:t xml:space="preserve">a </w:t>
      </w:r>
      <w:r w:rsidRPr="00542B4F">
        <w:t xml:space="preserve">warning was impracticable </w:t>
      </w:r>
      <w:r w:rsidRPr="00542B4F">
        <w:rPr>
          <w:i/>
        </w:rPr>
        <w:t>(</w:t>
      </w:r>
      <w:r w:rsidR="00673751" w:rsidRPr="00542B4F">
        <w:rPr>
          <w:i/>
          <w:lang w:val="ru-RU"/>
        </w:rPr>
        <w:t>является</w:t>
      </w:r>
      <w:r w:rsidR="00673751" w:rsidRPr="00542B4F">
        <w:rPr>
          <w:i/>
        </w:rPr>
        <w:t xml:space="preserve"> </w:t>
      </w:r>
      <w:r w:rsidRPr="00542B4F">
        <w:rPr>
          <w:i/>
          <w:lang w:val="ru-RU"/>
        </w:rPr>
        <w:t>неуместным</w:t>
      </w:r>
      <w:r w:rsidRPr="00542B4F">
        <w:t>) or impossible in the circumstances;</w:t>
      </w:r>
    </w:p>
    <w:p w:rsidR="00D056BA" w:rsidRPr="00542B4F" w:rsidRDefault="00D056BA" w:rsidP="00542B4F">
      <w:pPr>
        <w:pStyle w:val="ECHRPara"/>
      </w:pPr>
      <w:r w:rsidRPr="00542B4F">
        <w:t xml:space="preserve">-  endeavour to minimise the damage caused by the use of physical force, special equipment or a weapon, to the extent possible depending on the nature and seriousness of the offence, </w:t>
      </w:r>
      <w:r w:rsidR="006A1F3B" w:rsidRPr="00542B4F">
        <w:t xml:space="preserve">the </w:t>
      </w:r>
      <w:r w:rsidRPr="00542B4F">
        <w:t xml:space="preserve">dangerousness of the person who </w:t>
      </w:r>
      <w:r w:rsidR="006A1F3B" w:rsidRPr="00542B4F">
        <w:t xml:space="preserve">had </w:t>
      </w:r>
      <w:r w:rsidRPr="00542B4F">
        <w:t xml:space="preserve">committed it and </w:t>
      </w:r>
      <w:r w:rsidR="006A1F3B" w:rsidRPr="00542B4F">
        <w:t xml:space="preserve">the </w:t>
      </w:r>
      <w:r w:rsidRPr="00542B4F">
        <w:t>degree of resistance offered;</w:t>
      </w:r>
    </w:p>
    <w:p w:rsidR="00D056BA" w:rsidRPr="00542B4F" w:rsidRDefault="00D056BA" w:rsidP="00542B4F">
      <w:pPr>
        <w:pStyle w:val="ECHRPara"/>
      </w:pPr>
      <w:r w:rsidRPr="00542B4F">
        <w:t xml:space="preserve">-  ensure that anyone who was injured as a result of </w:t>
      </w:r>
      <w:r w:rsidR="006A1F3B" w:rsidRPr="00542B4F">
        <w:t xml:space="preserve">the </w:t>
      </w:r>
      <w:r w:rsidRPr="00542B4F">
        <w:t>use of physical force, special equipment or a weapon received first aid and that their relatives were informed without delay;</w:t>
      </w:r>
    </w:p>
    <w:p w:rsidR="00D056BA" w:rsidRPr="00542B4F" w:rsidRDefault="00D056BA" w:rsidP="00542B4F">
      <w:pPr>
        <w:pStyle w:val="ECHRPara"/>
      </w:pPr>
      <w:r w:rsidRPr="00542B4F">
        <w:lastRenderedPageBreak/>
        <w:t>-  inform a prosecutor of any use of physical force, special equipment or a weapon involving injuries or death (section 12(3)).</w:t>
      </w:r>
    </w:p>
    <w:p w:rsidR="00D056BA"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42</w:t>
      </w:r>
      <w:r w:rsidRPr="00542B4F">
        <w:rPr>
          <w:noProof/>
        </w:rPr>
        <w:fldChar w:fldCharType="end"/>
      </w:r>
      <w:r w:rsidR="00D056BA" w:rsidRPr="00542B4F">
        <w:t>.  Abuse of the power to use physical force, special equipment or a weapon was punishable by law (section 12(4)).</w:t>
      </w:r>
    </w:p>
    <w:p w:rsidR="00D056BA"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43</w:t>
      </w:r>
      <w:r w:rsidRPr="00542B4F">
        <w:rPr>
          <w:noProof/>
        </w:rPr>
        <w:fldChar w:fldCharType="end"/>
      </w:r>
      <w:r w:rsidR="00D056BA" w:rsidRPr="00542B4F">
        <w:t>.  Police officers w</w:t>
      </w:r>
      <w:r w:rsidR="00AA105D" w:rsidRPr="00542B4F">
        <w:t>ere</w:t>
      </w:r>
      <w:r w:rsidR="00D056BA" w:rsidRPr="00542B4F">
        <w:t xml:space="preserve"> entitled to use physical force, including martial arts, to stop a criminal or administrative offence being committed, arrest persons who </w:t>
      </w:r>
      <w:r w:rsidR="00AA105D" w:rsidRPr="00542B4F">
        <w:t xml:space="preserve">had </w:t>
      </w:r>
      <w:r w:rsidR="00D056BA" w:rsidRPr="00542B4F">
        <w:t xml:space="preserve">committed a criminal or administrative offence or </w:t>
      </w:r>
      <w:r w:rsidR="00AA105D" w:rsidRPr="00542B4F">
        <w:t xml:space="preserve">to </w:t>
      </w:r>
      <w:r w:rsidR="00D056BA" w:rsidRPr="00542B4F">
        <w:t>overcome resistance to a lawful order, if non-violent methods were insufficient to ensure</w:t>
      </w:r>
      <w:r w:rsidR="006A1F3B" w:rsidRPr="00542B4F">
        <w:t xml:space="preserve"> the</w:t>
      </w:r>
      <w:r w:rsidR="00D056BA" w:rsidRPr="00542B4F">
        <w:t xml:space="preserve"> discharge of police duties (section 13).</w:t>
      </w:r>
    </w:p>
    <w:bookmarkStart w:id="26" w:name="PoliceActSection14"/>
    <w:p w:rsidR="00D056BA" w:rsidRPr="00542B4F" w:rsidRDefault="008A1BB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44</w:t>
      </w:r>
      <w:r w:rsidRPr="00542B4F">
        <w:rPr>
          <w:noProof/>
        </w:rPr>
        <w:fldChar w:fldCharType="end"/>
      </w:r>
      <w:bookmarkEnd w:id="26"/>
      <w:r w:rsidR="00D056BA" w:rsidRPr="00542B4F">
        <w:t>.  Section 14 of the Police Act</w:t>
      </w:r>
      <w:r w:rsidR="006A1F3B" w:rsidRPr="00542B4F">
        <w:t>,</w:t>
      </w:r>
      <w:r w:rsidR="00D056BA" w:rsidRPr="00542B4F">
        <w:t xml:space="preserve"> as in force at the material time</w:t>
      </w:r>
      <w:r w:rsidR="006A1F3B" w:rsidRPr="00542B4F">
        <w:t>,</w:t>
      </w:r>
      <w:r w:rsidR="00D056BA" w:rsidRPr="00542B4F">
        <w:t xml:space="preserve"> set out an exhaustive list of circumstances in which special means, including rubber truncheons</w:t>
      </w:r>
      <w:r w:rsidR="006A1F3B" w:rsidRPr="00542B4F">
        <w:t>,</w:t>
      </w:r>
      <w:r w:rsidR="00D056BA" w:rsidRPr="00542B4F">
        <w:t xml:space="preserve"> handcuffs and firearms</w:t>
      </w:r>
      <w:r w:rsidR="006A1F3B" w:rsidRPr="00542B4F">
        <w:t>,</w:t>
      </w:r>
      <w:r w:rsidR="00D056BA" w:rsidRPr="00542B4F">
        <w:t xml:space="preserve"> could be used. Handcuffs </w:t>
      </w:r>
      <w:r w:rsidR="00D056BA" w:rsidRPr="00542B4F">
        <w:rPr>
          <w:lang w:val="ru-RU"/>
        </w:rPr>
        <w:t>с</w:t>
      </w:r>
      <w:r w:rsidR="00D056BA" w:rsidRPr="00542B4F">
        <w:t xml:space="preserve">ould only be applied to overcome resistance offered to a police officer, to arrest an individual caught in the act of committing a crime and attempting to escape, and to </w:t>
      </w:r>
      <w:r w:rsidR="006A1F3B" w:rsidRPr="00542B4F">
        <w:t xml:space="preserve">escort </w:t>
      </w:r>
      <w:r w:rsidR="00D056BA" w:rsidRPr="00542B4F">
        <w:t>arrestees to police stations, to transport and protec</w:t>
      </w:r>
      <w:r w:rsidR="00AA105D" w:rsidRPr="00542B4F">
        <w:t xml:space="preserve">t them if their behaviour </w:t>
      </w:r>
      <w:r w:rsidR="006A1F3B" w:rsidRPr="00542B4F">
        <w:t xml:space="preserve">indicated </w:t>
      </w:r>
      <w:r w:rsidR="00D056BA" w:rsidRPr="00542B4F">
        <w:t xml:space="preserve">that they </w:t>
      </w:r>
      <w:r w:rsidR="00DC0548" w:rsidRPr="00542B4F">
        <w:t>were</w:t>
      </w:r>
      <w:r w:rsidR="00D056BA" w:rsidRPr="00542B4F">
        <w:t xml:space="preserve"> </w:t>
      </w:r>
      <w:r w:rsidR="006A1F3B" w:rsidRPr="00542B4F">
        <w:t xml:space="preserve">likely to try </w:t>
      </w:r>
      <w:r w:rsidR="00D056BA" w:rsidRPr="00542B4F">
        <w:t>to escape, cause harm to themselves or other individuals or offer resistance to police officers (section 14</w:t>
      </w:r>
      <w:r w:rsidR="00EE6441" w:rsidRPr="00542B4F">
        <w:t>(</w:t>
      </w:r>
      <w:r w:rsidR="00D056BA" w:rsidRPr="00542B4F">
        <w:t>1</w:t>
      </w:r>
      <w:r w:rsidR="00EE6441" w:rsidRPr="00542B4F">
        <w:t>)</w:t>
      </w:r>
      <w:r w:rsidR="00D056BA" w:rsidRPr="00542B4F">
        <w:t> (2</w:t>
      </w:r>
      <w:r w:rsidR="00EE6441" w:rsidRPr="00542B4F">
        <w:t>)</w:t>
      </w:r>
      <w:r w:rsidR="00D056BA" w:rsidRPr="00542B4F">
        <w:t xml:space="preserve">, </w:t>
      </w:r>
      <w:r w:rsidR="00EE6441" w:rsidRPr="00542B4F">
        <w:t>(</w:t>
      </w:r>
      <w:r w:rsidR="00D056BA" w:rsidRPr="00542B4F">
        <w:t>3</w:t>
      </w:r>
      <w:r w:rsidR="00EE6441" w:rsidRPr="00542B4F">
        <w:t>)</w:t>
      </w:r>
      <w:r w:rsidR="00D056BA" w:rsidRPr="00542B4F">
        <w:t xml:space="preserve"> </w:t>
      </w:r>
      <w:r w:rsidR="00EE6441" w:rsidRPr="00542B4F">
        <w:t>and (</w:t>
      </w:r>
      <w:r w:rsidR="00D056BA" w:rsidRPr="00542B4F">
        <w:t>5)).</w:t>
      </w:r>
    </w:p>
    <w:p w:rsidR="00747F41" w:rsidRPr="00542B4F" w:rsidRDefault="00747F41" w:rsidP="00542B4F">
      <w:pPr>
        <w:pStyle w:val="ECHRHeading2"/>
      </w:pPr>
      <w:r w:rsidRPr="00542B4F">
        <w:t>B.  Other relevant domestic law provisions</w:t>
      </w:r>
    </w:p>
    <w:p w:rsidR="002A2DBC" w:rsidRPr="00542B4F" w:rsidRDefault="005679FB" w:rsidP="00542B4F">
      <w:pPr>
        <w:pStyle w:val="ECHRPara"/>
        <w:rPr>
          <w:i/>
          <w:szCs w:val="24"/>
        </w:rPr>
      </w:pPr>
      <w:r w:rsidRPr="00542B4F">
        <w:fldChar w:fldCharType="begin"/>
      </w:r>
      <w:r w:rsidRPr="00542B4F">
        <w:instrText xml:space="preserve"> SEQ level0 \*arabic </w:instrText>
      </w:r>
      <w:r w:rsidRPr="00542B4F">
        <w:fldChar w:fldCharType="separate"/>
      </w:r>
      <w:r w:rsidR="00542B4F" w:rsidRPr="00542B4F">
        <w:rPr>
          <w:noProof/>
        </w:rPr>
        <w:t>45</w:t>
      </w:r>
      <w:r w:rsidRPr="00542B4F">
        <w:rPr>
          <w:noProof/>
        </w:rPr>
        <w:fldChar w:fldCharType="end"/>
      </w:r>
      <w:r w:rsidR="003C6FC8" w:rsidRPr="00542B4F">
        <w:t>.  </w:t>
      </w:r>
      <w:r w:rsidR="002A2DBC" w:rsidRPr="00542B4F">
        <w:rPr>
          <w:snapToGrid w:val="0"/>
        </w:rPr>
        <w:t>For a summary of relevant provisions</w:t>
      </w:r>
      <w:r w:rsidR="00747F41" w:rsidRPr="00542B4F">
        <w:rPr>
          <w:snapToGrid w:val="0"/>
        </w:rPr>
        <w:t xml:space="preserve"> of the Criminal Code and the Code of Criminal Procedure of the Russian Federation</w:t>
      </w:r>
      <w:r w:rsidR="002A2DBC" w:rsidRPr="00542B4F">
        <w:rPr>
          <w:snapToGrid w:val="0"/>
        </w:rPr>
        <w:t>, see</w:t>
      </w:r>
      <w:r w:rsidR="00747F41" w:rsidRPr="00542B4F">
        <w:rPr>
          <w:snapToGrid w:val="0"/>
        </w:rPr>
        <w:t xml:space="preserve">, in so far as relevant, </w:t>
      </w:r>
      <w:r w:rsidR="00747F41" w:rsidRPr="00542B4F">
        <w:rPr>
          <w:i/>
          <w:iCs/>
          <w:snapToGrid w:val="0"/>
        </w:rPr>
        <w:t>Ryabtsev v. </w:t>
      </w:r>
      <w:r w:rsidR="002A2DBC" w:rsidRPr="00542B4F">
        <w:rPr>
          <w:i/>
          <w:iCs/>
          <w:snapToGrid w:val="0"/>
        </w:rPr>
        <w:t>Russia</w:t>
      </w:r>
      <w:r w:rsidR="00747F41" w:rsidRPr="00542B4F">
        <w:rPr>
          <w:snapToGrid w:val="0"/>
        </w:rPr>
        <w:t xml:space="preserve"> </w:t>
      </w:r>
      <w:r w:rsidR="002A2DBC" w:rsidRPr="00542B4F">
        <w:rPr>
          <w:snapToGrid w:val="0"/>
        </w:rPr>
        <w:t>(no. 13642/06</w:t>
      </w:r>
      <w:r w:rsidR="00747F41" w:rsidRPr="00542B4F">
        <w:rPr>
          <w:snapToGrid w:val="0"/>
        </w:rPr>
        <w:t>, §§ 42-52, 14 </w:t>
      </w:r>
      <w:r w:rsidR="002A2DBC" w:rsidRPr="00542B4F">
        <w:rPr>
          <w:snapToGrid w:val="0"/>
        </w:rPr>
        <w:t>November 2013</w:t>
      </w:r>
      <w:r w:rsidR="00747F41" w:rsidRPr="00542B4F">
        <w:rPr>
          <w:snapToGrid w:val="0"/>
        </w:rPr>
        <w:t xml:space="preserve">, and </w:t>
      </w:r>
      <w:r w:rsidR="00747F41" w:rsidRPr="00542B4F">
        <w:rPr>
          <w:i/>
        </w:rPr>
        <w:t>Lyapin v. Russia</w:t>
      </w:r>
      <w:r w:rsidR="00747F41" w:rsidRPr="00542B4F">
        <w:t xml:space="preserve"> (no. 46956/09</w:t>
      </w:r>
      <w:r w:rsidR="00747F41" w:rsidRPr="00542B4F">
        <w:rPr>
          <w:snapToGrid w:val="0"/>
        </w:rPr>
        <w:t>, §§ 99 et seq., 2</w:t>
      </w:r>
      <w:r w:rsidR="00747F41" w:rsidRPr="00542B4F">
        <w:t>4 </w:t>
      </w:r>
      <w:r w:rsidR="00747F41" w:rsidRPr="00542B4F">
        <w:rPr>
          <w:snapToGrid w:val="0"/>
        </w:rPr>
        <w:t>July 2014</w:t>
      </w:r>
      <w:r w:rsidR="002A2DBC" w:rsidRPr="00542B4F">
        <w:rPr>
          <w:snapToGrid w:val="0"/>
        </w:rPr>
        <w:t>).</w:t>
      </w:r>
    </w:p>
    <w:p w:rsidR="00014566" w:rsidRPr="00542B4F" w:rsidRDefault="00014566" w:rsidP="00542B4F">
      <w:pPr>
        <w:pStyle w:val="ECHRTitle1"/>
      </w:pPr>
      <w:r w:rsidRPr="00542B4F">
        <w:t>THE LAW</w:t>
      </w:r>
    </w:p>
    <w:p w:rsidR="00014566" w:rsidRPr="00542B4F" w:rsidRDefault="00014566" w:rsidP="00542B4F">
      <w:pPr>
        <w:pStyle w:val="ECHRHeading1"/>
      </w:pPr>
      <w:r w:rsidRPr="00542B4F">
        <w:t>I.  ALLEGED VIOLATION OF ARTICLE</w:t>
      </w:r>
      <w:r w:rsidR="002773E9" w:rsidRPr="00542B4F">
        <w:t> 3</w:t>
      </w:r>
      <w:r w:rsidRPr="00542B4F">
        <w:t xml:space="preserve"> OF THE CONVENTION</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46</w:t>
      </w:r>
      <w:r w:rsidRPr="00542B4F">
        <w:fldChar w:fldCharType="end"/>
      </w:r>
      <w:r w:rsidR="00014566" w:rsidRPr="00542B4F">
        <w:t>.  </w:t>
      </w:r>
      <w:r w:rsidR="002773E9" w:rsidRPr="00542B4F">
        <w:t xml:space="preserve">The applicant complained under Articles 3 and 13 of the Convention that he had been ill-treated by the police and that there </w:t>
      </w:r>
      <w:r w:rsidR="00C94D87" w:rsidRPr="00542B4F">
        <w:t xml:space="preserve">had been </w:t>
      </w:r>
      <w:r w:rsidR="002773E9" w:rsidRPr="00542B4F">
        <w:t>no effective investigation into the matter. Article 3</w:t>
      </w:r>
      <w:r w:rsidR="00014566" w:rsidRPr="00542B4F">
        <w:t xml:space="preserve"> reads as follows:</w:t>
      </w:r>
    </w:p>
    <w:p w:rsidR="00014566" w:rsidRPr="00542B4F" w:rsidRDefault="002773E9" w:rsidP="00542B4F">
      <w:pPr>
        <w:pStyle w:val="ECHRParaQuote"/>
      </w:pPr>
      <w:r w:rsidRPr="00542B4F">
        <w:t>“No one shall be subjected to torture or to inhuman or degrading treatment or punishment.”</w:t>
      </w:r>
    </w:p>
    <w:p w:rsidR="0060067B" w:rsidRPr="00542B4F" w:rsidRDefault="0060067B" w:rsidP="00542B4F">
      <w:pPr>
        <w:pStyle w:val="ECHRHeading2"/>
      </w:pPr>
      <w:r w:rsidRPr="00542B4F">
        <w:t>A.  The parties</w:t>
      </w:r>
      <w:r w:rsidR="00542B4F" w:rsidRPr="00542B4F">
        <w:t>’</w:t>
      </w:r>
      <w:r w:rsidRPr="00542B4F">
        <w:t xml:space="preserve"> submissions</w:t>
      </w:r>
    </w:p>
    <w:p w:rsidR="00F53039" w:rsidRPr="00542B4F" w:rsidRDefault="00F53039" w:rsidP="00542B4F">
      <w:pPr>
        <w:pStyle w:val="ECHRHeading3"/>
      </w:pPr>
      <w:r w:rsidRPr="00542B4F">
        <w:t>1.  The Government</w:t>
      </w:r>
    </w:p>
    <w:p w:rsidR="00F53039" w:rsidRPr="00542B4F" w:rsidRDefault="00E9084A"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47</w:t>
      </w:r>
      <w:r w:rsidRPr="00542B4F">
        <w:fldChar w:fldCharType="end"/>
      </w:r>
      <w:r w:rsidRPr="00542B4F">
        <w:t>.  </w:t>
      </w:r>
      <w:r w:rsidR="00014566" w:rsidRPr="00542B4F">
        <w:t xml:space="preserve">The Government </w:t>
      </w:r>
      <w:r w:rsidR="0060067B" w:rsidRPr="00542B4F">
        <w:t xml:space="preserve">submitted that the applicant </w:t>
      </w:r>
      <w:r w:rsidR="00C94D87" w:rsidRPr="00542B4F">
        <w:t xml:space="preserve">had </w:t>
      </w:r>
      <w:r w:rsidR="00E44753" w:rsidRPr="00542B4F">
        <w:t>attempted to mislead the Court</w:t>
      </w:r>
      <w:r w:rsidR="00EE6441" w:rsidRPr="00542B4F">
        <w:t>,</w:t>
      </w:r>
      <w:r w:rsidR="00E44753" w:rsidRPr="00542B4F">
        <w:t xml:space="preserve"> since according to the medical </w:t>
      </w:r>
      <w:r w:rsidR="00C94D87" w:rsidRPr="00542B4F">
        <w:t xml:space="preserve">reports, </w:t>
      </w:r>
      <w:r w:rsidR="00E44753" w:rsidRPr="00542B4F">
        <w:t xml:space="preserve">some of his </w:t>
      </w:r>
      <w:r w:rsidR="00E44753" w:rsidRPr="00542B4F">
        <w:lastRenderedPageBreak/>
        <w:t xml:space="preserve">injuries had been inflicted prior to </w:t>
      </w:r>
      <w:r w:rsidR="00C94D87" w:rsidRPr="00542B4F">
        <w:t xml:space="preserve">his </w:t>
      </w:r>
      <w:r w:rsidR="00E44753" w:rsidRPr="00542B4F">
        <w:t>arrest. Further</w:t>
      </w:r>
      <w:r w:rsidR="00C94D87" w:rsidRPr="00542B4F">
        <w:t>more</w:t>
      </w:r>
      <w:r w:rsidR="00E44753" w:rsidRPr="00542B4F">
        <w:t xml:space="preserve">, the inquiry </w:t>
      </w:r>
      <w:r w:rsidR="00C94D87" w:rsidRPr="00542B4F">
        <w:t xml:space="preserve">had not revealed any evidence </w:t>
      </w:r>
      <w:r w:rsidR="00E44753" w:rsidRPr="00542B4F">
        <w:t>that the applicant had been ill-treated</w:t>
      </w:r>
      <w:r w:rsidR="00EE6441" w:rsidRPr="00542B4F">
        <w:t>,</w:t>
      </w:r>
      <w:r w:rsidR="00E44753" w:rsidRPr="00542B4F">
        <w:t xml:space="preserve"> </w:t>
      </w:r>
      <w:r w:rsidR="00EE6441" w:rsidRPr="00542B4F">
        <w:t xml:space="preserve">and </w:t>
      </w:r>
      <w:r w:rsidR="00E44753" w:rsidRPr="00542B4F">
        <w:t xml:space="preserve">it could not be excluded that </w:t>
      </w:r>
      <w:r w:rsidR="00C94D87" w:rsidRPr="00542B4F">
        <w:t xml:space="preserve">his </w:t>
      </w:r>
      <w:r w:rsidR="00E44753" w:rsidRPr="00542B4F">
        <w:t xml:space="preserve">remaining injuries </w:t>
      </w:r>
      <w:r w:rsidR="00EE6441" w:rsidRPr="00542B4F">
        <w:t xml:space="preserve">might </w:t>
      </w:r>
      <w:r w:rsidR="00E44753" w:rsidRPr="00542B4F">
        <w:t>have been inflicted during the</w:t>
      </w:r>
      <w:r w:rsidR="00C94D87" w:rsidRPr="00542B4F">
        <w:t xml:space="preserve"> arrest</w:t>
      </w:r>
      <w:r w:rsidR="00E44753" w:rsidRPr="00542B4F">
        <w:t xml:space="preserve">. They submitted that </w:t>
      </w:r>
      <w:r w:rsidR="00A3735F" w:rsidRPr="00542B4F">
        <w:t>he</w:t>
      </w:r>
      <w:r w:rsidR="00E44753" w:rsidRPr="00542B4F">
        <w:t xml:space="preserve"> </w:t>
      </w:r>
      <w:r w:rsidR="0060067B" w:rsidRPr="00542B4F">
        <w:t xml:space="preserve">had actively resisted arrest and attempted to escape on 12 March 2006. Referring to </w:t>
      </w:r>
      <w:r w:rsidR="00C94D87" w:rsidRPr="00542B4F">
        <w:t>sections</w:t>
      </w:r>
      <w:r w:rsidR="002B24E9" w:rsidRPr="00542B4F">
        <w:t> </w:t>
      </w:r>
      <w:r w:rsidR="0060067B" w:rsidRPr="00542B4F">
        <w:t>12</w:t>
      </w:r>
      <w:r w:rsidR="00C94D87" w:rsidRPr="00542B4F">
        <w:t xml:space="preserve"> to </w:t>
      </w:r>
      <w:r w:rsidR="0060067B" w:rsidRPr="00542B4F">
        <w:t>14 of the Police Act as in force at the material time</w:t>
      </w:r>
      <w:r w:rsidR="00C57C52" w:rsidRPr="00542B4F">
        <w:t xml:space="preserve"> (see paragraphs </w:t>
      </w:r>
      <w:r w:rsidR="004E31D2" w:rsidRPr="00542B4F">
        <w:fldChar w:fldCharType="begin"/>
      </w:r>
      <w:r w:rsidR="004E31D2" w:rsidRPr="00542B4F">
        <w:instrText xml:space="preserve"> REF PoliceActSection12 \h </w:instrText>
      </w:r>
      <w:r w:rsidR="004E31D2" w:rsidRPr="00542B4F">
        <w:fldChar w:fldCharType="separate"/>
      </w:r>
      <w:r w:rsidR="00542B4F" w:rsidRPr="00542B4F">
        <w:rPr>
          <w:noProof/>
        </w:rPr>
        <w:t>41</w:t>
      </w:r>
      <w:r w:rsidR="004E31D2" w:rsidRPr="00542B4F">
        <w:fldChar w:fldCharType="end"/>
      </w:r>
      <w:r w:rsidR="004E31D2" w:rsidRPr="00542B4F">
        <w:t xml:space="preserve"> and </w:t>
      </w:r>
      <w:r w:rsidR="004E31D2" w:rsidRPr="00542B4F">
        <w:fldChar w:fldCharType="begin"/>
      </w:r>
      <w:r w:rsidR="004E31D2" w:rsidRPr="00542B4F">
        <w:instrText xml:space="preserve"> REF PoliceActSection14 \h </w:instrText>
      </w:r>
      <w:r w:rsidR="004E31D2" w:rsidRPr="00542B4F">
        <w:fldChar w:fldCharType="separate"/>
      </w:r>
      <w:r w:rsidR="00542B4F" w:rsidRPr="00542B4F">
        <w:rPr>
          <w:noProof/>
        </w:rPr>
        <w:t>44</w:t>
      </w:r>
      <w:r w:rsidR="004E31D2" w:rsidRPr="00542B4F">
        <w:fldChar w:fldCharType="end"/>
      </w:r>
      <w:r w:rsidR="004E31D2" w:rsidRPr="00542B4F">
        <w:t xml:space="preserve"> above)</w:t>
      </w:r>
      <w:r w:rsidR="0060067B" w:rsidRPr="00542B4F">
        <w:t xml:space="preserve">, they argued that </w:t>
      </w:r>
      <w:r w:rsidR="00C94D87" w:rsidRPr="00542B4F">
        <w:t xml:space="preserve">in using </w:t>
      </w:r>
      <w:r w:rsidR="0060067B" w:rsidRPr="00542B4F">
        <w:t xml:space="preserve">physical force and “special </w:t>
      </w:r>
      <w:r w:rsidR="00E44753" w:rsidRPr="00542B4F">
        <w:t>means</w:t>
      </w:r>
      <w:r w:rsidR="0060067B" w:rsidRPr="00542B4F">
        <w:t>” against</w:t>
      </w:r>
      <w:r w:rsidR="00C94D87" w:rsidRPr="00542B4F">
        <w:t xml:space="preserve"> the applicant</w:t>
      </w:r>
      <w:r w:rsidR="0060067B" w:rsidRPr="00542B4F">
        <w:t xml:space="preserve">, </w:t>
      </w:r>
      <w:r w:rsidR="00C94D87" w:rsidRPr="00542B4F">
        <w:t xml:space="preserve">the police had acted within the law. Therefore their actions </w:t>
      </w:r>
      <w:r w:rsidR="0060067B" w:rsidRPr="00542B4F">
        <w:t xml:space="preserve">could not have amounted to a form of degrading or inhuman treatment. </w:t>
      </w:r>
      <w:r w:rsidRPr="00542B4F">
        <w:t>A</w:t>
      </w:r>
      <w:r w:rsidR="00AA3704" w:rsidRPr="00542B4F">
        <w:t xml:space="preserve">ll </w:t>
      </w:r>
      <w:r w:rsidR="00C94D87" w:rsidRPr="00542B4F">
        <w:t xml:space="preserve">the </w:t>
      </w:r>
      <w:r w:rsidR="00F53039" w:rsidRPr="00542B4F">
        <w:t>circumstances relating to the arrest had been subject to a th</w:t>
      </w:r>
      <w:r w:rsidR="00EE6441" w:rsidRPr="00542B4F">
        <w:t>o</w:t>
      </w:r>
      <w:r w:rsidR="00F53039" w:rsidRPr="00542B4F">
        <w:t xml:space="preserve">rough inquiry, which had included the collection of depositions (from the police officers, other public officials, the </w:t>
      </w:r>
      <w:r w:rsidR="00C94D87" w:rsidRPr="00542B4F">
        <w:t>applicant</w:t>
      </w:r>
      <w:r w:rsidR="00542B4F" w:rsidRPr="00542B4F">
        <w:t>’</w:t>
      </w:r>
      <w:r w:rsidR="00C94D87" w:rsidRPr="00542B4F">
        <w:t xml:space="preserve">s </w:t>
      </w:r>
      <w:r w:rsidR="00F53039" w:rsidRPr="00542B4F">
        <w:t>lawyer and others) and medical evidence</w:t>
      </w:r>
      <w:r w:rsidR="00C94D87" w:rsidRPr="00542B4F">
        <w:t>,</w:t>
      </w:r>
      <w:r w:rsidR="00F53039" w:rsidRPr="00542B4F">
        <w:t xml:space="preserve"> such as a forensic examination.</w:t>
      </w:r>
    </w:p>
    <w:p w:rsidR="00F53039" w:rsidRPr="00542B4F" w:rsidRDefault="00F53039" w:rsidP="00542B4F">
      <w:pPr>
        <w:pStyle w:val="ECHRHeading3"/>
      </w:pPr>
      <w:r w:rsidRPr="00542B4F">
        <w:t>2.  The applicant</w:t>
      </w:r>
    </w:p>
    <w:p w:rsidR="00F72D1B"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48</w:t>
      </w:r>
      <w:r w:rsidRPr="00542B4F">
        <w:fldChar w:fldCharType="end"/>
      </w:r>
      <w:r w:rsidR="00014566" w:rsidRPr="00542B4F">
        <w:t>.  </w:t>
      </w:r>
      <w:r w:rsidR="004D1894" w:rsidRPr="00542B4F">
        <w:t xml:space="preserve">The applicant maintained his complaint. He argued that the injuries </w:t>
      </w:r>
      <w:r w:rsidR="004E31D2" w:rsidRPr="00542B4F">
        <w:t xml:space="preserve">recorded by the IVS officers and forensic experts </w:t>
      </w:r>
      <w:r w:rsidR="004D1894" w:rsidRPr="00542B4F">
        <w:t>had been inflicted on him while he was under the State</w:t>
      </w:r>
      <w:r w:rsidR="00542B4F" w:rsidRPr="00542B4F">
        <w:t>’</w:t>
      </w:r>
      <w:r w:rsidR="004D1894" w:rsidRPr="00542B4F">
        <w:t>s control, that the State had failed to refute his account of the events</w:t>
      </w:r>
      <w:r w:rsidR="004E31D2" w:rsidRPr="00542B4F">
        <w:t>, and that</w:t>
      </w:r>
      <w:r w:rsidR="00DA667C" w:rsidRPr="00542B4F">
        <w:t xml:space="preserve"> the ill-treatment </w:t>
      </w:r>
      <w:r w:rsidR="001A2A36" w:rsidRPr="00542B4F">
        <w:t xml:space="preserve">to which </w:t>
      </w:r>
      <w:r w:rsidR="00DA667C" w:rsidRPr="00542B4F">
        <w:t>he had been su</w:t>
      </w:r>
      <w:r w:rsidR="004104D1" w:rsidRPr="00542B4F">
        <w:t xml:space="preserve">bjected </w:t>
      </w:r>
      <w:r w:rsidR="001A2A36" w:rsidRPr="00542B4F">
        <w:t xml:space="preserve">had </w:t>
      </w:r>
      <w:r w:rsidR="004104D1" w:rsidRPr="00542B4F">
        <w:t>amounted to torture.</w:t>
      </w:r>
      <w:r w:rsidR="007865FC" w:rsidRPr="00542B4F">
        <w:t xml:space="preserve"> He</w:t>
      </w:r>
      <w:r w:rsidR="00DA667C" w:rsidRPr="00542B4F">
        <w:t xml:space="preserve"> further argued that the investigation into his ill-treatment allegations had not been effective. In particular, the authorities had failed to question all </w:t>
      </w:r>
      <w:r w:rsidR="001A2A36" w:rsidRPr="00542B4F">
        <w:t xml:space="preserve">the </w:t>
      </w:r>
      <w:r w:rsidR="00DA667C" w:rsidRPr="00542B4F">
        <w:t>witnesses, including the applicant</w:t>
      </w:r>
      <w:r w:rsidR="00542B4F" w:rsidRPr="00542B4F">
        <w:t>’</w:t>
      </w:r>
      <w:r w:rsidR="00DA667C" w:rsidRPr="00542B4F">
        <w:t xml:space="preserve">s parents and eyewitnesses </w:t>
      </w:r>
      <w:r w:rsidR="001A2A36" w:rsidRPr="00542B4F">
        <w:t xml:space="preserve">to </w:t>
      </w:r>
      <w:r w:rsidR="00DA667C" w:rsidRPr="00542B4F">
        <w:t xml:space="preserve">the arrest. Police officer Sh. had </w:t>
      </w:r>
      <w:r w:rsidR="001A2A36" w:rsidRPr="00542B4F">
        <w:t xml:space="preserve">not </w:t>
      </w:r>
      <w:r w:rsidR="00DA667C" w:rsidRPr="00542B4F">
        <w:t xml:space="preserve">been interviewed </w:t>
      </w:r>
      <w:r w:rsidR="001A2A36" w:rsidRPr="00542B4F">
        <w:t xml:space="preserve">until </w:t>
      </w:r>
      <w:r w:rsidR="00DA667C" w:rsidRPr="00542B4F">
        <w:t xml:space="preserve">six years after the events. </w:t>
      </w:r>
      <w:r w:rsidR="007865FC" w:rsidRPr="00542B4F">
        <w:t xml:space="preserve">He argued that the </w:t>
      </w:r>
      <w:r w:rsidR="00DA667C" w:rsidRPr="00542B4F">
        <w:t xml:space="preserve">investigator had failed to address </w:t>
      </w:r>
      <w:r w:rsidR="007865FC" w:rsidRPr="00542B4F">
        <w:t>several</w:t>
      </w:r>
      <w:r w:rsidR="00DA667C" w:rsidRPr="00542B4F">
        <w:t xml:space="preserve"> contradictions between </w:t>
      </w:r>
      <w:r w:rsidR="001A2A36" w:rsidRPr="00542B4F">
        <w:t xml:space="preserve">the statements of </w:t>
      </w:r>
      <w:r w:rsidR="00DA667C" w:rsidRPr="00542B4F">
        <w:t>various officials, as well as between the police</w:t>
      </w:r>
      <w:r w:rsidR="001A2A36" w:rsidRPr="00542B4F">
        <w:t xml:space="preserve"> officers</w:t>
      </w:r>
      <w:r w:rsidR="00542B4F" w:rsidRPr="00542B4F">
        <w:t>’</w:t>
      </w:r>
      <w:r w:rsidR="00DA667C" w:rsidRPr="00542B4F">
        <w:t xml:space="preserve"> account of the events</w:t>
      </w:r>
      <w:r w:rsidR="00482685" w:rsidRPr="00542B4F">
        <w:t xml:space="preserve"> </w:t>
      </w:r>
      <w:r w:rsidR="001A2A36" w:rsidRPr="00542B4F">
        <w:t xml:space="preserve">and his own account </w:t>
      </w:r>
      <w:r w:rsidR="00482685" w:rsidRPr="00542B4F">
        <w:t xml:space="preserve">regarding such crucial aspects of the case as the time of </w:t>
      </w:r>
      <w:r w:rsidR="001A2A36" w:rsidRPr="00542B4F">
        <w:t xml:space="preserve">his </w:t>
      </w:r>
      <w:r w:rsidR="00482685" w:rsidRPr="00542B4F">
        <w:t>arrest and transfer to the investigator, as well as the presence or absence of injuries. The authorities</w:t>
      </w:r>
      <w:r w:rsidR="00DA667C" w:rsidRPr="00542B4F">
        <w:t xml:space="preserve"> </w:t>
      </w:r>
      <w:r w:rsidR="001A2A36" w:rsidRPr="00542B4F">
        <w:t xml:space="preserve">had </w:t>
      </w:r>
      <w:r w:rsidR="00DA667C" w:rsidRPr="00542B4F">
        <w:t>relied predominantly on the police officers</w:t>
      </w:r>
      <w:r w:rsidR="00542B4F" w:rsidRPr="00542B4F">
        <w:t>’</w:t>
      </w:r>
      <w:r w:rsidR="00DA667C" w:rsidRPr="00542B4F">
        <w:t xml:space="preserve"> statements; </w:t>
      </w:r>
      <w:r w:rsidR="001A2A36" w:rsidRPr="00542B4F">
        <w:t xml:space="preserve">had </w:t>
      </w:r>
      <w:r w:rsidR="00DA667C" w:rsidRPr="00542B4F">
        <w:t>failed to check whether the police officers had notified the prosecutor of the injuries allegedly sustained during the arrest, as required by the Police Act (see paragraph </w:t>
      </w:r>
      <w:r w:rsidR="004E31D2" w:rsidRPr="00542B4F">
        <w:fldChar w:fldCharType="begin"/>
      </w:r>
      <w:r w:rsidR="004E31D2" w:rsidRPr="00542B4F">
        <w:instrText xml:space="preserve"> REF PoliceActSection12 \h </w:instrText>
      </w:r>
      <w:r w:rsidR="004E31D2" w:rsidRPr="00542B4F">
        <w:fldChar w:fldCharType="separate"/>
      </w:r>
      <w:r w:rsidR="00542B4F" w:rsidRPr="00542B4F">
        <w:rPr>
          <w:noProof/>
        </w:rPr>
        <w:t>41</w:t>
      </w:r>
      <w:r w:rsidR="004E31D2" w:rsidRPr="00542B4F">
        <w:fldChar w:fldCharType="end"/>
      </w:r>
      <w:r w:rsidR="00DA667C" w:rsidRPr="00542B4F">
        <w:t xml:space="preserve"> above); and </w:t>
      </w:r>
      <w:r w:rsidR="001A2A36" w:rsidRPr="00542B4F">
        <w:t xml:space="preserve">had </w:t>
      </w:r>
      <w:r w:rsidR="00DA667C" w:rsidRPr="00542B4F">
        <w:t xml:space="preserve">omitted to conduct various investigative activities, such as an identification parade or confrontations between the applicant and the </w:t>
      </w:r>
      <w:r w:rsidR="006F2784" w:rsidRPr="00542B4F">
        <w:t>d</w:t>
      </w:r>
      <w:r w:rsidR="00DA667C" w:rsidRPr="00542B4F">
        <w:t xml:space="preserve">rug </w:t>
      </w:r>
      <w:r w:rsidR="006F2784" w:rsidRPr="00542B4F">
        <w:t>c</w:t>
      </w:r>
      <w:r w:rsidR="00DA667C" w:rsidRPr="00542B4F">
        <w:t>ontrol officers.</w:t>
      </w:r>
    </w:p>
    <w:p w:rsidR="0060067B" w:rsidRPr="00542B4F" w:rsidRDefault="0060067B" w:rsidP="00542B4F">
      <w:pPr>
        <w:pStyle w:val="ECHRHeading2"/>
      </w:pPr>
      <w:r w:rsidRPr="00542B4F">
        <w:t>B.  The Court</w:t>
      </w:r>
      <w:r w:rsidR="00542B4F" w:rsidRPr="00542B4F">
        <w:t>’</w:t>
      </w:r>
      <w:r w:rsidRPr="00542B4F">
        <w:t>s assessment</w:t>
      </w:r>
    </w:p>
    <w:p w:rsidR="00014566" w:rsidRPr="00542B4F" w:rsidRDefault="0060067B" w:rsidP="00542B4F">
      <w:pPr>
        <w:pStyle w:val="ECHRHeading3"/>
      </w:pPr>
      <w:r w:rsidRPr="00542B4F">
        <w:t>1</w:t>
      </w:r>
      <w:r w:rsidR="00014566" w:rsidRPr="00542B4F">
        <w:t>.  Admissibility</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49</w:t>
      </w:r>
      <w:r w:rsidRPr="00542B4F">
        <w:fldChar w:fldCharType="end"/>
      </w:r>
      <w:r w:rsidR="00014566" w:rsidRPr="00542B4F">
        <w:t>.  </w:t>
      </w:r>
      <w:r w:rsidR="000268ED" w:rsidRPr="00542B4F">
        <w:t>The Court notes that this complaint is not manifestly ill</w:t>
      </w:r>
      <w:r w:rsidR="000268ED" w:rsidRPr="00542B4F">
        <w:noBreakHyphen/>
        <w:t>founded within the meaning of Article 35 § 3 (a) of the Convention. It further notes that it is not inadmissible on any other grounds. It must therefore be declared admissible.</w:t>
      </w:r>
    </w:p>
    <w:p w:rsidR="00014566" w:rsidRPr="00542B4F" w:rsidRDefault="0060067B" w:rsidP="00542B4F">
      <w:pPr>
        <w:pStyle w:val="ECHRHeading3"/>
      </w:pPr>
      <w:r w:rsidRPr="00542B4F">
        <w:lastRenderedPageBreak/>
        <w:t>2</w:t>
      </w:r>
      <w:r w:rsidR="00014566" w:rsidRPr="00542B4F">
        <w:t>.  Merits</w:t>
      </w:r>
    </w:p>
    <w:p w:rsidR="00687268" w:rsidRPr="00542B4F" w:rsidRDefault="00687268" w:rsidP="00542B4F">
      <w:pPr>
        <w:pStyle w:val="ECHRHeading4"/>
      </w:pPr>
      <w:r w:rsidRPr="00542B4F">
        <w:t>(a)  Credibility of the applicant</w:t>
      </w:r>
      <w:r w:rsidR="00542B4F" w:rsidRPr="00542B4F">
        <w:t>’</w:t>
      </w:r>
      <w:r w:rsidRPr="00542B4F">
        <w:t>s allegations of ill-treatment at the hands of the police officers and the presumption of fact</w:t>
      </w:r>
    </w:p>
    <w:p w:rsidR="00C52C85" w:rsidRPr="00542B4F" w:rsidRDefault="002B5EF7" w:rsidP="00542B4F">
      <w:pPr>
        <w:pStyle w:val="ECHRPara"/>
      </w:pPr>
      <w:r w:rsidRPr="00542B4F">
        <w:rPr>
          <w:noProof/>
        </w:rPr>
        <w:fldChar w:fldCharType="begin"/>
      </w:r>
      <w:r w:rsidRPr="00542B4F">
        <w:rPr>
          <w:noProof/>
        </w:rPr>
        <w:instrText xml:space="preserve"> SEQ level0 \*arabic </w:instrText>
      </w:r>
      <w:r w:rsidRPr="00542B4F">
        <w:rPr>
          <w:noProof/>
        </w:rPr>
        <w:fldChar w:fldCharType="separate"/>
      </w:r>
      <w:r w:rsidR="00542B4F" w:rsidRPr="00542B4F">
        <w:rPr>
          <w:noProof/>
        </w:rPr>
        <w:t>50</w:t>
      </w:r>
      <w:r w:rsidRPr="00542B4F">
        <w:rPr>
          <w:noProof/>
        </w:rPr>
        <w:fldChar w:fldCharType="end"/>
      </w:r>
      <w:r w:rsidRPr="00542B4F">
        <w:t xml:space="preserve">.  The Court observes that after spending </w:t>
      </w:r>
      <w:r w:rsidR="00C52C85" w:rsidRPr="00542B4F">
        <w:t>several hours</w:t>
      </w:r>
      <w:r w:rsidRPr="00542B4F">
        <w:t xml:space="preserve"> in police custody the applicant was found to have </w:t>
      </w:r>
      <w:r w:rsidR="00C52C85" w:rsidRPr="00542B4F">
        <w:t>multiple injuries to his face, head, neck, wrists, forearms, hip and back</w:t>
      </w:r>
      <w:r w:rsidRPr="00542B4F">
        <w:t xml:space="preserve">, as recorded by the </w:t>
      </w:r>
      <w:r w:rsidR="00C52C85" w:rsidRPr="00542B4F">
        <w:t>detention facility officers (see paragraph </w:t>
      </w:r>
      <w:r w:rsidR="00C52C85" w:rsidRPr="00542B4F">
        <w:fldChar w:fldCharType="begin"/>
      </w:r>
      <w:r w:rsidR="00C52C85" w:rsidRPr="00542B4F">
        <w:instrText xml:space="preserve"> REF Act12032006 \h </w:instrText>
      </w:r>
      <w:r w:rsidR="00C52C85" w:rsidRPr="00542B4F">
        <w:fldChar w:fldCharType="separate"/>
      </w:r>
      <w:r w:rsidR="00542B4F" w:rsidRPr="00542B4F">
        <w:rPr>
          <w:noProof/>
        </w:rPr>
        <w:t>15</w:t>
      </w:r>
      <w:r w:rsidR="00C52C85" w:rsidRPr="00542B4F">
        <w:fldChar w:fldCharType="end"/>
      </w:r>
      <w:r w:rsidR="00C52C85" w:rsidRPr="00542B4F">
        <w:t xml:space="preserve"> above) and </w:t>
      </w:r>
      <w:r w:rsidRPr="00542B4F">
        <w:t xml:space="preserve">forensic medical expert (paragraphs </w:t>
      </w:r>
      <w:r w:rsidR="00C52C85" w:rsidRPr="00542B4F">
        <w:fldChar w:fldCharType="begin"/>
      </w:r>
      <w:r w:rsidR="00C52C85" w:rsidRPr="00542B4F">
        <w:instrText xml:space="preserve"> REF MedicalReport15032006 \h </w:instrText>
      </w:r>
      <w:r w:rsidR="00C52C85" w:rsidRPr="00542B4F">
        <w:fldChar w:fldCharType="separate"/>
      </w:r>
      <w:r w:rsidR="00542B4F" w:rsidRPr="00542B4F">
        <w:rPr>
          <w:noProof/>
        </w:rPr>
        <w:t>19</w:t>
      </w:r>
      <w:r w:rsidR="00C52C85" w:rsidRPr="00542B4F">
        <w:fldChar w:fldCharType="end"/>
      </w:r>
      <w:r w:rsidR="00C52C85" w:rsidRPr="00542B4F">
        <w:t>-</w:t>
      </w:r>
      <w:r w:rsidR="00C52C85" w:rsidRPr="00542B4F">
        <w:fldChar w:fldCharType="begin"/>
      </w:r>
      <w:r w:rsidR="00C52C85" w:rsidRPr="00542B4F">
        <w:instrText xml:space="preserve"> REF MedicalReport15032006_3 \h </w:instrText>
      </w:r>
      <w:r w:rsidR="00C52C85" w:rsidRPr="00542B4F">
        <w:fldChar w:fldCharType="separate"/>
      </w:r>
      <w:r w:rsidR="00542B4F" w:rsidRPr="00542B4F">
        <w:rPr>
          <w:noProof/>
        </w:rPr>
        <w:t>21</w:t>
      </w:r>
      <w:r w:rsidR="00C52C85" w:rsidRPr="00542B4F">
        <w:fldChar w:fldCharType="end"/>
      </w:r>
      <w:r w:rsidR="00C52C85" w:rsidRPr="00542B4F">
        <w:t xml:space="preserve"> </w:t>
      </w:r>
      <w:r w:rsidRPr="00542B4F">
        <w:t>above)</w:t>
      </w:r>
      <w:r w:rsidR="00C52C85" w:rsidRPr="00542B4F">
        <w:t>.</w:t>
      </w:r>
      <w:r w:rsidR="00FD74B7" w:rsidRPr="00542B4F">
        <w:t xml:space="preserve"> The applicant</w:t>
      </w:r>
      <w:r w:rsidR="00542B4F" w:rsidRPr="00542B4F">
        <w:t>’</w:t>
      </w:r>
      <w:r w:rsidR="00FD74B7" w:rsidRPr="00542B4F">
        <w:t>s description of the alleged ill</w:t>
      </w:r>
      <w:r w:rsidR="00FD74B7" w:rsidRPr="00542B4F">
        <w:noBreakHyphen/>
        <w:t>treatment was detailed and consistent throughout the proceedings</w:t>
      </w:r>
      <w:r w:rsidR="004E31D2" w:rsidRPr="00542B4F">
        <w:t xml:space="preserve"> (see paragraphs </w:t>
      </w:r>
      <w:r w:rsidR="004E31D2" w:rsidRPr="00542B4F">
        <w:fldChar w:fldCharType="begin"/>
      </w:r>
      <w:r w:rsidR="004E31D2" w:rsidRPr="00542B4F">
        <w:instrText xml:space="preserve"> REF Appt13032996 \h </w:instrText>
      </w:r>
      <w:r w:rsidR="004E31D2" w:rsidRPr="00542B4F">
        <w:fldChar w:fldCharType="separate"/>
      </w:r>
      <w:r w:rsidR="00542B4F" w:rsidRPr="00542B4F">
        <w:rPr>
          <w:noProof/>
        </w:rPr>
        <w:t>16</w:t>
      </w:r>
      <w:r w:rsidR="004E31D2" w:rsidRPr="00542B4F">
        <w:fldChar w:fldCharType="end"/>
      </w:r>
      <w:r w:rsidR="004E31D2" w:rsidRPr="00542B4F">
        <w:t xml:space="preserve">, </w:t>
      </w:r>
      <w:r w:rsidR="004E31D2" w:rsidRPr="00542B4F">
        <w:fldChar w:fldCharType="begin"/>
      </w:r>
      <w:r w:rsidR="004E31D2" w:rsidRPr="00542B4F">
        <w:instrText xml:space="preserve"> REF ApptExplanationInquiry2006 \h </w:instrText>
      </w:r>
      <w:r w:rsidR="004E31D2" w:rsidRPr="00542B4F">
        <w:fldChar w:fldCharType="separate"/>
      </w:r>
      <w:r w:rsidR="00542B4F" w:rsidRPr="00542B4F">
        <w:rPr>
          <w:noProof/>
        </w:rPr>
        <w:t>30</w:t>
      </w:r>
      <w:r w:rsidR="004E31D2" w:rsidRPr="00542B4F">
        <w:fldChar w:fldCharType="end"/>
      </w:r>
      <w:r w:rsidR="004E31D2" w:rsidRPr="00542B4F">
        <w:t xml:space="preserve">, </w:t>
      </w:r>
      <w:r w:rsidR="004E31D2" w:rsidRPr="00542B4F">
        <w:fldChar w:fldCharType="begin"/>
      </w:r>
      <w:r w:rsidR="004E31D2" w:rsidRPr="00542B4F">
        <w:instrText xml:space="preserve"> REF Appeal14042006 \h </w:instrText>
      </w:r>
      <w:r w:rsidR="004E31D2" w:rsidRPr="00542B4F">
        <w:fldChar w:fldCharType="separate"/>
      </w:r>
      <w:r w:rsidR="00542B4F" w:rsidRPr="00542B4F">
        <w:rPr>
          <w:noProof/>
        </w:rPr>
        <w:t>32</w:t>
      </w:r>
      <w:r w:rsidR="004E31D2" w:rsidRPr="00542B4F">
        <w:fldChar w:fldCharType="end"/>
      </w:r>
      <w:r w:rsidR="004E31D2" w:rsidRPr="00542B4F">
        <w:t xml:space="preserve"> and </w:t>
      </w:r>
      <w:r w:rsidR="004E31D2" w:rsidRPr="00542B4F">
        <w:fldChar w:fldCharType="begin"/>
      </w:r>
      <w:r w:rsidR="004E31D2" w:rsidRPr="00542B4F">
        <w:instrText xml:space="preserve"> REF Appeal26042006 \h </w:instrText>
      </w:r>
      <w:r w:rsidR="004E31D2" w:rsidRPr="00542B4F">
        <w:fldChar w:fldCharType="separate"/>
      </w:r>
      <w:r w:rsidR="00542B4F" w:rsidRPr="00542B4F">
        <w:rPr>
          <w:noProof/>
        </w:rPr>
        <w:t>34</w:t>
      </w:r>
      <w:r w:rsidR="004E31D2" w:rsidRPr="00542B4F">
        <w:fldChar w:fldCharType="end"/>
      </w:r>
      <w:r w:rsidR="004E31D2" w:rsidRPr="00542B4F">
        <w:t xml:space="preserve"> above)</w:t>
      </w:r>
      <w:r w:rsidR="00FD74B7" w:rsidRPr="00542B4F">
        <w:t xml:space="preserve">. </w:t>
      </w:r>
      <w:r w:rsidR="00D54E10" w:rsidRPr="00542B4F">
        <w:rPr>
          <w:rFonts w:ascii="Times New Roman" w:hAnsi="Times New Roman" w:cs="Times New Roman"/>
          <w:color w:val="000000"/>
        </w:rPr>
        <w:t xml:space="preserve">The expert found on 15 March 2006 that some of the injuries detected on him – namely, those </w:t>
      </w:r>
      <w:r w:rsidR="00D80627" w:rsidRPr="00542B4F">
        <w:rPr>
          <w:rFonts w:ascii="Times New Roman" w:hAnsi="Times New Roman" w:cs="Times New Roman"/>
          <w:color w:val="000000"/>
        </w:rPr>
        <w:t>which could have appeared two to four</w:t>
      </w:r>
      <w:r w:rsidR="004E31D2" w:rsidRPr="00542B4F">
        <w:rPr>
          <w:rFonts w:ascii="Times New Roman" w:hAnsi="Times New Roman" w:cs="Times New Roman"/>
          <w:color w:val="000000"/>
        </w:rPr>
        <w:t>,</w:t>
      </w:r>
      <w:r w:rsidR="00D80627" w:rsidRPr="00542B4F">
        <w:rPr>
          <w:rFonts w:ascii="Times New Roman" w:hAnsi="Times New Roman" w:cs="Times New Roman"/>
          <w:color w:val="000000"/>
        </w:rPr>
        <w:t xml:space="preserve"> </w:t>
      </w:r>
      <w:r w:rsidR="004E31D2" w:rsidRPr="00542B4F">
        <w:rPr>
          <w:rFonts w:ascii="Times New Roman" w:hAnsi="Times New Roman" w:cs="Times New Roman"/>
          <w:color w:val="000000"/>
        </w:rPr>
        <w:t>and</w:t>
      </w:r>
      <w:r w:rsidR="00D80627" w:rsidRPr="00542B4F">
        <w:rPr>
          <w:rFonts w:ascii="Times New Roman" w:hAnsi="Times New Roman" w:cs="Times New Roman"/>
          <w:color w:val="000000"/>
        </w:rPr>
        <w:t xml:space="preserve"> one to three days prior to the examination</w:t>
      </w:r>
      <w:r w:rsidR="00D80627" w:rsidRPr="00542B4F">
        <w:t xml:space="preserve"> (see paragraph </w:t>
      </w:r>
      <w:r w:rsidR="00D80627" w:rsidRPr="00542B4F">
        <w:fldChar w:fldCharType="begin"/>
      </w:r>
      <w:r w:rsidR="00D80627" w:rsidRPr="00542B4F">
        <w:instrText xml:space="preserve"> REF MedicalReport15032006_details \h </w:instrText>
      </w:r>
      <w:r w:rsidR="00D80627" w:rsidRPr="00542B4F">
        <w:fldChar w:fldCharType="separate"/>
      </w:r>
      <w:r w:rsidR="00542B4F" w:rsidRPr="00542B4F">
        <w:rPr>
          <w:noProof/>
        </w:rPr>
        <w:t>20</w:t>
      </w:r>
      <w:r w:rsidR="00D80627" w:rsidRPr="00542B4F">
        <w:fldChar w:fldCharType="end"/>
      </w:r>
      <w:r w:rsidR="00D80627" w:rsidRPr="00542B4F">
        <w:t xml:space="preserve"> above)</w:t>
      </w:r>
      <w:r w:rsidR="00D80627" w:rsidRPr="00542B4F">
        <w:rPr>
          <w:rFonts w:ascii="Times New Roman" w:hAnsi="Times New Roman" w:cs="Times New Roman"/>
          <w:color w:val="000000"/>
        </w:rPr>
        <w:t xml:space="preserve"> </w:t>
      </w:r>
      <w:r w:rsidR="00D54E10" w:rsidRPr="00542B4F">
        <w:rPr>
          <w:rFonts w:ascii="Times New Roman" w:hAnsi="Times New Roman" w:cs="Times New Roman"/>
          <w:color w:val="000000"/>
        </w:rPr>
        <w:t>– could have been caused by blunt solid objects, such as h</w:t>
      </w:r>
      <w:r w:rsidR="00D80627" w:rsidRPr="00542B4F">
        <w:rPr>
          <w:rFonts w:ascii="Times New Roman" w:hAnsi="Times New Roman" w:cs="Times New Roman"/>
          <w:color w:val="000000"/>
        </w:rPr>
        <w:t>ands, booted boot and handcuffs</w:t>
      </w:r>
      <w:r w:rsidR="00D54E10" w:rsidRPr="00542B4F">
        <w:rPr>
          <w:rFonts w:ascii="Times New Roman" w:hAnsi="Times New Roman" w:cs="Times New Roman"/>
          <w:color w:val="000000"/>
        </w:rPr>
        <w:t xml:space="preserve">. </w:t>
      </w:r>
      <w:r w:rsidR="00A627D7" w:rsidRPr="00542B4F">
        <w:t>The witness statements suggest that the applicant had no injuries before his apprehension (see paragraph </w:t>
      </w:r>
      <w:r w:rsidR="00A627D7" w:rsidRPr="00542B4F">
        <w:fldChar w:fldCharType="begin"/>
      </w:r>
      <w:r w:rsidR="00A627D7" w:rsidRPr="00542B4F">
        <w:instrText xml:space="preserve"> REF Relatives_statements042006 \h </w:instrText>
      </w:r>
      <w:r w:rsidR="00A627D7" w:rsidRPr="00542B4F">
        <w:fldChar w:fldCharType="separate"/>
      </w:r>
      <w:r w:rsidR="00542B4F" w:rsidRPr="00542B4F">
        <w:rPr>
          <w:noProof/>
        </w:rPr>
        <w:t>22</w:t>
      </w:r>
      <w:r w:rsidR="00A627D7" w:rsidRPr="00542B4F">
        <w:fldChar w:fldCharType="end"/>
      </w:r>
      <w:r w:rsidR="00A627D7" w:rsidRPr="00542B4F">
        <w:t xml:space="preserve"> above).</w:t>
      </w:r>
    </w:p>
    <w:p w:rsidR="00890158" w:rsidRPr="00542B4F" w:rsidRDefault="008A1BB5"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51</w:t>
      </w:r>
      <w:r w:rsidRPr="00542B4F">
        <w:fldChar w:fldCharType="end"/>
      </w:r>
      <w:r w:rsidRPr="00542B4F">
        <w:t>.  </w:t>
      </w:r>
      <w:r w:rsidR="00890158" w:rsidRPr="00542B4F">
        <w:t>In view of the foregoing the Court considers that the applicant</w:t>
      </w:r>
      <w:r w:rsidR="00542B4F" w:rsidRPr="00542B4F">
        <w:t>’</w:t>
      </w:r>
      <w:r w:rsidR="00890158" w:rsidRPr="00542B4F">
        <w:t>s injuries could arguably have resulted from the violence allegedly suffered by him at th</w:t>
      </w:r>
      <w:r w:rsidR="00E559C6" w:rsidRPr="00542B4F">
        <w:t xml:space="preserve">e hands of the police officers. </w:t>
      </w:r>
      <w:r w:rsidR="00890158" w:rsidRPr="00542B4F">
        <w:t>The above factors are sufficient to give rise to a presumption in favour of the applicant</w:t>
      </w:r>
      <w:r w:rsidR="00542B4F" w:rsidRPr="00542B4F">
        <w:t>’</w:t>
      </w:r>
      <w:r w:rsidR="00890158" w:rsidRPr="00542B4F">
        <w:t xml:space="preserve">s account of events and to satisfy the Court that </w:t>
      </w:r>
      <w:r w:rsidR="00D54E10" w:rsidRPr="00542B4F">
        <w:t>his</w:t>
      </w:r>
      <w:r w:rsidR="00890158" w:rsidRPr="00542B4F">
        <w:t xml:space="preserve"> allegations of police violence were credible.</w:t>
      </w:r>
    </w:p>
    <w:p w:rsidR="00687268" w:rsidRPr="00542B4F" w:rsidRDefault="00687268" w:rsidP="00542B4F">
      <w:pPr>
        <w:pStyle w:val="ECHRHeading4"/>
      </w:pPr>
      <w:r w:rsidRPr="00542B4F">
        <w:t>(b)  Whether an effective investigation was carried out into the applicants</w:t>
      </w:r>
      <w:r w:rsidR="00542B4F" w:rsidRPr="00542B4F">
        <w:t>’</w:t>
      </w:r>
      <w:r w:rsidRPr="00542B4F">
        <w:t xml:space="preserve"> allegations of police ill-treatment</w:t>
      </w:r>
    </w:p>
    <w:bookmarkStart w:id="27" w:name="A3Investigation1"/>
    <w:p w:rsidR="00F72D1B" w:rsidRPr="00542B4F" w:rsidRDefault="00E559C6"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52</w:t>
      </w:r>
      <w:r w:rsidRPr="00542B4F">
        <w:fldChar w:fldCharType="end"/>
      </w:r>
      <w:bookmarkEnd w:id="27"/>
      <w:r w:rsidRPr="00542B4F">
        <w:t xml:space="preserve">.  The Court </w:t>
      </w:r>
      <w:r w:rsidR="00E16236" w:rsidRPr="00542B4F">
        <w:t xml:space="preserve">further </w:t>
      </w:r>
      <w:r w:rsidRPr="00542B4F">
        <w:t>observes that the applicant</w:t>
      </w:r>
      <w:r w:rsidR="00542B4F" w:rsidRPr="00542B4F">
        <w:t>’</w:t>
      </w:r>
      <w:r w:rsidRPr="00542B4F">
        <w:t>s consistent allegations of ill</w:t>
      </w:r>
      <w:r w:rsidRPr="00542B4F">
        <w:noBreakHyphen/>
        <w:t xml:space="preserve">treatment on the premises of the Drug Control Service were summarily rejected </w:t>
      </w:r>
      <w:r w:rsidR="00E16236" w:rsidRPr="00542B4F">
        <w:t>as a result</w:t>
      </w:r>
      <w:r w:rsidR="002B5EF7" w:rsidRPr="00542B4F">
        <w:t xml:space="preserve"> of the pre</w:t>
      </w:r>
      <w:r w:rsidR="002B5EF7" w:rsidRPr="00542B4F">
        <w:noBreakHyphen/>
        <w:t>investigation inquiry, which is the initial stage in dealing with a criminal complaint under Russian law and should normally be followed by the opening of a criminal case and the carrying out of an investigation if the information gathered has disclosed elements of a criminal offence (see </w:t>
      </w:r>
      <w:r w:rsidR="002B5EF7" w:rsidRPr="00542B4F">
        <w:rPr>
          <w:i/>
          <w:iCs/>
        </w:rPr>
        <w:t>Lyapin</w:t>
      </w:r>
      <w:r w:rsidR="002B5EF7" w:rsidRPr="00542B4F">
        <w:t>, cited above, § 129).</w:t>
      </w:r>
    </w:p>
    <w:p w:rsidR="00EC437A"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53</w:t>
      </w:r>
      <w:r w:rsidRPr="00542B4F">
        <w:rPr>
          <w:noProof/>
        </w:rPr>
        <w:fldChar w:fldCharType="end"/>
      </w:r>
      <w:r w:rsidR="002B5EF7" w:rsidRPr="00542B4F">
        <w:t>.  </w:t>
      </w:r>
      <w:r w:rsidR="00EC437A" w:rsidRPr="00542B4F">
        <w:t>The Court reiterates its finding that the mere carrying out of a pre</w:t>
      </w:r>
      <w:r w:rsidR="00EC437A" w:rsidRPr="00542B4F">
        <w:noBreakHyphen/>
        <w:t>investigation inquiry under Article 144 of the Code of Criminal Procedure of the Russian Federation is insufficient if the authorities are to comply with the standards established under Article 3 of the Convention for an effective investigation into credible allegations of ill</w:t>
      </w:r>
      <w:r w:rsidR="00EC437A" w:rsidRPr="00542B4F">
        <w:noBreakHyphen/>
        <w:t>treatment in police custody. It is incumbent on the authorities to institute criminal proceedings and conduct a proper criminal investigation in which a full range of investigative measures are carried out and which constitutes an effective remedy for victims of police ill-treatment under domestic law (see</w:t>
      </w:r>
      <w:r w:rsidR="009225EA" w:rsidRPr="00542B4F">
        <w:t>, among many others,</w:t>
      </w:r>
      <w:r w:rsidR="00EC437A" w:rsidRPr="00542B4F">
        <w:t xml:space="preserve"> </w:t>
      </w:r>
      <w:r w:rsidR="00EC437A" w:rsidRPr="00542B4F">
        <w:rPr>
          <w:i/>
        </w:rPr>
        <w:t>Lyapin,</w:t>
      </w:r>
      <w:r w:rsidR="00570A6D" w:rsidRPr="00542B4F">
        <w:t xml:space="preserve"> cited above, §§ </w:t>
      </w:r>
      <w:r w:rsidR="009225EA" w:rsidRPr="00542B4F">
        <w:t xml:space="preserve">129 and 132-36; </w:t>
      </w:r>
      <w:r w:rsidR="00570A6D" w:rsidRPr="00542B4F">
        <w:rPr>
          <w:i/>
          <w:iCs/>
        </w:rPr>
        <w:t>D</w:t>
      </w:r>
      <w:r w:rsidRPr="00542B4F">
        <w:rPr>
          <w:i/>
          <w:iCs/>
        </w:rPr>
        <w:t>evyatkin v. </w:t>
      </w:r>
      <w:r w:rsidR="00570A6D" w:rsidRPr="00542B4F">
        <w:rPr>
          <w:i/>
          <w:iCs/>
        </w:rPr>
        <w:t>Russia</w:t>
      </w:r>
      <w:r w:rsidRPr="00542B4F">
        <w:rPr>
          <w:lang w:eastAsia="en-GB"/>
        </w:rPr>
        <w:t>, no. </w:t>
      </w:r>
      <w:r w:rsidR="00570A6D" w:rsidRPr="00542B4F">
        <w:t>40384/06</w:t>
      </w:r>
      <w:r w:rsidR="00570A6D" w:rsidRPr="00542B4F">
        <w:rPr>
          <w:lang w:eastAsia="en-GB"/>
        </w:rPr>
        <w:t xml:space="preserve">, </w:t>
      </w:r>
      <w:r w:rsidR="00570A6D" w:rsidRPr="00542B4F">
        <w:t xml:space="preserve">§ 34, 24 October 2017; </w:t>
      </w:r>
      <w:r w:rsidR="009225EA" w:rsidRPr="00542B4F">
        <w:t xml:space="preserve">and </w:t>
      </w:r>
      <w:r w:rsidR="009225EA" w:rsidRPr="00542B4F">
        <w:rPr>
          <w:i/>
        </w:rPr>
        <w:t>Olisov and Others v. Russia</w:t>
      </w:r>
      <w:r w:rsidRPr="00542B4F">
        <w:t>, nos. </w:t>
      </w:r>
      <w:r w:rsidR="009225EA" w:rsidRPr="00542B4F">
        <w:t>10825/09 and 2 others, §§ 80-82, 2 May 2017</w:t>
      </w:r>
      <w:r w:rsidR="00EC437A" w:rsidRPr="00542B4F">
        <w:t>).</w:t>
      </w:r>
    </w:p>
    <w:p w:rsidR="00135FF8" w:rsidRPr="00542B4F" w:rsidRDefault="005679FB" w:rsidP="00542B4F">
      <w:pPr>
        <w:pStyle w:val="ECHRPara"/>
      </w:pPr>
      <w:r w:rsidRPr="00542B4F">
        <w:lastRenderedPageBreak/>
        <w:fldChar w:fldCharType="begin"/>
      </w:r>
      <w:r w:rsidRPr="00542B4F">
        <w:instrText xml:space="preserve"> SEQ level0 \*arabic </w:instrText>
      </w:r>
      <w:r w:rsidRPr="00542B4F">
        <w:fldChar w:fldCharType="separate"/>
      </w:r>
      <w:r w:rsidR="00542B4F" w:rsidRPr="00542B4F">
        <w:rPr>
          <w:noProof/>
        </w:rPr>
        <w:t>54</w:t>
      </w:r>
      <w:r w:rsidRPr="00542B4F">
        <w:rPr>
          <w:noProof/>
        </w:rPr>
        <w:fldChar w:fldCharType="end"/>
      </w:r>
      <w:r w:rsidR="00890158" w:rsidRPr="00542B4F">
        <w:t>.  </w:t>
      </w:r>
      <w:r w:rsidR="00EC437A" w:rsidRPr="00542B4F">
        <w:t>The Court has no reason to hold otherwise in the present case, which involves credible allegations of ill-treatment of which the authorities were promptly made aware.</w:t>
      </w:r>
      <w:r w:rsidR="00890158" w:rsidRPr="00542B4F">
        <w:t xml:space="preserve"> </w:t>
      </w:r>
      <w:r w:rsidR="00866C3D" w:rsidRPr="00542B4F">
        <w:t xml:space="preserve">As a result of the refusal to conduct a fully-fledged criminal investigation, </w:t>
      </w:r>
      <w:r w:rsidR="00135FF8" w:rsidRPr="00542B4F">
        <w:t>such important investigative activities as, inter alia, confrontations, identification parades and witnesses</w:t>
      </w:r>
      <w:r w:rsidR="00542B4F" w:rsidRPr="00542B4F">
        <w:t>’</w:t>
      </w:r>
      <w:r w:rsidR="00135FF8" w:rsidRPr="00542B4F">
        <w:t xml:space="preserve"> examinations were never carried out. No attempt was made to explain the apparent discrepancies in the parties</w:t>
      </w:r>
      <w:r w:rsidR="00542B4F" w:rsidRPr="00542B4F">
        <w:t>’</w:t>
      </w:r>
      <w:r w:rsidR="00135FF8" w:rsidRPr="00542B4F">
        <w:t xml:space="preserve"> accounts of events, including contradictions in the police officers</w:t>
      </w:r>
      <w:r w:rsidR="00542B4F" w:rsidRPr="00542B4F">
        <w:t>’</w:t>
      </w:r>
      <w:r w:rsidR="00135FF8" w:rsidRPr="00542B4F">
        <w:t xml:space="preserve"> statements. The deputy prosecutor</w:t>
      </w:r>
      <w:r w:rsidR="00542B4F" w:rsidRPr="00542B4F">
        <w:t>’</w:t>
      </w:r>
      <w:r w:rsidR="00135FF8" w:rsidRPr="00542B4F">
        <w:t>s conclusions were unreservedly based on the “explanations” collected from three police officers who had allegedly ill-treated the applicant, as well as two investigators. Important witnesses, such as the applicant</w:t>
      </w:r>
      <w:r w:rsidR="00542B4F" w:rsidRPr="00542B4F">
        <w:t>’</w:t>
      </w:r>
      <w:r w:rsidR="00135FF8" w:rsidRPr="00542B4F">
        <w:t>s parents or the eyewitnesses to the arrest, were not interviewed, and an IVS officer had been questioned in unspecified proceedings six years after the events.</w:t>
      </w:r>
    </w:p>
    <w:p w:rsidR="00A627D7" w:rsidRPr="00542B4F" w:rsidRDefault="00C33000"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55</w:t>
      </w:r>
      <w:r w:rsidRPr="00542B4F">
        <w:fldChar w:fldCharType="end"/>
      </w:r>
      <w:r w:rsidRPr="00542B4F">
        <w:t>.  </w:t>
      </w:r>
      <w:r w:rsidR="002B5EF7" w:rsidRPr="00542B4F">
        <w:t xml:space="preserve">The Court </w:t>
      </w:r>
      <w:r w:rsidR="00A627D7" w:rsidRPr="00542B4F">
        <w:t xml:space="preserve">further notes </w:t>
      </w:r>
      <w:r w:rsidR="00796C9E" w:rsidRPr="00542B4F">
        <w:t xml:space="preserve">specifically </w:t>
      </w:r>
      <w:r w:rsidR="00A627D7" w:rsidRPr="00542B4F">
        <w:t>the domestic findings to the effect that the injuries had been the result of the use of handcuffs and physical force by the police officers in order to apprehend the applicant</w:t>
      </w:r>
      <w:r w:rsidR="00A05F74" w:rsidRPr="00542B4F">
        <w:t xml:space="preserve"> </w:t>
      </w:r>
      <w:r w:rsidR="00A627D7" w:rsidRPr="00542B4F">
        <w:t>who had actively resisted arrest (see paragraph </w:t>
      </w:r>
      <w:r w:rsidR="00A627D7" w:rsidRPr="00542B4F">
        <w:fldChar w:fldCharType="begin"/>
      </w:r>
      <w:r w:rsidR="00A627D7" w:rsidRPr="00542B4F">
        <w:instrText xml:space="preserve"> REF Refusal23032006reasoning \h </w:instrText>
      </w:r>
      <w:r w:rsidR="00A627D7" w:rsidRPr="00542B4F">
        <w:fldChar w:fldCharType="separate"/>
      </w:r>
      <w:r w:rsidR="00542B4F" w:rsidRPr="00542B4F">
        <w:rPr>
          <w:noProof/>
        </w:rPr>
        <w:t>31</w:t>
      </w:r>
      <w:r w:rsidR="00A627D7" w:rsidRPr="00542B4F">
        <w:fldChar w:fldCharType="end"/>
      </w:r>
      <w:r w:rsidR="00A627D7" w:rsidRPr="00542B4F">
        <w:t xml:space="preserve"> above). The Court </w:t>
      </w:r>
      <w:r w:rsidR="002B5EF7" w:rsidRPr="00542B4F">
        <w:t xml:space="preserve">reiterates its established case-law that the use of force by the police in the course of arrest operations will only not be in breach of </w:t>
      </w:r>
      <w:r w:rsidR="00D10CDC" w:rsidRPr="00542B4F">
        <w:t>Article </w:t>
      </w:r>
      <w:r w:rsidR="002B5EF7" w:rsidRPr="00542B4F">
        <w:t xml:space="preserve">3 of the Convention if indispensable and not excessive. The burden to prove this rests on the Government (see </w:t>
      </w:r>
      <w:r w:rsidR="002B5EF7" w:rsidRPr="00542B4F">
        <w:rPr>
          <w:i/>
        </w:rPr>
        <w:t>Rehbock v. Slovenia</w:t>
      </w:r>
      <w:r w:rsidR="002B5EF7" w:rsidRPr="00542B4F">
        <w:t>, no. 29462/95, §§ 72-78, ECHR 2000-XII, and</w:t>
      </w:r>
      <w:r w:rsidR="002B5EF7" w:rsidRPr="00542B4F">
        <w:rPr>
          <w:snapToGrid w:val="0"/>
        </w:rPr>
        <w:t xml:space="preserve"> </w:t>
      </w:r>
      <w:r w:rsidR="002B5EF7" w:rsidRPr="00542B4F">
        <w:rPr>
          <w:i/>
          <w:snapToGrid w:val="0"/>
        </w:rPr>
        <w:t>Matko v. Slovenia</w:t>
      </w:r>
      <w:r w:rsidR="002B5EF7" w:rsidRPr="00542B4F">
        <w:rPr>
          <w:snapToGrid w:val="0"/>
        </w:rPr>
        <w:t>, no. 43393/08, § 104, 2 November 2006</w:t>
      </w:r>
      <w:r w:rsidR="002B5EF7" w:rsidRPr="00542B4F">
        <w:t>).</w:t>
      </w:r>
    </w:p>
    <w:p w:rsidR="00F72D1B"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56</w:t>
      </w:r>
      <w:r w:rsidRPr="00542B4F">
        <w:rPr>
          <w:noProof/>
        </w:rPr>
        <w:fldChar w:fldCharType="end"/>
      </w:r>
      <w:r w:rsidR="002B5EF7" w:rsidRPr="00542B4F">
        <w:t>.  </w:t>
      </w:r>
      <w:r w:rsidR="00C32D95" w:rsidRPr="00542B4F">
        <w:t>However, in explaining the applicant</w:t>
      </w:r>
      <w:r w:rsidR="00542B4F" w:rsidRPr="00542B4F">
        <w:t>’</w:t>
      </w:r>
      <w:r w:rsidR="00C32D95" w:rsidRPr="00542B4F">
        <w:t>s injuries the investigating authority merely referred to the police officers</w:t>
      </w:r>
      <w:r w:rsidR="00542B4F" w:rsidRPr="00542B4F">
        <w:t>’</w:t>
      </w:r>
      <w:r w:rsidR="00C32D95" w:rsidRPr="00542B4F">
        <w:t xml:space="preserve"> general statements that they had used force lawfully. The authorities did not </w:t>
      </w:r>
      <w:r w:rsidR="001F0CC4" w:rsidRPr="00542B4F">
        <w:t xml:space="preserve">establish any specific acts of the police officers in using force and any actions on the part of the applicant which could have justified the use of force, failing to assess whether the use of force was indispensable and not excessive, as required by Article 3 of the Convention (see </w:t>
      </w:r>
      <w:r w:rsidR="00903950" w:rsidRPr="00542B4F">
        <w:rPr>
          <w:i/>
          <w:iCs/>
        </w:rPr>
        <w:t>Ksenz and Others v. Russia</w:t>
      </w:r>
      <w:r w:rsidR="00903950" w:rsidRPr="00542B4F">
        <w:rPr>
          <w:i/>
        </w:rPr>
        <w:t xml:space="preserve">, </w:t>
      </w:r>
      <w:r w:rsidR="00903950" w:rsidRPr="00542B4F">
        <w:t>nos. 45044/06 and 5 others</w:t>
      </w:r>
      <w:r w:rsidR="001F0CC4" w:rsidRPr="00542B4F">
        <w:t>, §§ 94 and 103</w:t>
      </w:r>
      <w:r w:rsidR="00903950" w:rsidRPr="00542B4F">
        <w:t>, 12 December 2017</w:t>
      </w:r>
      <w:r w:rsidR="001F0CC4" w:rsidRPr="00542B4F">
        <w:t>). The domestic decisions in th</w:t>
      </w:r>
      <w:r w:rsidR="00B67BDC" w:rsidRPr="00542B4F">
        <w:t>e relevant</w:t>
      </w:r>
      <w:r w:rsidR="001F0CC4" w:rsidRPr="00542B4F">
        <w:t xml:space="preserve"> part contained no more than a general reference to </w:t>
      </w:r>
      <w:r w:rsidR="002A53DA" w:rsidRPr="00542B4F">
        <w:t>the applicant</w:t>
      </w:r>
      <w:r w:rsidR="00542B4F" w:rsidRPr="00542B4F">
        <w:t>’</w:t>
      </w:r>
      <w:r w:rsidR="002A53DA" w:rsidRPr="00542B4F">
        <w:t xml:space="preserve">s </w:t>
      </w:r>
      <w:r w:rsidR="001F0CC4" w:rsidRPr="00542B4F">
        <w:t xml:space="preserve">“active resistance”, to which the appeal court added a brief remark to the effect that the applicant had attempted to hit and push the officers in order to escape. </w:t>
      </w:r>
      <w:r w:rsidR="0021279A" w:rsidRPr="00542B4F">
        <w:t>The authorities did not verify whether the police officers tried to use non-violent methods before resorting to force, and the assessment in this part was confined to the deputy prosecutor</w:t>
      </w:r>
      <w:r w:rsidR="00542B4F" w:rsidRPr="00542B4F">
        <w:t>’</w:t>
      </w:r>
      <w:r w:rsidR="0021279A" w:rsidRPr="00542B4F">
        <w:t xml:space="preserve">s statement </w:t>
      </w:r>
      <w:r w:rsidR="0097622C" w:rsidRPr="00542B4F">
        <w:t xml:space="preserve">reiterated by the courts </w:t>
      </w:r>
      <w:r w:rsidR="0021279A" w:rsidRPr="00542B4F">
        <w:t xml:space="preserve">that a prior notification of the use of the physical force “had been inappropriate”. </w:t>
      </w:r>
      <w:r w:rsidR="00537CD3" w:rsidRPr="00542B4F">
        <w:t xml:space="preserve">In any event, </w:t>
      </w:r>
      <w:r w:rsidR="00C32D95" w:rsidRPr="00542B4F">
        <w:t>the domestic findings contain no explanation as to how and why, in the course of the applicant</w:t>
      </w:r>
      <w:r w:rsidR="00542B4F" w:rsidRPr="00542B4F">
        <w:t>’</w:t>
      </w:r>
      <w:r w:rsidR="00C32D95" w:rsidRPr="00542B4F">
        <w:t xml:space="preserve">s arrest the police officers could have injured the applicant on the head, neck, forearms, back and hip (see </w:t>
      </w:r>
      <w:r w:rsidR="00C32D95" w:rsidRPr="00542B4F">
        <w:rPr>
          <w:i/>
        </w:rPr>
        <w:t>Markaryan v. Russia</w:t>
      </w:r>
      <w:r w:rsidR="00C32D95" w:rsidRPr="00542B4F">
        <w:t xml:space="preserve">, no. 12102/05, § 59, 4 April 2013). </w:t>
      </w:r>
      <w:r w:rsidR="0021279A" w:rsidRPr="00542B4F">
        <w:t>No</w:t>
      </w:r>
      <w:r w:rsidR="006F476D" w:rsidRPr="00542B4F">
        <w:t xml:space="preserve"> attempt was made to reconcile the police officers</w:t>
      </w:r>
      <w:r w:rsidR="00542B4F" w:rsidRPr="00542B4F">
        <w:t>’</w:t>
      </w:r>
      <w:r w:rsidR="006F476D" w:rsidRPr="00542B4F">
        <w:t xml:space="preserve"> statements with the applicant</w:t>
      </w:r>
      <w:r w:rsidR="00542B4F" w:rsidRPr="00542B4F">
        <w:t>’</w:t>
      </w:r>
      <w:r w:rsidR="006F476D" w:rsidRPr="00542B4F">
        <w:t xml:space="preserve">s injuries, or to distinguish between the injuries at various locations, at all (see </w:t>
      </w:r>
      <w:r w:rsidR="006F476D" w:rsidRPr="00542B4F">
        <w:rPr>
          <w:i/>
        </w:rPr>
        <w:t>Ryabtsev</w:t>
      </w:r>
      <w:r w:rsidR="006F476D" w:rsidRPr="00542B4F">
        <w:t xml:space="preserve">, </w:t>
      </w:r>
      <w:r w:rsidRPr="00542B4F">
        <w:t>cited above, § 83</w:t>
      </w:r>
      <w:r w:rsidR="006F476D" w:rsidRPr="00542B4F">
        <w:t xml:space="preserve">). </w:t>
      </w:r>
      <w:r w:rsidR="00352680" w:rsidRPr="00542B4F">
        <w:t>The applicant</w:t>
      </w:r>
      <w:r w:rsidR="00542B4F" w:rsidRPr="00542B4F">
        <w:t>’</w:t>
      </w:r>
      <w:r w:rsidR="00352680" w:rsidRPr="00542B4F">
        <w:t xml:space="preserve">s </w:t>
      </w:r>
      <w:r w:rsidR="00352680" w:rsidRPr="00542B4F">
        <w:lastRenderedPageBreak/>
        <w:t>allegations of police violence between his arrest and his placement in the pre</w:t>
      </w:r>
      <w:r w:rsidR="00352680" w:rsidRPr="00542B4F">
        <w:noBreakHyphen/>
        <w:t xml:space="preserve">trial detention facility were </w:t>
      </w:r>
      <w:r w:rsidR="00AC79F5" w:rsidRPr="00542B4F">
        <w:t>summarily rejected with reference to the police officers</w:t>
      </w:r>
      <w:r w:rsidR="00542B4F" w:rsidRPr="00542B4F">
        <w:t>’</w:t>
      </w:r>
      <w:r w:rsidR="00AC79F5" w:rsidRPr="00542B4F">
        <w:t xml:space="preserve"> statements</w:t>
      </w:r>
      <w:r w:rsidR="007B7C9D" w:rsidRPr="00542B4F">
        <w:t xml:space="preserve"> (see</w:t>
      </w:r>
      <w:r w:rsidR="00AC79F5" w:rsidRPr="00542B4F">
        <w:t>, in so far as relevant,</w:t>
      </w:r>
      <w:r w:rsidR="007B7C9D" w:rsidRPr="00542B4F">
        <w:t xml:space="preserve"> </w:t>
      </w:r>
      <w:r w:rsidR="007B7C9D" w:rsidRPr="00542B4F">
        <w:rPr>
          <w:i/>
        </w:rPr>
        <w:t>Konyayev v. Russia</w:t>
      </w:r>
      <w:r w:rsidR="007B7C9D" w:rsidRPr="00542B4F">
        <w:t>, no. 9759/09, § 55, 23 March 2019)</w:t>
      </w:r>
      <w:r w:rsidR="00352680" w:rsidRPr="00542B4F">
        <w:t>.</w:t>
      </w:r>
    </w:p>
    <w:bookmarkStart w:id="28" w:name="A3Investigation_end"/>
    <w:p w:rsidR="00EC437A" w:rsidRPr="00542B4F" w:rsidRDefault="009977F3"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57</w:t>
      </w:r>
      <w:r w:rsidRPr="00542B4F">
        <w:rPr>
          <w:noProof/>
        </w:rPr>
        <w:fldChar w:fldCharType="end"/>
      </w:r>
      <w:bookmarkEnd w:id="28"/>
      <w:r w:rsidR="002B5EF7" w:rsidRPr="00542B4F">
        <w:t>.  </w:t>
      </w:r>
      <w:r w:rsidR="00E27A99" w:rsidRPr="00542B4F">
        <w:t>Having regard to the above elements</w:t>
      </w:r>
      <w:r w:rsidR="00B67BDC" w:rsidRPr="00542B4F">
        <w:t>, the</w:t>
      </w:r>
      <w:r w:rsidR="00BD0EBA" w:rsidRPr="00542B4F">
        <w:t xml:space="preserve"> Court finds</w:t>
      </w:r>
      <w:r w:rsidR="00890158" w:rsidRPr="00542B4F">
        <w:t xml:space="preserve"> that the State has failed to carry out an effective investigation into the applicants</w:t>
      </w:r>
      <w:r w:rsidR="00542B4F" w:rsidRPr="00542B4F">
        <w:t>’</w:t>
      </w:r>
      <w:r w:rsidR="00890158" w:rsidRPr="00542B4F">
        <w:t xml:space="preserve"> allegations of police violence</w:t>
      </w:r>
      <w:r w:rsidR="00687268" w:rsidRPr="00542B4F">
        <w:t xml:space="preserve">, as required by </w:t>
      </w:r>
      <w:r w:rsidR="00B67BDC" w:rsidRPr="00542B4F">
        <w:t>Article </w:t>
      </w:r>
      <w:r w:rsidR="00890158" w:rsidRPr="00542B4F">
        <w:t>3 of the Convention.</w:t>
      </w:r>
    </w:p>
    <w:p w:rsidR="00687268" w:rsidRPr="00542B4F" w:rsidRDefault="00687268" w:rsidP="00542B4F">
      <w:pPr>
        <w:pStyle w:val="ECHRHeading4"/>
      </w:pPr>
      <w:r w:rsidRPr="00542B4F">
        <w:t>(c)  Whether the Government provided explanations capable of casting doubt on the applicant</w:t>
      </w:r>
      <w:r w:rsidR="00542B4F" w:rsidRPr="00542B4F">
        <w:t>’</w:t>
      </w:r>
      <w:r w:rsidRPr="00542B4F">
        <w:t>s account of events</w:t>
      </w:r>
    </w:p>
    <w:p w:rsidR="00890158"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58</w:t>
      </w:r>
      <w:r w:rsidRPr="00542B4F">
        <w:rPr>
          <w:noProof/>
        </w:rPr>
        <w:fldChar w:fldCharType="end"/>
      </w:r>
      <w:r w:rsidR="00890158" w:rsidRPr="00542B4F">
        <w:t>.  </w:t>
      </w:r>
      <w:r w:rsidR="00C33000" w:rsidRPr="00542B4F">
        <w:t>The Government stated that the applicant</w:t>
      </w:r>
      <w:r w:rsidR="00542B4F" w:rsidRPr="00542B4F">
        <w:t>’</w:t>
      </w:r>
      <w:r w:rsidR="00C33000" w:rsidRPr="00542B4F">
        <w:t xml:space="preserve">s injuries could have been sustained before his arrest, </w:t>
      </w:r>
      <w:r w:rsidR="003062D8" w:rsidRPr="00542B4F">
        <w:t xml:space="preserve">but did not provide any </w:t>
      </w:r>
      <w:r w:rsidR="00A205DB" w:rsidRPr="00542B4F">
        <w:t xml:space="preserve">details or </w:t>
      </w:r>
      <w:r w:rsidR="003062D8" w:rsidRPr="00542B4F">
        <w:t xml:space="preserve">evidentiary basis for this conjecture. </w:t>
      </w:r>
      <w:r w:rsidR="00A205DB" w:rsidRPr="00542B4F">
        <w:t>Further, they</w:t>
      </w:r>
      <w:r w:rsidR="003062D8" w:rsidRPr="00542B4F">
        <w:t xml:space="preserve"> </w:t>
      </w:r>
      <w:r w:rsidR="00C33000" w:rsidRPr="00542B4F">
        <w:t xml:space="preserve">did not exclude the possibility that they might also have been inflicted during the arrest. </w:t>
      </w:r>
      <w:r w:rsidR="00890158" w:rsidRPr="00542B4F">
        <w:t>Given that the Government</w:t>
      </w:r>
      <w:r w:rsidR="00542B4F" w:rsidRPr="00542B4F">
        <w:t>’</w:t>
      </w:r>
      <w:r w:rsidR="00890158" w:rsidRPr="00542B4F">
        <w:t>s explanations, denying the applicant</w:t>
      </w:r>
      <w:r w:rsidR="00542B4F" w:rsidRPr="00542B4F">
        <w:t>’</w:t>
      </w:r>
      <w:r w:rsidR="00890158" w:rsidRPr="00542B4F">
        <w:t>s credible allegations of the police violence, were provided as a result of the superficial domestic inquiry falling short of the requirements of Article 3</w:t>
      </w:r>
      <w:r w:rsidR="00C33000" w:rsidRPr="00542B4F">
        <w:t xml:space="preserve"> (as shown in paragraphs </w:t>
      </w:r>
      <w:r w:rsidR="00C33000" w:rsidRPr="00542B4F">
        <w:fldChar w:fldCharType="begin"/>
      </w:r>
      <w:r w:rsidR="00C33000" w:rsidRPr="00542B4F">
        <w:instrText xml:space="preserve"> REF A3Investigation1 \h </w:instrText>
      </w:r>
      <w:r w:rsidR="00C33000" w:rsidRPr="00542B4F">
        <w:fldChar w:fldCharType="separate"/>
      </w:r>
      <w:r w:rsidR="00542B4F" w:rsidRPr="00542B4F">
        <w:rPr>
          <w:noProof/>
        </w:rPr>
        <w:t>52</w:t>
      </w:r>
      <w:r w:rsidR="00C33000" w:rsidRPr="00542B4F">
        <w:fldChar w:fldCharType="end"/>
      </w:r>
      <w:r w:rsidR="00C33000" w:rsidRPr="00542B4F">
        <w:t>-</w:t>
      </w:r>
      <w:r w:rsidR="00C33000" w:rsidRPr="00542B4F">
        <w:fldChar w:fldCharType="begin"/>
      </w:r>
      <w:r w:rsidR="00C33000" w:rsidRPr="00542B4F">
        <w:instrText xml:space="preserve"> REF A3Investigation_end \h </w:instrText>
      </w:r>
      <w:r w:rsidR="00C33000" w:rsidRPr="00542B4F">
        <w:fldChar w:fldCharType="separate"/>
      </w:r>
      <w:r w:rsidR="00542B4F" w:rsidRPr="00542B4F">
        <w:rPr>
          <w:noProof/>
        </w:rPr>
        <w:t>57</w:t>
      </w:r>
      <w:r w:rsidR="00C33000" w:rsidRPr="00542B4F">
        <w:fldChar w:fldCharType="end"/>
      </w:r>
      <w:r w:rsidR="00C33000" w:rsidRPr="00542B4F">
        <w:t xml:space="preserve"> above)</w:t>
      </w:r>
      <w:r w:rsidR="00890158" w:rsidRPr="00542B4F">
        <w:t>, the Court finds that they cannot be considered satisfactory or convincing. It holds that the Government have failed to discharge their burden of proof and produce evidence capable of casting doubt on the applicant</w:t>
      </w:r>
      <w:r w:rsidR="00542B4F" w:rsidRPr="00542B4F">
        <w:t>’</w:t>
      </w:r>
      <w:r w:rsidR="00890158" w:rsidRPr="00542B4F">
        <w:t xml:space="preserve">s account of events, which it therefore finds established (see </w:t>
      </w:r>
      <w:r w:rsidR="00890158" w:rsidRPr="00542B4F">
        <w:rPr>
          <w:i/>
        </w:rPr>
        <w:t>Olisov and Others</w:t>
      </w:r>
      <w:r w:rsidR="007C2828" w:rsidRPr="00542B4F">
        <w:t xml:space="preserve">, </w:t>
      </w:r>
      <w:r w:rsidRPr="00542B4F">
        <w:t>cited above</w:t>
      </w:r>
      <w:r w:rsidR="00890158" w:rsidRPr="00542B4F">
        <w:t>, §</w:t>
      </w:r>
      <w:r w:rsidR="00890158" w:rsidRPr="00542B4F">
        <w:rPr>
          <w:rFonts w:cstheme="minorHAnsi"/>
        </w:rPr>
        <w:t>§</w:t>
      </w:r>
      <w:r w:rsidR="00694F71" w:rsidRPr="00542B4F">
        <w:t> </w:t>
      </w:r>
      <w:r w:rsidR="00890158" w:rsidRPr="00542B4F">
        <w:t xml:space="preserve">83-85, and </w:t>
      </w:r>
      <w:r w:rsidR="00890158" w:rsidRPr="00542B4F">
        <w:rPr>
          <w:i/>
          <w:iCs/>
        </w:rPr>
        <w:t>Ksenz and Others</w:t>
      </w:r>
      <w:r w:rsidR="007C2828" w:rsidRPr="00542B4F">
        <w:t xml:space="preserve">, </w:t>
      </w:r>
      <w:r w:rsidR="00903950" w:rsidRPr="00542B4F">
        <w:t>cited above</w:t>
      </w:r>
      <w:r w:rsidR="00694F71" w:rsidRPr="00542B4F">
        <w:t>, §§ </w:t>
      </w:r>
      <w:r w:rsidR="00903950" w:rsidRPr="00542B4F">
        <w:t>102</w:t>
      </w:r>
      <w:r w:rsidR="00903950" w:rsidRPr="00542B4F">
        <w:noBreakHyphen/>
        <w:t>04</w:t>
      </w:r>
      <w:r w:rsidR="00890158" w:rsidRPr="00542B4F">
        <w:t>).</w:t>
      </w:r>
    </w:p>
    <w:p w:rsidR="00687268" w:rsidRPr="00542B4F" w:rsidRDefault="00687268" w:rsidP="00542B4F">
      <w:pPr>
        <w:pStyle w:val="ECHRHeading4"/>
      </w:pPr>
      <w:r w:rsidRPr="00542B4F">
        <w:t>(d)  Legal classification of the treatment</w:t>
      </w:r>
    </w:p>
    <w:p w:rsidR="00890158"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59</w:t>
      </w:r>
      <w:r w:rsidRPr="00542B4F">
        <w:rPr>
          <w:noProof/>
        </w:rPr>
        <w:fldChar w:fldCharType="end"/>
      </w:r>
      <w:r w:rsidR="00890158" w:rsidRPr="00542B4F">
        <w:t xml:space="preserve">.  Having regard to the physical and mental effects of the ill-treatment in question, the Court is satisfied that the accumulation of the acts of physical violence inflicted on the applicant on 12 March 2006 amounted to </w:t>
      </w:r>
      <w:r w:rsidR="009977F3" w:rsidRPr="00542B4F">
        <w:t>inhuman and degrading treatment</w:t>
      </w:r>
      <w:r w:rsidR="00890158" w:rsidRPr="00542B4F">
        <w:t>, in violation of Article 3 of the Convention</w:t>
      </w:r>
      <w:r w:rsidR="00497A64" w:rsidRPr="00542B4F">
        <w:t xml:space="preserve"> (see, among others, </w:t>
      </w:r>
      <w:r w:rsidR="00497A64" w:rsidRPr="00542B4F">
        <w:rPr>
          <w:i/>
        </w:rPr>
        <w:t>Mostipan v. Russia</w:t>
      </w:r>
      <w:r w:rsidR="00497A64" w:rsidRPr="00542B4F">
        <w:t>, no. 12042/09, §§ 58</w:t>
      </w:r>
      <w:r w:rsidR="00497A64" w:rsidRPr="00542B4F">
        <w:noBreakHyphen/>
        <w:t xml:space="preserve">61, 16 October 2014; </w:t>
      </w:r>
      <w:r w:rsidR="00497A64" w:rsidRPr="00542B4F">
        <w:rPr>
          <w:i/>
        </w:rPr>
        <w:t>Nasakin v. Russia</w:t>
      </w:r>
      <w:r w:rsidR="00497A64" w:rsidRPr="00542B4F">
        <w:t>, no. 22735/05, §§ 51-55, 18 July 2013;</w:t>
      </w:r>
      <w:r w:rsidR="00497A64" w:rsidRPr="00542B4F">
        <w:rPr>
          <w:i/>
        </w:rPr>
        <w:t xml:space="preserve"> </w:t>
      </w:r>
      <w:r w:rsidR="00497A64" w:rsidRPr="00542B4F">
        <w:t>and</w:t>
      </w:r>
      <w:r w:rsidR="00497A64" w:rsidRPr="00542B4F">
        <w:rPr>
          <w:i/>
        </w:rPr>
        <w:t xml:space="preserve"> </w:t>
      </w:r>
      <w:r w:rsidR="00D51D5F" w:rsidRPr="00542B4F">
        <w:rPr>
          <w:i/>
        </w:rPr>
        <w:t>Gorshchuk v. </w:t>
      </w:r>
      <w:r w:rsidR="00497A64" w:rsidRPr="00542B4F">
        <w:rPr>
          <w:i/>
        </w:rPr>
        <w:t>Russia</w:t>
      </w:r>
      <w:r w:rsidR="00497A64" w:rsidRPr="00542B4F">
        <w:t>, no. 31316/09, § 33, 6 October 2015).</w:t>
      </w:r>
    </w:p>
    <w:p w:rsidR="00F72D1B" w:rsidRPr="00542B4F" w:rsidRDefault="00687268" w:rsidP="00542B4F">
      <w:pPr>
        <w:pStyle w:val="ECHRHeading4"/>
      </w:pPr>
      <w:r w:rsidRPr="00542B4F">
        <w:t>(</w:t>
      </w:r>
      <w:r w:rsidR="00981E86" w:rsidRPr="00542B4F">
        <w:t>e</w:t>
      </w:r>
      <w:r w:rsidRPr="00542B4F">
        <w:t>)  Conclusion</w:t>
      </w:r>
    </w:p>
    <w:p w:rsidR="00890158" w:rsidRPr="00542B4F" w:rsidRDefault="005679FB"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60</w:t>
      </w:r>
      <w:r w:rsidRPr="00542B4F">
        <w:rPr>
          <w:noProof/>
        </w:rPr>
        <w:fldChar w:fldCharType="end"/>
      </w:r>
      <w:r w:rsidR="00890158" w:rsidRPr="00542B4F">
        <w:t>.  </w:t>
      </w:r>
      <w:r w:rsidR="00687268" w:rsidRPr="00542B4F">
        <w:t>There has accordingly been a v</w:t>
      </w:r>
      <w:r w:rsidR="007311E1" w:rsidRPr="00542B4F">
        <w:t>iolation of Article </w:t>
      </w:r>
      <w:r w:rsidR="00687268" w:rsidRPr="00542B4F">
        <w:t>3 of the Convention under its substantive and procedural limbs.</w:t>
      </w:r>
    </w:p>
    <w:p w:rsidR="00721DBF" w:rsidRPr="00542B4F" w:rsidRDefault="007330F9" w:rsidP="00542B4F">
      <w:pPr>
        <w:pStyle w:val="ECHRHeading1"/>
      </w:pPr>
      <w:r w:rsidRPr="00542B4F">
        <w:t>II.  A</w:t>
      </w:r>
      <w:r w:rsidR="002773E9" w:rsidRPr="00542B4F">
        <w:t>LLEGED VIOLATION OF ARTICLE 13</w:t>
      </w:r>
      <w:r w:rsidR="00014566" w:rsidRPr="00542B4F">
        <w:t xml:space="preserve"> OF THE CONVENTION</w:t>
      </w:r>
      <w:r w:rsidR="00721DBF" w:rsidRPr="00542B4F">
        <w:t xml:space="preserve"> IN CONJUNCTION WITH AR</w:t>
      </w:r>
      <w:r w:rsidR="008069D0" w:rsidRPr="00542B4F">
        <w:t>TICLE </w:t>
      </w:r>
      <w:r w:rsidR="00721DBF" w:rsidRPr="00542B4F">
        <w:t>3 OF THE CONVENTION</w:t>
      </w:r>
    </w:p>
    <w:p w:rsidR="00721DBF" w:rsidRPr="00542B4F" w:rsidRDefault="00721DBF"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61</w:t>
      </w:r>
      <w:r w:rsidRPr="00542B4F">
        <w:fldChar w:fldCharType="end"/>
      </w:r>
      <w:r w:rsidRPr="00542B4F">
        <w:t xml:space="preserve">.  The applicant </w:t>
      </w:r>
      <w:r w:rsidR="00BE0D8E" w:rsidRPr="00542B4F">
        <w:t>complained</w:t>
      </w:r>
      <w:r w:rsidR="00990A1C" w:rsidRPr="00542B4F">
        <w:t>,</w:t>
      </w:r>
      <w:r w:rsidRPr="00542B4F">
        <w:t xml:space="preserve"> under Article 13 of the Conventio</w:t>
      </w:r>
      <w:r w:rsidR="00BE0D8E" w:rsidRPr="00542B4F">
        <w:t>n in conjunction with Article 3</w:t>
      </w:r>
      <w:r w:rsidR="00990A1C" w:rsidRPr="00542B4F">
        <w:t>,</w:t>
      </w:r>
      <w:r w:rsidRPr="00542B4F">
        <w:t xml:space="preserve"> that the authorities had failed to carry out an </w:t>
      </w:r>
      <w:r w:rsidRPr="00542B4F">
        <w:lastRenderedPageBreak/>
        <w:t>effective investigation into</w:t>
      </w:r>
      <w:r w:rsidR="00221742" w:rsidRPr="00542B4F">
        <w:t xml:space="preserve"> his complaint of ill-treatment.</w:t>
      </w:r>
      <w:r w:rsidRPr="00542B4F">
        <w:t xml:space="preserve"> Article 13 reads as follows:</w:t>
      </w:r>
    </w:p>
    <w:p w:rsidR="00721DBF" w:rsidRPr="00542B4F" w:rsidRDefault="00721DBF" w:rsidP="00542B4F">
      <w:pPr>
        <w:pStyle w:val="ECHRParaQuote"/>
      </w:pPr>
      <w:r w:rsidRPr="00542B4F">
        <w:t>“Everyone whose rights and freedoms as set forth in [the] Convention are violated shall have an effective remedy before a national authority notwithstanding that the violation has been committed by persons acting in an official capacity.”</w:t>
      </w:r>
    </w:p>
    <w:p w:rsidR="00721DBF" w:rsidRPr="00542B4F" w:rsidRDefault="00721DBF"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62</w:t>
      </w:r>
      <w:r w:rsidRPr="00542B4F">
        <w:fldChar w:fldCharType="end"/>
      </w:r>
      <w:r w:rsidRPr="00542B4F">
        <w:t xml:space="preserve">.  The Government </w:t>
      </w:r>
      <w:r w:rsidR="00221742" w:rsidRPr="00542B4F">
        <w:t xml:space="preserve">contested that claim, arguing that the applicant was able to challenge the refusal to open criminal proceedings </w:t>
      </w:r>
      <w:r w:rsidR="00EF1E70" w:rsidRPr="00542B4F">
        <w:t xml:space="preserve">in </w:t>
      </w:r>
      <w:r w:rsidR="00221742" w:rsidRPr="00542B4F">
        <w:t>court and made use of that opportunity.</w:t>
      </w:r>
    </w:p>
    <w:p w:rsidR="00721DBF" w:rsidRPr="00542B4F" w:rsidRDefault="00721DBF"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63</w:t>
      </w:r>
      <w:r w:rsidRPr="00542B4F">
        <w:fldChar w:fldCharType="end"/>
      </w:r>
      <w:r w:rsidRPr="00542B4F">
        <w:t>.  The Court notes that the complaint submitted under Article 13 of the Convention is closely linked to the issue raised under the procedural aspect of Article 3 of the Convention and that, therefore, this complaint should be declared admissible. However, having regard to the fi</w:t>
      </w:r>
      <w:r w:rsidR="006E3C5B" w:rsidRPr="00542B4F">
        <w:t>nding of a violation of Article </w:t>
      </w:r>
      <w:r w:rsidRPr="00542B4F">
        <w:t>3 under its procedural head on account of the respondent State</w:t>
      </w:r>
      <w:r w:rsidR="00542B4F" w:rsidRPr="00542B4F">
        <w:t>’</w:t>
      </w:r>
      <w:r w:rsidRPr="00542B4F">
        <w:t xml:space="preserve">s failure to carry out an effective investigation, it considers that it is not necessary to examine </w:t>
      </w:r>
      <w:r w:rsidR="00AF65C4" w:rsidRPr="00542B4F">
        <w:t>t</w:t>
      </w:r>
      <w:r w:rsidRPr="00542B4F">
        <w:t xml:space="preserve">his complaint </w:t>
      </w:r>
      <w:r w:rsidR="00AF65C4" w:rsidRPr="00542B4F">
        <w:t xml:space="preserve">separately </w:t>
      </w:r>
      <w:r w:rsidRPr="00542B4F">
        <w:t>under Article 13 of the Convention</w:t>
      </w:r>
      <w:r w:rsidR="00291A3E" w:rsidRPr="00542B4F">
        <w:t xml:space="preserve"> (see </w:t>
      </w:r>
      <w:r w:rsidR="00291A3E" w:rsidRPr="00542B4F">
        <w:rPr>
          <w:i/>
        </w:rPr>
        <w:t>Lyapin</w:t>
      </w:r>
      <w:r w:rsidR="00291A3E" w:rsidRPr="00542B4F">
        <w:t>, cited above, § 144)</w:t>
      </w:r>
      <w:r w:rsidRPr="00542B4F">
        <w:t>.</w:t>
      </w:r>
    </w:p>
    <w:p w:rsidR="00014566" w:rsidRPr="00542B4F" w:rsidRDefault="002773E9" w:rsidP="00542B4F">
      <w:pPr>
        <w:pStyle w:val="ECHRHeading1"/>
      </w:pPr>
      <w:r w:rsidRPr="00542B4F">
        <w:t>III</w:t>
      </w:r>
      <w:r w:rsidR="00721DBF" w:rsidRPr="00542B4F">
        <w:t>.  APPLICATION OF ARTICLE </w:t>
      </w:r>
      <w:r w:rsidR="00014566" w:rsidRPr="00542B4F">
        <w:t>41 OF THE CONVENTION</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64</w:t>
      </w:r>
      <w:r w:rsidRPr="00542B4F">
        <w:fldChar w:fldCharType="end"/>
      </w:r>
      <w:r w:rsidR="00014566" w:rsidRPr="00542B4F">
        <w:t>.  Article</w:t>
      </w:r>
      <w:r w:rsidR="00721DBF" w:rsidRPr="00542B4F">
        <w:t> </w:t>
      </w:r>
      <w:r w:rsidR="00014566" w:rsidRPr="00542B4F">
        <w:t>41 of the Convention provides:</w:t>
      </w:r>
    </w:p>
    <w:p w:rsidR="00014566" w:rsidRPr="00542B4F" w:rsidRDefault="00014566" w:rsidP="00542B4F">
      <w:pPr>
        <w:pStyle w:val="ECHRParaQuote"/>
        <w:keepNext/>
        <w:keepLines/>
      </w:pPr>
      <w:r w:rsidRPr="00542B4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14566" w:rsidRPr="00542B4F" w:rsidRDefault="00014566" w:rsidP="00542B4F">
      <w:pPr>
        <w:pStyle w:val="ECHRHeading2"/>
      </w:pPr>
      <w:r w:rsidRPr="00542B4F">
        <w:t>A.  Damage</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65</w:t>
      </w:r>
      <w:r w:rsidRPr="00542B4F">
        <w:fldChar w:fldCharType="end"/>
      </w:r>
      <w:r w:rsidR="00014566" w:rsidRPr="00542B4F">
        <w:t xml:space="preserve">.  The applicant claimed </w:t>
      </w:r>
      <w:r w:rsidR="00CA7E66" w:rsidRPr="00542B4F">
        <w:t>50,000 </w:t>
      </w:r>
      <w:r w:rsidR="00903950" w:rsidRPr="00542B4F">
        <w:t>euros (EUR) in respect of non</w:t>
      </w:r>
      <w:r w:rsidR="00903950" w:rsidRPr="00542B4F">
        <w:noBreakHyphen/>
      </w:r>
      <w:r w:rsidR="00014566" w:rsidRPr="00542B4F">
        <w:t>pecuniary damage.</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66</w:t>
      </w:r>
      <w:r w:rsidRPr="00542B4F">
        <w:fldChar w:fldCharType="end"/>
      </w:r>
      <w:r w:rsidR="00014566" w:rsidRPr="00542B4F">
        <w:t xml:space="preserve">.  The Government </w:t>
      </w:r>
      <w:r w:rsidR="000268ED" w:rsidRPr="00542B4F">
        <w:t>contested the claim as excessive and ill-founded</w:t>
      </w:r>
      <w:r w:rsidR="00564459" w:rsidRPr="00542B4F">
        <w:t xml:space="preserve"> and considered that the finding of a violation would constitute a sufficient just satisfaction</w:t>
      </w:r>
      <w:r w:rsidR="000268ED" w:rsidRPr="00542B4F">
        <w:t>.</w:t>
      </w:r>
    </w:p>
    <w:p w:rsidR="00014566" w:rsidRPr="00542B4F" w:rsidRDefault="00017F87" w:rsidP="00542B4F">
      <w:pPr>
        <w:pStyle w:val="ECHRPara"/>
        <w:rPr>
          <w:strike/>
        </w:rPr>
      </w:pPr>
      <w:r w:rsidRPr="00542B4F">
        <w:fldChar w:fldCharType="begin"/>
      </w:r>
      <w:r w:rsidRPr="00542B4F">
        <w:instrText xml:space="preserve"> SEQ level0 \*arabic </w:instrText>
      </w:r>
      <w:r w:rsidRPr="00542B4F">
        <w:fldChar w:fldCharType="separate"/>
      </w:r>
      <w:r w:rsidR="00542B4F" w:rsidRPr="00542B4F">
        <w:rPr>
          <w:noProof/>
        </w:rPr>
        <w:t>67</w:t>
      </w:r>
      <w:r w:rsidRPr="00542B4F">
        <w:fldChar w:fldCharType="end"/>
      </w:r>
      <w:r w:rsidR="00014566" w:rsidRPr="00542B4F">
        <w:t>.  </w:t>
      </w:r>
      <w:r w:rsidR="009F7373" w:rsidRPr="00542B4F">
        <w:t xml:space="preserve">The Court has found a violation of Article 3 of the Convention in its substantive and procedural aspects. </w:t>
      </w:r>
      <w:r w:rsidR="00EF1E70" w:rsidRPr="00542B4F">
        <w:t xml:space="preserve">It </w:t>
      </w:r>
      <w:r w:rsidR="009F7373" w:rsidRPr="00542B4F">
        <w:t xml:space="preserve">accepts that the applicant has suffered non-pecuniary damage which cannot be compensated for solely by the finding of </w:t>
      </w:r>
      <w:r w:rsidR="00326DF0" w:rsidRPr="00542B4F">
        <w:t xml:space="preserve">the </w:t>
      </w:r>
      <w:r w:rsidR="009F7373" w:rsidRPr="00542B4F">
        <w:t>violation</w:t>
      </w:r>
      <w:r w:rsidR="00326DF0" w:rsidRPr="00542B4F">
        <w:t>s</w:t>
      </w:r>
      <w:r w:rsidR="009F7373" w:rsidRPr="00542B4F">
        <w:t xml:space="preserve">. It therefore </w:t>
      </w:r>
      <w:r w:rsidR="00014566" w:rsidRPr="00542B4F">
        <w:t>awards the applicant EUR</w:t>
      </w:r>
      <w:r w:rsidR="009F7373" w:rsidRPr="00542B4F">
        <w:t> </w:t>
      </w:r>
      <w:r w:rsidR="00442EBB" w:rsidRPr="00542B4F">
        <w:t>25,000</w:t>
      </w:r>
      <w:r w:rsidR="00014566" w:rsidRPr="00542B4F">
        <w:t xml:space="preserve"> in </w:t>
      </w:r>
      <w:r w:rsidR="00DF7B9F" w:rsidRPr="00542B4F">
        <w:t>respect of non-pecuniary damage</w:t>
      </w:r>
      <w:r w:rsidR="009F7373" w:rsidRPr="00542B4F">
        <w:rPr>
          <w:rFonts w:ascii="Times New Roman" w:hAnsi="Times New Roman" w:cs="Times New Roman"/>
          <w:color w:val="000000"/>
          <w:sz w:val="20"/>
          <w:szCs w:val="20"/>
        </w:rPr>
        <w:t xml:space="preserve">, </w:t>
      </w:r>
      <w:r w:rsidR="009F7373" w:rsidRPr="00542B4F">
        <w:t>plus any tax that may be chargeable, and dismisse</w:t>
      </w:r>
      <w:r w:rsidR="00A0042C" w:rsidRPr="00542B4F">
        <w:t>s</w:t>
      </w:r>
      <w:r w:rsidR="009F7373" w:rsidRPr="00542B4F">
        <w:t xml:space="preserve"> the remain</w:t>
      </w:r>
      <w:r w:rsidR="00A0042C" w:rsidRPr="00542B4F">
        <w:t>der</w:t>
      </w:r>
      <w:r w:rsidR="009F7373" w:rsidRPr="00542B4F">
        <w:t xml:space="preserve"> of the claim under this head.</w:t>
      </w:r>
    </w:p>
    <w:p w:rsidR="00014566" w:rsidRPr="00542B4F" w:rsidRDefault="00014566" w:rsidP="00542B4F">
      <w:pPr>
        <w:pStyle w:val="ECHRHeading2"/>
      </w:pPr>
      <w:r w:rsidRPr="00542B4F">
        <w:t>B.  Costs and expenses</w:t>
      </w:r>
    </w:p>
    <w:p w:rsidR="00AC43E0" w:rsidRPr="00542B4F" w:rsidRDefault="003B273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68</w:t>
      </w:r>
      <w:r w:rsidRPr="00542B4F">
        <w:fldChar w:fldCharType="end"/>
      </w:r>
      <w:r w:rsidRPr="00542B4F">
        <w:t>.  </w:t>
      </w:r>
      <w:r w:rsidR="00014566" w:rsidRPr="00542B4F">
        <w:t>The applicant also claimed EUR</w:t>
      </w:r>
      <w:r w:rsidR="00D8031F" w:rsidRPr="00542B4F">
        <w:rPr>
          <w:b/>
          <w:bCs/>
        </w:rPr>
        <w:t> </w:t>
      </w:r>
      <w:r w:rsidR="00D8031F" w:rsidRPr="00542B4F">
        <w:rPr>
          <w:bCs/>
        </w:rPr>
        <w:t xml:space="preserve">5,457 </w:t>
      </w:r>
      <w:r w:rsidR="00014566" w:rsidRPr="00542B4F">
        <w:t xml:space="preserve">for the costs and expenses incurred </w:t>
      </w:r>
      <w:r w:rsidR="00B8236D" w:rsidRPr="00542B4F">
        <w:t>both in the domestic proceedings and</w:t>
      </w:r>
      <w:r w:rsidR="00014566" w:rsidRPr="00542B4F">
        <w:t xml:space="preserve"> before the Court.</w:t>
      </w:r>
      <w:r w:rsidR="00D8031F" w:rsidRPr="00542B4F">
        <w:t xml:space="preserve"> </w:t>
      </w:r>
      <w:r w:rsidR="00DA4EA5" w:rsidRPr="00542B4F">
        <w:t xml:space="preserve">He </w:t>
      </w:r>
      <w:r w:rsidR="00DA4EA5" w:rsidRPr="00542B4F">
        <w:lastRenderedPageBreak/>
        <w:t>submitted a copy of an agreement between himself and the Committee Against Torture specifying</w:t>
      </w:r>
      <w:r w:rsidR="00AC43E0" w:rsidRPr="00542B4F">
        <w:t xml:space="preserve">, </w:t>
      </w:r>
      <w:r w:rsidR="00AC43E0" w:rsidRPr="00542B4F">
        <w:rPr>
          <w:i/>
        </w:rPr>
        <w:t>inter alia</w:t>
      </w:r>
      <w:r w:rsidR="00AC43E0" w:rsidRPr="00542B4F">
        <w:t xml:space="preserve">, </w:t>
      </w:r>
      <w:r w:rsidR="00DA4EA5" w:rsidRPr="00542B4F">
        <w:t>that the work by the NGO staff was billed at a rate of EUR 50 per hour and</w:t>
      </w:r>
      <w:r w:rsidR="00F94023" w:rsidRPr="00542B4F">
        <w:t xml:space="preserve"> work done by the organisation</w:t>
      </w:r>
      <w:r w:rsidR="00542B4F" w:rsidRPr="00542B4F">
        <w:t>’</w:t>
      </w:r>
      <w:r w:rsidR="00DA4EA5" w:rsidRPr="00542B4F">
        <w:t xml:space="preserve">s experts at an hourly rate of EUR 150. </w:t>
      </w:r>
      <w:r w:rsidR="00AC43E0" w:rsidRPr="00542B4F">
        <w:t>He further provided a breakdown of the costs, which included a total of thirty-four hours</w:t>
      </w:r>
      <w:r w:rsidR="00542B4F" w:rsidRPr="00542B4F">
        <w:t>’</w:t>
      </w:r>
      <w:r w:rsidR="00FA4C4E" w:rsidRPr="00542B4F">
        <w:t xml:space="preserve"> work done by the organisation</w:t>
      </w:r>
      <w:r w:rsidR="00542B4F" w:rsidRPr="00542B4F">
        <w:t>’</w:t>
      </w:r>
      <w:r w:rsidR="00AC43E0" w:rsidRPr="00542B4F">
        <w:t xml:space="preserve">s experts at an hourly rate of EUR 150, </w:t>
      </w:r>
      <w:r w:rsidR="00903950" w:rsidRPr="00542B4F">
        <w:t>totalling</w:t>
      </w:r>
      <w:r w:rsidR="00AC43E0" w:rsidRPr="00542B4F">
        <w:t xml:space="preserve"> EUR 5,100. He further claimed 7% of that amount, that is EUR 357, in office expenses. He submitted an invoice containing the costs of both </w:t>
      </w:r>
      <w:r w:rsidR="00F94023" w:rsidRPr="00542B4F">
        <w:t xml:space="preserve">thirty-four hours of legal </w:t>
      </w:r>
      <w:r w:rsidR="00AC43E0" w:rsidRPr="00542B4F">
        <w:t>work and “office expenses”. He requested that the payment be transferred</w:t>
      </w:r>
      <w:r w:rsidR="00745500" w:rsidRPr="00542B4F">
        <w:t xml:space="preserve"> directly to the representative</w:t>
      </w:r>
      <w:r w:rsidR="00AC43E0" w:rsidRPr="00542B4F">
        <w:t>s</w:t>
      </w:r>
      <w:r w:rsidR="00542B4F" w:rsidRPr="00542B4F">
        <w:t>’</w:t>
      </w:r>
      <w:r w:rsidR="00AC43E0" w:rsidRPr="00542B4F">
        <w:t xml:space="preserve"> bank account.</w:t>
      </w:r>
    </w:p>
    <w:p w:rsidR="00A0042C" w:rsidRPr="00542B4F" w:rsidRDefault="00AB38E2"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69</w:t>
      </w:r>
      <w:r w:rsidRPr="00542B4F">
        <w:fldChar w:fldCharType="end"/>
      </w:r>
      <w:r w:rsidRPr="00542B4F">
        <w:t>.  </w:t>
      </w:r>
      <w:r w:rsidR="00A0042C" w:rsidRPr="00542B4F">
        <w:t xml:space="preserve">The Government submitted that the applicant had failed to demonstrate that the expenses </w:t>
      </w:r>
      <w:r w:rsidR="00BA6AEE" w:rsidRPr="00542B4F">
        <w:t xml:space="preserve">claimed had been </w:t>
      </w:r>
      <w:r w:rsidR="00A0042C" w:rsidRPr="00542B4F">
        <w:t>actually and necessarily incurred.</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70</w:t>
      </w:r>
      <w:r w:rsidRPr="00542B4F">
        <w:fldChar w:fldCharType="end"/>
      </w:r>
      <w:r w:rsidR="00014566" w:rsidRPr="00542B4F">
        <w:t>.  </w:t>
      </w:r>
      <w:r w:rsidRPr="00542B4F">
        <w:t>According to the Court</w:t>
      </w:r>
      <w:r w:rsidR="00542B4F" w:rsidRPr="00542B4F">
        <w:t>’</w:t>
      </w:r>
      <w:r w:rsidRPr="00542B4F">
        <w:t>s case-law, an applicant is entitled to the reimbursement of costs and expenses only in so far as it has been shown that these have been actually and necessarily incurred and are reasonable as to quantum. In the present case, regard</w:t>
      </w:r>
      <w:r w:rsidR="00014566" w:rsidRPr="00542B4F">
        <w:t xml:space="preserve"> being had to the documents in its possession and </w:t>
      </w:r>
      <w:r w:rsidRPr="00542B4F">
        <w:t>the above criteria</w:t>
      </w:r>
      <w:r w:rsidR="00014566" w:rsidRPr="00542B4F">
        <w:t>, the Court considers it reasonable to awa</w:t>
      </w:r>
      <w:r w:rsidR="00D8031F" w:rsidRPr="00542B4F">
        <w:t>rd the sum of EUR </w:t>
      </w:r>
      <w:r w:rsidR="00D94B61" w:rsidRPr="00542B4F">
        <w:t>3,</w:t>
      </w:r>
      <w:r w:rsidR="00B07E56" w:rsidRPr="00542B4F">
        <w:t>6</w:t>
      </w:r>
      <w:r w:rsidR="009870C0" w:rsidRPr="00542B4F">
        <w:t>0</w:t>
      </w:r>
      <w:r w:rsidR="00D94B61" w:rsidRPr="00542B4F">
        <w:t>0</w:t>
      </w:r>
      <w:r w:rsidR="00014566" w:rsidRPr="00542B4F">
        <w:t xml:space="preserve"> covering costs under all heads</w:t>
      </w:r>
      <w:r w:rsidR="00D8031F" w:rsidRPr="00542B4F">
        <w:t>, plus any tax that may be chargeable to the applicant. The award is to be paid directly into the bank account of the applicant</w:t>
      </w:r>
      <w:r w:rsidR="00542B4F" w:rsidRPr="00542B4F">
        <w:t>’</w:t>
      </w:r>
      <w:r w:rsidR="00D8031F" w:rsidRPr="00542B4F">
        <w:t>s representative</w:t>
      </w:r>
      <w:r w:rsidR="00DC22DA" w:rsidRPr="00542B4F">
        <w:t>, as requested by him</w:t>
      </w:r>
      <w:r w:rsidR="00D8031F" w:rsidRPr="00542B4F">
        <w:t>. The Court rejects the remainder of the claim</w:t>
      </w:r>
      <w:r w:rsidR="006014E5" w:rsidRPr="00542B4F">
        <w:t>s</w:t>
      </w:r>
      <w:r w:rsidR="00D8031F" w:rsidRPr="00542B4F">
        <w:t xml:space="preserve"> under this head.</w:t>
      </w:r>
    </w:p>
    <w:p w:rsidR="00014566" w:rsidRPr="00542B4F" w:rsidRDefault="00014566" w:rsidP="00542B4F">
      <w:pPr>
        <w:pStyle w:val="ECHRHeading2"/>
      </w:pPr>
      <w:r w:rsidRPr="00542B4F">
        <w:t>C.  Default interest</w:t>
      </w:r>
    </w:p>
    <w:p w:rsidR="00014566" w:rsidRPr="00542B4F" w:rsidRDefault="00017F87" w:rsidP="00542B4F">
      <w:pPr>
        <w:pStyle w:val="ECHRPara"/>
      </w:pPr>
      <w:r w:rsidRPr="00542B4F">
        <w:fldChar w:fldCharType="begin"/>
      </w:r>
      <w:r w:rsidRPr="00542B4F">
        <w:instrText xml:space="preserve"> SEQ level0 \*arabic </w:instrText>
      </w:r>
      <w:r w:rsidRPr="00542B4F">
        <w:fldChar w:fldCharType="separate"/>
      </w:r>
      <w:r w:rsidR="00542B4F" w:rsidRPr="00542B4F">
        <w:rPr>
          <w:noProof/>
        </w:rPr>
        <w:t>71</w:t>
      </w:r>
      <w:r w:rsidRPr="00542B4F">
        <w:fldChar w:fldCharType="end"/>
      </w:r>
      <w:r w:rsidR="00014566" w:rsidRPr="00542B4F">
        <w:t>.  The Court considers it appropriate that the default interest rate should be based on the marginal lending rate of the European Central Bank, to which should be added three percentage points.</w:t>
      </w:r>
    </w:p>
    <w:p w:rsidR="0065362C" w:rsidRPr="00542B4F" w:rsidRDefault="00014566" w:rsidP="00542B4F">
      <w:pPr>
        <w:pStyle w:val="ECHRTitle1"/>
      </w:pPr>
      <w:r w:rsidRPr="00542B4F">
        <w:t>FOR THESE REASONS, THE COURT</w:t>
      </w:r>
      <w:r w:rsidR="0065362C" w:rsidRPr="00542B4F">
        <w:t>,</w:t>
      </w:r>
      <w:r w:rsidRPr="00542B4F">
        <w:t xml:space="preserve"> </w:t>
      </w:r>
      <w:r w:rsidR="0065362C" w:rsidRPr="00542B4F">
        <w:t>UNANIMOUSLY,</w:t>
      </w:r>
    </w:p>
    <w:p w:rsidR="00014566" w:rsidRPr="00542B4F" w:rsidRDefault="00014566" w:rsidP="00542B4F">
      <w:pPr>
        <w:pStyle w:val="JuList"/>
      </w:pPr>
      <w:r w:rsidRPr="00542B4F">
        <w:t>1.  </w:t>
      </w:r>
      <w:r w:rsidRPr="00542B4F">
        <w:rPr>
          <w:i/>
        </w:rPr>
        <w:t>Declares</w:t>
      </w:r>
      <w:r w:rsidR="00017F87" w:rsidRPr="00542B4F">
        <w:t xml:space="preserve"> </w:t>
      </w:r>
      <w:r w:rsidRPr="00542B4F">
        <w:t xml:space="preserve">the </w:t>
      </w:r>
      <w:r w:rsidR="00017F87" w:rsidRPr="00542B4F">
        <w:t>application</w:t>
      </w:r>
      <w:r w:rsidRPr="00542B4F">
        <w:t xml:space="preserve"> admissible;</w:t>
      </w:r>
    </w:p>
    <w:p w:rsidR="00014566" w:rsidRPr="00542B4F" w:rsidRDefault="00014566" w:rsidP="00542B4F">
      <w:pPr>
        <w:pStyle w:val="JuList"/>
      </w:pPr>
    </w:p>
    <w:p w:rsidR="00F72D1B" w:rsidRPr="00542B4F" w:rsidRDefault="00925B8B" w:rsidP="00542B4F">
      <w:pPr>
        <w:pStyle w:val="JuList"/>
        <w:rPr>
          <w:color w:val="1F497D"/>
        </w:rPr>
      </w:pPr>
      <w:r w:rsidRPr="00542B4F">
        <w:t>2.  </w:t>
      </w:r>
      <w:r w:rsidRPr="00542B4F">
        <w:rPr>
          <w:i/>
        </w:rPr>
        <w:t>Holds</w:t>
      </w:r>
      <w:r w:rsidRPr="00542B4F">
        <w:t xml:space="preserve"> that there has been a violation of Article 3 of the Convention </w:t>
      </w:r>
      <w:r w:rsidR="00AF65C4" w:rsidRPr="00542B4F">
        <w:t>under its substantive and procedural limbs;</w:t>
      </w:r>
    </w:p>
    <w:p w:rsidR="00014566" w:rsidRPr="00542B4F" w:rsidRDefault="00014566" w:rsidP="00542B4F">
      <w:pPr>
        <w:pStyle w:val="JuList"/>
      </w:pPr>
    </w:p>
    <w:p w:rsidR="00014566" w:rsidRPr="00542B4F" w:rsidRDefault="00AF65C4" w:rsidP="00542B4F">
      <w:pPr>
        <w:pStyle w:val="JuList"/>
      </w:pPr>
      <w:r w:rsidRPr="00542B4F">
        <w:t>3</w:t>
      </w:r>
      <w:r w:rsidR="00014566" w:rsidRPr="00542B4F">
        <w:t>.  </w:t>
      </w:r>
      <w:r w:rsidR="00014566" w:rsidRPr="00542B4F">
        <w:rPr>
          <w:i/>
        </w:rPr>
        <w:t>Holds</w:t>
      </w:r>
      <w:r w:rsidR="00014566" w:rsidRPr="00542B4F">
        <w:rPr>
          <w:color w:val="000000"/>
        </w:rPr>
        <w:t xml:space="preserve"> </w:t>
      </w:r>
      <w:r w:rsidR="00014566" w:rsidRPr="00542B4F">
        <w:t xml:space="preserve">that there is no need to examine </w:t>
      </w:r>
      <w:r w:rsidRPr="00542B4F">
        <w:t xml:space="preserve">separately </w:t>
      </w:r>
      <w:r w:rsidR="00014566" w:rsidRPr="00542B4F">
        <w:t>the complaint under Article</w:t>
      </w:r>
      <w:r w:rsidR="00A01935" w:rsidRPr="00542B4F">
        <w:t> 13</w:t>
      </w:r>
      <w:r w:rsidR="00014566" w:rsidRPr="00542B4F">
        <w:t xml:space="preserve"> of the Convention;</w:t>
      </w:r>
    </w:p>
    <w:p w:rsidR="00014566" w:rsidRPr="00542B4F" w:rsidRDefault="00014566" w:rsidP="00542B4F">
      <w:pPr>
        <w:pStyle w:val="JuList"/>
      </w:pPr>
    </w:p>
    <w:p w:rsidR="00F72D1B" w:rsidRPr="00542B4F" w:rsidRDefault="00AF65C4" w:rsidP="00542B4F">
      <w:pPr>
        <w:pStyle w:val="JuList"/>
        <w:keepNext/>
        <w:keepLines/>
      </w:pPr>
      <w:r w:rsidRPr="00542B4F">
        <w:lastRenderedPageBreak/>
        <w:t>4</w:t>
      </w:r>
      <w:r w:rsidR="00014566" w:rsidRPr="00542B4F">
        <w:t>.  </w:t>
      </w:r>
      <w:r w:rsidR="00014566" w:rsidRPr="00542B4F">
        <w:rPr>
          <w:i/>
        </w:rPr>
        <w:t>Holds</w:t>
      </w:r>
    </w:p>
    <w:p w:rsidR="00014566" w:rsidRPr="00542B4F" w:rsidRDefault="00014566" w:rsidP="00542B4F">
      <w:pPr>
        <w:pStyle w:val="JuLista"/>
        <w:keepNext/>
        <w:keepLines/>
      </w:pPr>
      <w:r w:rsidRPr="00542B4F">
        <w:t>(a)  that the respondent State is to pay the applicant, within three months</w:t>
      </w:r>
      <w:r w:rsidR="00017F87" w:rsidRPr="00542B4F">
        <w:t>,</w:t>
      </w:r>
      <w:r w:rsidRPr="00542B4F">
        <w:t xml:space="preserve"> the following amounts, </w:t>
      </w:r>
      <w:r w:rsidR="00964678" w:rsidRPr="00542B4F">
        <w:t xml:space="preserve">to be converted into </w:t>
      </w:r>
      <w:r w:rsidR="00964678" w:rsidRPr="00542B4F">
        <w:rPr>
          <w:color w:val="000000"/>
        </w:rPr>
        <w:t xml:space="preserve">the currency of the respondent State </w:t>
      </w:r>
      <w:r w:rsidR="00964678" w:rsidRPr="00542B4F">
        <w:t>at the rate applicable at the date of settlement</w:t>
      </w:r>
      <w:r w:rsidRPr="00542B4F">
        <w:t>:</w:t>
      </w:r>
    </w:p>
    <w:p w:rsidR="00014566" w:rsidRPr="00542B4F" w:rsidRDefault="00014566" w:rsidP="00542B4F">
      <w:pPr>
        <w:pStyle w:val="JuListi"/>
      </w:pPr>
      <w:r w:rsidRPr="00542B4F">
        <w:t>(i)  EUR</w:t>
      </w:r>
      <w:r w:rsidR="00606569" w:rsidRPr="00542B4F">
        <w:t> </w:t>
      </w:r>
      <w:r w:rsidR="00442EBB" w:rsidRPr="00542B4F">
        <w:t>25</w:t>
      </w:r>
      <w:r w:rsidR="0069744E" w:rsidRPr="00542B4F">
        <w:t>,000</w:t>
      </w:r>
      <w:r w:rsidRPr="00542B4F">
        <w:t xml:space="preserve"> (</w:t>
      </w:r>
      <w:r w:rsidR="00442EBB" w:rsidRPr="00542B4F">
        <w:t>twenty-five</w:t>
      </w:r>
      <w:r w:rsidR="004812DD" w:rsidRPr="00542B4F">
        <w:t xml:space="preserve"> thousand</w:t>
      </w:r>
      <w:r w:rsidRPr="00542B4F">
        <w:t xml:space="preserve"> euros), plus any tax that may be chargeable, in respect of non-pecuniary damage;</w:t>
      </w:r>
    </w:p>
    <w:p w:rsidR="00014566" w:rsidRPr="00542B4F" w:rsidRDefault="00A01935" w:rsidP="00542B4F">
      <w:pPr>
        <w:pStyle w:val="JuListi"/>
      </w:pPr>
      <w:r w:rsidRPr="00542B4F">
        <w:t>(i</w:t>
      </w:r>
      <w:r w:rsidR="00014566" w:rsidRPr="00542B4F">
        <w:t>i)  EUR</w:t>
      </w:r>
      <w:r w:rsidR="00606569" w:rsidRPr="00542B4F">
        <w:t> </w:t>
      </w:r>
      <w:r w:rsidR="00D94B61" w:rsidRPr="00542B4F">
        <w:t>3,</w:t>
      </w:r>
      <w:r w:rsidR="00B07E56" w:rsidRPr="00542B4F">
        <w:t>6</w:t>
      </w:r>
      <w:r w:rsidR="009870C0" w:rsidRPr="00542B4F">
        <w:t>0</w:t>
      </w:r>
      <w:r w:rsidR="00D94B61" w:rsidRPr="00542B4F">
        <w:t>0</w:t>
      </w:r>
      <w:r w:rsidR="00014566" w:rsidRPr="00542B4F">
        <w:t xml:space="preserve"> (</w:t>
      </w:r>
      <w:r w:rsidR="00D94B61" w:rsidRPr="00542B4F">
        <w:t xml:space="preserve">three </w:t>
      </w:r>
      <w:r w:rsidR="003B2737" w:rsidRPr="00542B4F">
        <w:t>thousand</w:t>
      </w:r>
      <w:r w:rsidR="00014566" w:rsidRPr="00542B4F">
        <w:t xml:space="preserve"> </w:t>
      </w:r>
      <w:r w:rsidR="00B07E56" w:rsidRPr="00542B4F">
        <w:t>six</w:t>
      </w:r>
      <w:r w:rsidR="00923C90" w:rsidRPr="00542B4F">
        <w:t xml:space="preserve"> hundred </w:t>
      </w:r>
      <w:r w:rsidR="00014566" w:rsidRPr="00542B4F">
        <w:t>euros), plus any tax that may be chargeable to the applicant, in respect of costs and expenses</w:t>
      </w:r>
      <w:r w:rsidR="00D8031F" w:rsidRPr="00542B4F">
        <w:t>,</w:t>
      </w:r>
      <w:r w:rsidR="00DC22DA" w:rsidRPr="00542B4F">
        <w:t xml:space="preserve"> to be paid directly to the applicant</w:t>
      </w:r>
      <w:r w:rsidR="00542B4F" w:rsidRPr="00542B4F">
        <w:t>’</w:t>
      </w:r>
      <w:r w:rsidR="00DC22DA" w:rsidRPr="00542B4F">
        <w:t>s representative</w:t>
      </w:r>
      <w:r w:rsidR="00014566" w:rsidRPr="00542B4F">
        <w:t>;</w:t>
      </w:r>
    </w:p>
    <w:p w:rsidR="00014566" w:rsidRPr="00542B4F" w:rsidRDefault="00014566" w:rsidP="00542B4F">
      <w:pPr>
        <w:pStyle w:val="JuLista"/>
      </w:pPr>
      <w:r w:rsidRPr="00542B4F">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014566" w:rsidRPr="00542B4F" w:rsidRDefault="00014566" w:rsidP="00542B4F">
      <w:pPr>
        <w:pStyle w:val="JuList"/>
      </w:pPr>
    </w:p>
    <w:p w:rsidR="00014566" w:rsidRPr="00542B4F" w:rsidRDefault="00AF65C4" w:rsidP="00542B4F">
      <w:pPr>
        <w:pStyle w:val="JuList"/>
      </w:pPr>
      <w:r w:rsidRPr="00542B4F">
        <w:t>5</w:t>
      </w:r>
      <w:r w:rsidR="00014566" w:rsidRPr="00542B4F">
        <w:t>.  </w:t>
      </w:r>
      <w:r w:rsidR="00014566" w:rsidRPr="00542B4F">
        <w:rPr>
          <w:i/>
        </w:rPr>
        <w:t>Dismisses</w:t>
      </w:r>
      <w:r w:rsidR="00017F87" w:rsidRPr="00542B4F">
        <w:t xml:space="preserve"> </w:t>
      </w:r>
      <w:r w:rsidR="00014566" w:rsidRPr="00542B4F">
        <w:t>the remainder of the applicant</w:t>
      </w:r>
      <w:r w:rsidR="00542B4F" w:rsidRPr="00542B4F">
        <w:t>’</w:t>
      </w:r>
      <w:r w:rsidR="00017F87" w:rsidRPr="00542B4F">
        <w:t>s</w:t>
      </w:r>
      <w:r w:rsidR="00014566" w:rsidRPr="00542B4F">
        <w:t xml:space="preserve"> claim for just satisfaction.</w:t>
      </w:r>
    </w:p>
    <w:p w:rsidR="00014566" w:rsidRPr="00542B4F" w:rsidRDefault="00014566" w:rsidP="00542B4F">
      <w:pPr>
        <w:pStyle w:val="JuParaLast"/>
      </w:pPr>
      <w:r w:rsidRPr="00542B4F">
        <w:t xml:space="preserve">Done in English, and notified in writing on </w:t>
      </w:r>
      <w:r w:rsidR="00142BC3" w:rsidRPr="00542B4F">
        <w:t>3 December 2019</w:t>
      </w:r>
      <w:r w:rsidRPr="00542B4F">
        <w:t>, pursuant to Rule 77 §§ 2 and 3 of the Rules of Court.</w:t>
      </w:r>
    </w:p>
    <w:p w:rsidR="004D15F3" w:rsidRPr="00542B4F" w:rsidRDefault="000808C5" w:rsidP="00542B4F">
      <w:pPr>
        <w:pStyle w:val="JuSigned"/>
      </w:pPr>
      <w:r w:rsidRPr="00542B4F">
        <w:tab/>
      </w:r>
      <w:r w:rsidR="00142BC3" w:rsidRPr="00542B4F">
        <w:t>Stephen Phillips</w:t>
      </w:r>
      <w:r w:rsidRPr="00542B4F">
        <w:tab/>
      </w:r>
      <w:r w:rsidR="00142BC3" w:rsidRPr="00542B4F">
        <w:rPr>
          <w:szCs w:val="24"/>
        </w:rPr>
        <w:t>Alena Poláčková</w:t>
      </w:r>
      <w:r w:rsidRPr="00542B4F">
        <w:rPr>
          <w:szCs w:val="24"/>
        </w:rPr>
        <w:br/>
      </w:r>
      <w:r w:rsidRPr="00542B4F">
        <w:tab/>
      </w:r>
      <w:r w:rsidRPr="00542B4F">
        <w:rPr>
          <w:iCs/>
        </w:rPr>
        <w:t xml:space="preserve">Registrar </w:t>
      </w:r>
      <w:r w:rsidRPr="00542B4F">
        <w:tab/>
        <w:t>President</w:t>
      </w:r>
    </w:p>
    <w:sectPr w:rsidR="004D15F3" w:rsidRPr="00542B4F" w:rsidSect="00142BC3">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76" w:rsidRDefault="00D90F76" w:rsidP="00014566">
      <w:r>
        <w:separator/>
      </w:r>
    </w:p>
  </w:endnote>
  <w:endnote w:type="continuationSeparator" w:id="0">
    <w:p w:rsidR="00D90F76" w:rsidRDefault="00D90F76"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C3" w:rsidRPr="00150BFA" w:rsidRDefault="00142BC3" w:rsidP="00142BC3">
    <w:pPr>
      <w:jc w:val="center"/>
    </w:pPr>
    <w:r>
      <w:rPr>
        <w:noProof/>
        <w:lang w:val="ru-RU" w:eastAsia="ru-RU"/>
      </w:rPr>
      <w:drawing>
        <wp:inline distT="0" distB="0" distL="0" distR="0" wp14:anchorId="10EB6960" wp14:editId="3236337C">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42BC3" w:rsidRDefault="00142BC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A4" w:rsidRDefault="00F06EA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A4" w:rsidRDefault="00F06EA4">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A4" w:rsidRPr="00150BFA" w:rsidRDefault="00F06EA4" w:rsidP="00142BC3">
    <w:pPr>
      <w:jc w:val="center"/>
    </w:pPr>
    <w:r>
      <w:rPr>
        <w:noProof/>
        <w:lang w:val="ru-RU" w:eastAsia="ru-RU"/>
      </w:rPr>
      <w:drawing>
        <wp:inline distT="0" distB="0" distL="0" distR="0" wp14:anchorId="35F84C29" wp14:editId="118EA168">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6EA4" w:rsidRDefault="00F06EA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76" w:rsidRDefault="00D90F76" w:rsidP="00014566">
      <w:r>
        <w:separator/>
      </w:r>
    </w:p>
  </w:footnote>
  <w:footnote w:type="continuationSeparator" w:id="0">
    <w:p w:rsidR="00D90F76" w:rsidRDefault="00D90F76" w:rsidP="0001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C3" w:rsidRPr="00142BC3" w:rsidRDefault="00142BC3" w:rsidP="00142BC3">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C3" w:rsidRPr="00A45145" w:rsidRDefault="00142BC3" w:rsidP="00142BC3">
    <w:pPr>
      <w:jc w:val="center"/>
    </w:pPr>
    <w:r>
      <w:rPr>
        <w:noProof/>
        <w:lang w:val="ru-RU" w:eastAsia="ru-RU"/>
      </w:rPr>
      <w:drawing>
        <wp:inline distT="0" distB="0" distL="0" distR="0" wp14:anchorId="07220E3E" wp14:editId="40890B9C">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42BC3" w:rsidRDefault="00142BC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C3" w:rsidRPr="00FF2306" w:rsidRDefault="00142BC3" w:rsidP="00EE1DA9">
    <w:pPr>
      <w:pStyle w:val="ECHRHeader"/>
    </w:pPr>
    <w:r>
      <w:rPr>
        <w:rStyle w:val="aff1"/>
        <w:szCs w:val="18"/>
      </w:rPr>
      <w:fldChar w:fldCharType="begin"/>
    </w:r>
    <w:r>
      <w:rPr>
        <w:rStyle w:val="aff1"/>
        <w:szCs w:val="18"/>
      </w:rPr>
      <w:instrText xml:space="preserve"> PAGE </w:instrText>
    </w:r>
    <w:r>
      <w:rPr>
        <w:rStyle w:val="aff1"/>
        <w:szCs w:val="18"/>
      </w:rPr>
      <w:fldChar w:fldCharType="separate"/>
    </w:r>
    <w:r w:rsidR="00AF0198">
      <w:rPr>
        <w:rStyle w:val="aff1"/>
        <w:noProof/>
        <w:szCs w:val="18"/>
      </w:rPr>
      <w:t>2</w:t>
    </w:r>
    <w:r>
      <w:rPr>
        <w:rStyle w:val="aff1"/>
        <w:szCs w:val="18"/>
      </w:rPr>
      <w:fldChar w:fldCharType="end"/>
    </w:r>
    <w:r w:rsidRPr="00FF2306">
      <w:tab/>
    </w:r>
    <w:r>
      <w:t>KONAKOV v. RUSSIA</w:t>
    </w:r>
    <w:r w:rsidR="00F06EA4">
      <w:t xml:space="preserve"> </w:t>
    </w:r>
    <w:r w:rsidR="00F06EA4" w:rsidRPr="00F06EA4">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BC3" w:rsidRPr="00D60D87" w:rsidRDefault="00142BC3" w:rsidP="00D60D87">
    <w:pPr>
      <w:pStyle w:val="ECHRHeader"/>
    </w:pPr>
    <w:r w:rsidRPr="00D60D87">
      <w:tab/>
    </w:r>
    <w:r>
      <w:t>KONAKOV v. RUSSIA</w:t>
    </w:r>
    <w:r w:rsidR="00F06EA4">
      <w:t xml:space="preserve"> </w:t>
    </w:r>
    <w:r w:rsidR="00F06EA4" w:rsidRPr="00F06EA4">
      <w:t>JUDGMENT</w:t>
    </w:r>
    <w:r w:rsidRPr="00D60D87">
      <w:tab/>
    </w:r>
    <w:r>
      <w:rPr>
        <w:rStyle w:val="aff1"/>
        <w:szCs w:val="18"/>
      </w:rPr>
      <w:fldChar w:fldCharType="begin"/>
    </w:r>
    <w:r>
      <w:rPr>
        <w:rStyle w:val="aff1"/>
        <w:szCs w:val="18"/>
      </w:rPr>
      <w:instrText xml:space="preserve"> PAGE </w:instrText>
    </w:r>
    <w:r>
      <w:rPr>
        <w:rStyle w:val="aff1"/>
        <w:szCs w:val="18"/>
      </w:rPr>
      <w:fldChar w:fldCharType="separate"/>
    </w:r>
    <w:r w:rsidR="00AF0198">
      <w:rPr>
        <w:rStyle w:val="aff1"/>
        <w:noProof/>
        <w:szCs w:val="18"/>
      </w:rPr>
      <w:t>1</w:t>
    </w:r>
    <w:r>
      <w:rPr>
        <w:rStyle w:val="aff1"/>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A4" w:rsidRPr="00A45145" w:rsidRDefault="00F06EA4" w:rsidP="00142BC3">
    <w:pPr>
      <w:jc w:val="center"/>
    </w:pPr>
    <w:r>
      <w:rPr>
        <w:noProof/>
        <w:lang w:val="ru-RU" w:eastAsia="ru-RU"/>
      </w:rPr>
      <w:drawing>
        <wp:inline distT="0" distB="0" distL="0" distR="0" wp14:anchorId="596F2245" wp14:editId="1782A00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6EA4" w:rsidRDefault="00F06EA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F7039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554E3"/>
    <w:multiLevelType w:val="hybridMultilevel"/>
    <w:tmpl w:val="7D92DA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92F51A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4"/>
  </w:num>
  <w:num w:numId="7">
    <w:abstractNumId w:val="11"/>
  </w:num>
  <w:num w:numId="8">
    <w:abstractNumId w:val="15"/>
  </w:num>
  <w:num w:numId="9">
    <w:abstractNumId w:val="10"/>
  </w:num>
  <w:num w:numId="10">
    <w:abstractNumId w:val="9"/>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6"/>
  </w:num>
  <w:num w:numId="24">
    <w:abstractNumId w:val="16"/>
  </w:num>
  <w:num w:numId="25">
    <w:abstractNumId w:val="16"/>
  </w:num>
  <w:num w:numId="26">
    <w:abstractNumId w:val="16"/>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017F87"/>
    <w:rsid w:val="000041F8"/>
    <w:rsid w:val="000042A8"/>
    <w:rsid w:val="00004308"/>
    <w:rsid w:val="00005BF0"/>
    <w:rsid w:val="00007154"/>
    <w:rsid w:val="00007A2F"/>
    <w:rsid w:val="000103AE"/>
    <w:rsid w:val="000104AE"/>
    <w:rsid w:val="00011D69"/>
    <w:rsid w:val="00012AD3"/>
    <w:rsid w:val="00013EBB"/>
    <w:rsid w:val="00014566"/>
    <w:rsid w:val="00015C2D"/>
    <w:rsid w:val="00015F00"/>
    <w:rsid w:val="00017F87"/>
    <w:rsid w:val="00022C1D"/>
    <w:rsid w:val="00026677"/>
    <w:rsid w:val="000268ED"/>
    <w:rsid w:val="00030A58"/>
    <w:rsid w:val="00034987"/>
    <w:rsid w:val="00037BC5"/>
    <w:rsid w:val="00044C9B"/>
    <w:rsid w:val="000602DF"/>
    <w:rsid w:val="00061B05"/>
    <w:rsid w:val="00062D5D"/>
    <w:rsid w:val="000632D5"/>
    <w:rsid w:val="000644EE"/>
    <w:rsid w:val="00064B22"/>
    <w:rsid w:val="00064CCB"/>
    <w:rsid w:val="00067719"/>
    <w:rsid w:val="000742EE"/>
    <w:rsid w:val="00075B41"/>
    <w:rsid w:val="000808C5"/>
    <w:rsid w:val="00083EDE"/>
    <w:rsid w:val="00087F40"/>
    <w:rsid w:val="000925AD"/>
    <w:rsid w:val="000A24EB"/>
    <w:rsid w:val="000A35F6"/>
    <w:rsid w:val="000A49D4"/>
    <w:rsid w:val="000A5E4C"/>
    <w:rsid w:val="000B6923"/>
    <w:rsid w:val="000C033C"/>
    <w:rsid w:val="000C193A"/>
    <w:rsid w:val="000C5F3C"/>
    <w:rsid w:val="000C6DCC"/>
    <w:rsid w:val="000C7129"/>
    <w:rsid w:val="000C7F24"/>
    <w:rsid w:val="000D17D4"/>
    <w:rsid w:val="000D47AA"/>
    <w:rsid w:val="000D721F"/>
    <w:rsid w:val="000E069B"/>
    <w:rsid w:val="000E0E82"/>
    <w:rsid w:val="000E1DC5"/>
    <w:rsid w:val="000E223F"/>
    <w:rsid w:val="000E7D45"/>
    <w:rsid w:val="000F5BC8"/>
    <w:rsid w:val="000F7851"/>
    <w:rsid w:val="001003D1"/>
    <w:rsid w:val="001013D3"/>
    <w:rsid w:val="00104DF7"/>
    <w:rsid w:val="00104E23"/>
    <w:rsid w:val="00104F5B"/>
    <w:rsid w:val="0011145E"/>
    <w:rsid w:val="00111B0C"/>
    <w:rsid w:val="00112CE0"/>
    <w:rsid w:val="00120D6C"/>
    <w:rsid w:val="001228C2"/>
    <w:rsid w:val="001257EC"/>
    <w:rsid w:val="001322A7"/>
    <w:rsid w:val="00133D33"/>
    <w:rsid w:val="00133D69"/>
    <w:rsid w:val="00134728"/>
    <w:rsid w:val="00134D64"/>
    <w:rsid w:val="00135A30"/>
    <w:rsid w:val="00135FF8"/>
    <w:rsid w:val="0013612C"/>
    <w:rsid w:val="00137FF6"/>
    <w:rsid w:val="00141650"/>
    <w:rsid w:val="00142BC3"/>
    <w:rsid w:val="001478FF"/>
    <w:rsid w:val="00152590"/>
    <w:rsid w:val="001547E2"/>
    <w:rsid w:val="00161F71"/>
    <w:rsid w:val="00162A12"/>
    <w:rsid w:val="00165040"/>
    <w:rsid w:val="0016613B"/>
    <w:rsid w:val="00166530"/>
    <w:rsid w:val="0017180C"/>
    <w:rsid w:val="00181432"/>
    <w:rsid w:val="0018145B"/>
    <w:rsid w:val="001827EC"/>
    <w:rsid w:val="001832BD"/>
    <w:rsid w:val="001925A6"/>
    <w:rsid w:val="001943B5"/>
    <w:rsid w:val="00195049"/>
    <w:rsid w:val="00195134"/>
    <w:rsid w:val="00196F7D"/>
    <w:rsid w:val="001A145B"/>
    <w:rsid w:val="001A16CA"/>
    <w:rsid w:val="001A2A36"/>
    <w:rsid w:val="001A674C"/>
    <w:rsid w:val="001B3B24"/>
    <w:rsid w:val="001B3EC2"/>
    <w:rsid w:val="001B74F1"/>
    <w:rsid w:val="001C0F98"/>
    <w:rsid w:val="001C2A42"/>
    <w:rsid w:val="001D5F48"/>
    <w:rsid w:val="001D63ED"/>
    <w:rsid w:val="001D6526"/>
    <w:rsid w:val="001D7348"/>
    <w:rsid w:val="001E035B"/>
    <w:rsid w:val="001E0961"/>
    <w:rsid w:val="001E3EAE"/>
    <w:rsid w:val="001E6F32"/>
    <w:rsid w:val="001F0CC4"/>
    <w:rsid w:val="001F2145"/>
    <w:rsid w:val="001F5613"/>
    <w:rsid w:val="001F5981"/>
    <w:rsid w:val="001F6262"/>
    <w:rsid w:val="001F67B0"/>
    <w:rsid w:val="001F7B3D"/>
    <w:rsid w:val="00205F9F"/>
    <w:rsid w:val="002064BE"/>
    <w:rsid w:val="00207389"/>
    <w:rsid w:val="00210338"/>
    <w:rsid w:val="002115FC"/>
    <w:rsid w:val="002117CF"/>
    <w:rsid w:val="0021279A"/>
    <w:rsid w:val="0021423C"/>
    <w:rsid w:val="00221742"/>
    <w:rsid w:val="0022723B"/>
    <w:rsid w:val="00230D00"/>
    <w:rsid w:val="00231DF7"/>
    <w:rsid w:val="00231F27"/>
    <w:rsid w:val="00231FD1"/>
    <w:rsid w:val="002339E0"/>
    <w:rsid w:val="00233CF8"/>
    <w:rsid w:val="0023575D"/>
    <w:rsid w:val="00237148"/>
    <w:rsid w:val="00237979"/>
    <w:rsid w:val="002416FF"/>
    <w:rsid w:val="0024222D"/>
    <w:rsid w:val="0024264F"/>
    <w:rsid w:val="00244B0E"/>
    <w:rsid w:val="00244F6C"/>
    <w:rsid w:val="0024574C"/>
    <w:rsid w:val="0025260D"/>
    <w:rsid w:val="00252EC6"/>
    <w:rsid w:val="002532C5"/>
    <w:rsid w:val="00260C03"/>
    <w:rsid w:val="0026540E"/>
    <w:rsid w:val="00270678"/>
    <w:rsid w:val="002709F8"/>
    <w:rsid w:val="002737A9"/>
    <w:rsid w:val="00275123"/>
    <w:rsid w:val="002773E9"/>
    <w:rsid w:val="00277720"/>
    <w:rsid w:val="00282240"/>
    <w:rsid w:val="0028572A"/>
    <w:rsid w:val="002859A7"/>
    <w:rsid w:val="00286B67"/>
    <w:rsid w:val="00290F97"/>
    <w:rsid w:val="00291A3E"/>
    <w:rsid w:val="002948AD"/>
    <w:rsid w:val="00294C92"/>
    <w:rsid w:val="0029553E"/>
    <w:rsid w:val="00297D97"/>
    <w:rsid w:val="002A01CC"/>
    <w:rsid w:val="002A2DBC"/>
    <w:rsid w:val="002A53DA"/>
    <w:rsid w:val="002A61B1"/>
    <w:rsid w:val="002A644D"/>
    <w:rsid w:val="002A663C"/>
    <w:rsid w:val="002B24E9"/>
    <w:rsid w:val="002B444B"/>
    <w:rsid w:val="002B5887"/>
    <w:rsid w:val="002B5EF7"/>
    <w:rsid w:val="002B7C26"/>
    <w:rsid w:val="002C0692"/>
    <w:rsid w:val="002C0E27"/>
    <w:rsid w:val="002C14B4"/>
    <w:rsid w:val="002C3040"/>
    <w:rsid w:val="002C6674"/>
    <w:rsid w:val="002D022D"/>
    <w:rsid w:val="002D24BB"/>
    <w:rsid w:val="002D2BD4"/>
    <w:rsid w:val="002D364C"/>
    <w:rsid w:val="002D3E14"/>
    <w:rsid w:val="002E1F21"/>
    <w:rsid w:val="002E3CBF"/>
    <w:rsid w:val="002F1EEF"/>
    <w:rsid w:val="002F2AF7"/>
    <w:rsid w:val="002F4940"/>
    <w:rsid w:val="002F7E1C"/>
    <w:rsid w:val="00301A75"/>
    <w:rsid w:val="0030280F"/>
    <w:rsid w:val="00302F70"/>
    <w:rsid w:val="0030336F"/>
    <w:rsid w:val="00303759"/>
    <w:rsid w:val="0030375E"/>
    <w:rsid w:val="003050BF"/>
    <w:rsid w:val="003062D8"/>
    <w:rsid w:val="003117E7"/>
    <w:rsid w:val="00312A30"/>
    <w:rsid w:val="00314CA1"/>
    <w:rsid w:val="00320F72"/>
    <w:rsid w:val="0032463E"/>
    <w:rsid w:val="00325BC6"/>
    <w:rsid w:val="00326224"/>
    <w:rsid w:val="00326DF0"/>
    <w:rsid w:val="00330B4B"/>
    <w:rsid w:val="00337EE4"/>
    <w:rsid w:val="00340FFD"/>
    <w:rsid w:val="00341A36"/>
    <w:rsid w:val="0034384E"/>
    <w:rsid w:val="003438A5"/>
    <w:rsid w:val="00344952"/>
    <w:rsid w:val="003506B1"/>
    <w:rsid w:val="00352680"/>
    <w:rsid w:val="00356AC7"/>
    <w:rsid w:val="003609FA"/>
    <w:rsid w:val="0036606A"/>
    <w:rsid w:val="003710C8"/>
    <w:rsid w:val="00373844"/>
    <w:rsid w:val="003750BE"/>
    <w:rsid w:val="0037668A"/>
    <w:rsid w:val="003804C2"/>
    <w:rsid w:val="00380A66"/>
    <w:rsid w:val="00387B9D"/>
    <w:rsid w:val="0039191B"/>
    <w:rsid w:val="0039364F"/>
    <w:rsid w:val="00393A21"/>
    <w:rsid w:val="00396686"/>
    <w:rsid w:val="0039778E"/>
    <w:rsid w:val="003A3E26"/>
    <w:rsid w:val="003A736B"/>
    <w:rsid w:val="003B000D"/>
    <w:rsid w:val="003B2737"/>
    <w:rsid w:val="003B2BE3"/>
    <w:rsid w:val="003B4501"/>
    <w:rsid w:val="003B4941"/>
    <w:rsid w:val="003C0822"/>
    <w:rsid w:val="003C5714"/>
    <w:rsid w:val="003C6B9F"/>
    <w:rsid w:val="003C6D3D"/>
    <w:rsid w:val="003C6E2A"/>
    <w:rsid w:val="003C6FC8"/>
    <w:rsid w:val="003D0299"/>
    <w:rsid w:val="003D029F"/>
    <w:rsid w:val="003D42B8"/>
    <w:rsid w:val="003E231F"/>
    <w:rsid w:val="003E6D80"/>
    <w:rsid w:val="003F05FA"/>
    <w:rsid w:val="003F244A"/>
    <w:rsid w:val="003F30B8"/>
    <w:rsid w:val="003F4C45"/>
    <w:rsid w:val="003F5F7B"/>
    <w:rsid w:val="003F68E6"/>
    <w:rsid w:val="003F7D64"/>
    <w:rsid w:val="004104D1"/>
    <w:rsid w:val="00410D9B"/>
    <w:rsid w:val="00414300"/>
    <w:rsid w:val="00421460"/>
    <w:rsid w:val="0042253D"/>
    <w:rsid w:val="00425C67"/>
    <w:rsid w:val="00427BB9"/>
    <w:rsid w:val="00427E7A"/>
    <w:rsid w:val="00432E72"/>
    <w:rsid w:val="00436307"/>
    <w:rsid w:val="00436C49"/>
    <w:rsid w:val="00442EBB"/>
    <w:rsid w:val="00444AC9"/>
    <w:rsid w:val="00445366"/>
    <w:rsid w:val="00447297"/>
    <w:rsid w:val="00447EDC"/>
    <w:rsid w:val="00447F5B"/>
    <w:rsid w:val="0045315D"/>
    <w:rsid w:val="00454FBE"/>
    <w:rsid w:val="00455E5F"/>
    <w:rsid w:val="00461DB0"/>
    <w:rsid w:val="00463926"/>
    <w:rsid w:val="004640F7"/>
    <w:rsid w:val="004646E0"/>
    <w:rsid w:val="00464C9A"/>
    <w:rsid w:val="0046564E"/>
    <w:rsid w:val="00466B6A"/>
    <w:rsid w:val="00467A0A"/>
    <w:rsid w:val="00467F52"/>
    <w:rsid w:val="00474F3D"/>
    <w:rsid w:val="00477E3A"/>
    <w:rsid w:val="004812DD"/>
    <w:rsid w:val="00482685"/>
    <w:rsid w:val="00483E5F"/>
    <w:rsid w:val="00484018"/>
    <w:rsid w:val="00485FF9"/>
    <w:rsid w:val="004907F0"/>
    <w:rsid w:val="0049140B"/>
    <w:rsid w:val="004923A5"/>
    <w:rsid w:val="00496BFB"/>
    <w:rsid w:val="00497A64"/>
    <w:rsid w:val="004A15C7"/>
    <w:rsid w:val="004A7438"/>
    <w:rsid w:val="004B013B"/>
    <w:rsid w:val="004B112B"/>
    <w:rsid w:val="004C01E4"/>
    <w:rsid w:val="004C086C"/>
    <w:rsid w:val="004C1F56"/>
    <w:rsid w:val="004C1FD7"/>
    <w:rsid w:val="004C27BC"/>
    <w:rsid w:val="004C7C82"/>
    <w:rsid w:val="004D0117"/>
    <w:rsid w:val="004D15F3"/>
    <w:rsid w:val="004D1894"/>
    <w:rsid w:val="004D5311"/>
    <w:rsid w:val="004D576E"/>
    <w:rsid w:val="004D5DCC"/>
    <w:rsid w:val="004E085D"/>
    <w:rsid w:val="004E31D2"/>
    <w:rsid w:val="004F10AF"/>
    <w:rsid w:val="004F11A4"/>
    <w:rsid w:val="004F2389"/>
    <w:rsid w:val="004F304D"/>
    <w:rsid w:val="004F61BE"/>
    <w:rsid w:val="004F66B1"/>
    <w:rsid w:val="00511672"/>
    <w:rsid w:val="00511C07"/>
    <w:rsid w:val="0051439C"/>
    <w:rsid w:val="005173A6"/>
    <w:rsid w:val="00520BAA"/>
    <w:rsid w:val="00525208"/>
    <w:rsid w:val="005257A5"/>
    <w:rsid w:val="00525D4F"/>
    <w:rsid w:val="005264C0"/>
    <w:rsid w:val="00526A8A"/>
    <w:rsid w:val="00531B5C"/>
    <w:rsid w:val="00531C35"/>
    <w:rsid w:val="00531DF2"/>
    <w:rsid w:val="0053462A"/>
    <w:rsid w:val="005359EC"/>
    <w:rsid w:val="00537CD3"/>
    <w:rsid w:val="00542B4F"/>
    <w:rsid w:val="005442EE"/>
    <w:rsid w:val="00547353"/>
    <w:rsid w:val="005474E7"/>
    <w:rsid w:val="00550200"/>
    <w:rsid w:val="005512A3"/>
    <w:rsid w:val="005578CE"/>
    <w:rsid w:val="00562781"/>
    <w:rsid w:val="00564459"/>
    <w:rsid w:val="005679FB"/>
    <w:rsid w:val="00567DF6"/>
    <w:rsid w:val="00570A6D"/>
    <w:rsid w:val="0057271C"/>
    <w:rsid w:val="00572845"/>
    <w:rsid w:val="00574D47"/>
    <w:rsid w:val="0057799D"/>
    <w:rsid w:val="00577D5A"/>
    <w:rsid w:val="00592772"/>
    <w:rsid w:val="00593473"/>
    <w:rsid w:val="0059574A"/>
    <w:rsid w:val="005967E5"/>
    <w:rsid w:val="00597F31"/>
    <w:rsid w:val="005A1B9B"/>
    <w:rsid w:val="005A6751"/>
    <w:rsid w:val="005B092E"/>
    <w:rsid w:val="005B152C"/>
    <w:rsid w:val="005B1BFC"/>
    <w:rsid w:val="005B1EE0"/>
    <w:rsid w:val="005B2B24"/>
    <w:rsid w:val="005B4425"/>
    <w:rsid w:val="005B4774"/>
    <w:rsid w:val="005B4B94"/>
    <w:rsid w:val="005B5BB8"/>
    <w:rsid w:val="005C0E4E"/>
    <w:rsid w:val="005C150A"/>
    <w:rsid w:val="005C361C"/>
    <w:rsid w:val="005C3EE8"/>
    <w:rsid w:val="005C7DEE"/>
    <w:rsid w:val="005D34F9"/>
    <w:rsid w:val="005D4190"/>
    <w:rsid w:val="005D67A3"/>
    <w:rsid w:val="005E2988"/>
    <w:rsid w:val="005E2A43"/>
    <w:rsid w:val="005E3085"/>
    <w:rsid w:val="005E499D"/>
    <w:rsid w:val="005F51E1"/>
    <w:rsid w:val="0060067B"/>
    <w:rsid w:val="006014E5"/>
    <w:rsid w:val="00606569"/>
    <w:rsid w:val="0060725D"/>
    <w:rsid w:val="00611C80"/>
    <w:rsid w:val="006137C1"/>
    <w:rsid w:val="00620692"/>
    <w:rsid w:val="006207D9"/>
    <w:rsid w:val="00623E51"/>
    <w:rsid w:val="006242CA"/>
    <w:rsid w:val="006271DF"/>
    <w:rsid w:val="00627507"/>
    <w:rsid w:val="00633717"/>
    <w:rsid w:val="006344E1"/>
    <w:rsid w:val="0065362C"/>
    <w:rsid w:val="006545C4"/>
    <w:rsid w:val="00661971"/>
    <w:rsid w:val="00661CE8"/>
    <w:rsid w:val="006623D9"/>
    <w:rsid w:val="00663580"/>
    <w:rsid w:val="0066550C"/>
    <w:rsid w:val="006676ED"/>
    <w:rsid w:val="006716F2"/>
    <w:rsid w:val="00673751"/>
    <w:rsid w:val="006765DE"/>
    <w:rsid w:val="00682BF2"/>
    <w:rsid w:val="00683474"/>
    <w:rsid w:val="006859CE"/>
    <w:rsid w:val="00687268"/>
    <w:rsid w:val="00691270"/>
    <w:rsid w:val="00693FB7"/>
    <w:rsid w:val="00694BA8"/>
    <w:rsid w:val="00694F71"/>
    <w:rsid w:val="0069744E"/>
    <w:rsid w:val="006A037C"/>
    <w:rsid w:val="006A1F3B"/>
    <w:rsid w:val="006A36F4"/>
    <w:rsid w:val="006A406F"/>
    <w:rsid w:val="006A5D3A"/>
    <w:rsid w:val="006A7E72"/>
    <w:rsid w:val="006C1886"/>
    <w:rsid w:val="006C23D4"/>
    <w:rsid w:val="006C5E7C"/>
    <w:rsid w:val="006C7BB0"/>
    <w:rsid w:val="006D3237"/>
    <w:rsid w:val="006D653B"/>
    <w:rsid w:val="006E20BF"/>
    <w:rsid w:val="006E2E37"/>
    <w:rsid w:val="006E3C5B"/>
    <w:rsid w:val="006E3CF1"/>
    <w:rsid w:val="006E7E80"/>
    <w:rsid w:val="006F2784"/>
    <w:rsid w:val="006F476D"/>
    <w:rsid w:val="006F48CA"/>
    <w:rsid w:val="006F64DD"/>
    <w:rsid w:val="007043E4"/>
    <w:rsid w:val="007101E8"/>
    <w:rsid w:val="00712947"/>
    <w:rsid w:val="00712CDC"/>
    <w:rsid w:val="0071326C"/>
    <w:rsid w:val="00715127"/>
    <w:rsid w:val="00715E8E"/>
    <w:rsid w:val="00721DBF"/>
    <w:rsid w:val="00723580"/>
    <w:rsid w:val="00723755"/>
    <w:rsid w:val="007311E1"/>
    <w:rsid w:val="0073136C"/>
    <w:rsid w:val="00731F0F"/>
    <w:rsid w:val="007328FD"/>
    <w:rsid w:val="007330F9"/>
    <w:rsid w:val="00733250"/>
    <w:rsid w:val="00740D39"/>
    <w:rsid w:val="00741404"/>
    <w:rsid w:val="007449E5"/>
    <w:rsid w:val="00745500"/>
    <w:rsid w:val="00746C5A"/>
    <w:rsid w:val="00747F41"/>
    <w:rsid w:val="00747FF0"/>
    <w:rsid w:val="00764D4E"/>
    <w:rsid w:val="00765A1F"/>
    <w:rsid w:val="00765A6D"/>
    <w:rsid w:val="0077129F"/>
    <w:rsid w:val="00775B6D"/>
    <w:rsid w:val="00776D68"/>
    <w:rsid w:val="007850EE"/>
    <w:rsid w:val="00785B95"/>
    <w:rsid w:val="007865FC"/>
    <w:rsid w:val="00790E96"/>
    <w:rsid w:val="00793366"/>
    <w:rsid w:val="00793F43"/>
    <w:rsid w:val="00796C9E"/>
    <w:rsid w:val="00797E68"/>
    <w:rsid w:val="007A11C6"/>
    <w:rsid w:val="007A712C"/>
    <w:rsid w:val="007A716F"/>
    <w:rsid w:val="007B270A"/>
    <w:rsid w:val="007B2852"/>
    <w:rsid w:val="007B7C9D"/>
    <w:rsid w:val="007C0695"/>
    <w:rsid w:val="007C2828"/>
    <w:rsid w:val="007C419A"/>
    <w:rsid w:val="007C4CC8"/>
    <w:rsid w:val="007C5426"/>
    <w:rsid w:val="007C5798"/>
    <w:rsid w:val="007C6635"/>
    <w:rsid w:val="007C7A55"/>
    <w:rsid w:val="007D0365"/>
    <w:rsid w:val="007D1D03"/>
    <w:rsid w:val="007D45CD"/>
    <w:rsid w:val="007D4832"/>
    <w:rsid w:val="007E04AE"/>
    <w:rsid w:val="007E21B2"/>
    <w:rsid w:val="007E2C4E"/>
    <w:rsid w:val="007F1432"/>
    <w:rsid w:val="007F1905"/>
    <w:rsid w:val="007F265C"/>
    <w:rsid w:val="00801062"/>
    <w:rsid w:val="00801300"/>
    <w:rsid w:val="00802892"/>
    <w:rsid w:val="00802C64"/>
    <w:rsid w:val="00805E52"/>
    <w:rsid w:val="008061D0"/>
    <w:rsid w:val="008069D0"/>
    <w:rsid w:val="00810B38"/>
    <w:rsid w:val="008115CE"/>
    <w:rsid w:val="008204C7"/>
    <w:rsid w:val="00820992"/>
    <w:rsid w:val="00823602"/>
    <w:rsid w:val="008255F5"/>
    <w:rsid w:val="0083014E"/>
    <w:rsid w:val="00830D07"/>
    <w:rsid w:val="0083214A"/>
    <w:rsid w:val="00833975"/>
    <w:rsid w:val="00834220"/>
    <w:rsid w:val="008345C2"/>
    <w:rsid w:val="00836114"/>
    <w:rsid w:val="00837898"/>
    <w:rsid w:val="00842723"/>
    <w:rsid w:val="00844D1E"/>
    <w:rsid w:val="00845723"/>
    <w:rsid w:val="0084622C"/>
    <w:rsid w:val="00851EF9"/>
    <w:rsid w:val="008577FD"/>
    <w:rsid w:val="00860B03"/>
    <w:rsid w:val="0086497A"/>
    <w:rsid w:val="00866C3D"/>
    <w:rsid w:val="008713A1"/>
    <w:rsid w:val="008721B4"/>
    <w:rsid w:val="008754AB"/>
    <w:rsid w:val="008755F1"/>
    <w:rsid w:val="00876A0C"/>
    <w:rsid w:val="0088060C"/>
    <w:rsid w:val="00884AC4"/>
    <w:rsid w:val="008851BA"/>
    <w:rsid w:val="00890158"/>
    <w:rsid w:val="0089298D"/>
    <w:rsid w:val="00893576"/>
    <w:rsid w:val="00893E73"/>
    <w:rsid w:val="008A0408"/>
    <w:rsid w:val="008A1BB5"/>
    <w:rsid w:val="008A43C4"/>
    <w:rsid w:val="008A73E6"/>
    <w:rsid w:val="008B02DC"/>
    <w:rsid w:val="008B4A03"/>
    <w:rsid w:val="008B57CE"/>
    <w:rsid w:val="008C26DE"/>
    <w:rsid w:val="008D186B"/>
    <w:rsid w:val="008D2225"/>
    <w:rsid w:val="008D4752"/>
    <w:rsid w:val="008D5ABB"/>
    <w:rsid w:val="008D5C72"/>
    <w:rsid w:val="008D5F01"/>
    <w:rsid w:val="008E271C"/>
    <w:rsid w:val="008E418E"/>
    <w:rsid w:val="008E5BC6"/>
    <w:rsid w:val="008E6A25"/>
    <w:rsid w:val="008F5193"/>
    <w:rsid w:val="008F5AED"/>
    <w:rsid w:val="008F6D7A"/>
    <w:rsid w:val="008F75DC"/>
    <w:rsid w:val="008F78D9"/>
    <w:rsid w:val="008F7DB6"/>
    <w:rsid w:val="009013A7"/>
    <w:rsid w:val="009017FB"/>
    <w:rsid w:val="009017FC"/>
    <w:rsid w:val="00903950"/>
    <w:rsid w:val="0090506B"/>
    <w:rsid w:val="009050C9"/>
    <w:rsid w:val="009066FC"/>
    <w:rsid w:val="009140A3"/>
    <w:rsid w:val="009144A2"/>
    <w:rsid w:val="0091510C"/>
    <w:rsid w:val="009225EA"/>
    <w:rsid w:val="00923C90"/>
    <w:rsid w:val="009259AC"/>
    <w:rsid w:val="00925B8B"/>
    <w:rsid w:val="00926F38"/>
    <w:rsid w:val="00930431"/>
    <w:rsid w:val="00931242"/>
    <w:rsid w:val="00934301"/>
    <w:rsid w:val="009368E2"/>
    <w:rsid w:val="00936CD1"/>
    <w:rsid w:val="00937770"/>
    <w:rsid w:val="00940C1E"/>
    <w:rsid w:val="00941747"/>
    <w:rsid w:val="00941EFB"/>
    <w:rsid w:val="0094297D"/>
    <w:rsid w:val="00947AFB"/>
    <w:rsid w:val="009503EA"/>
    <w:rsid w:val="00950C41"/>
    <w:rsid w:val="00951D7D"/>
    <w:rsid w:val="00957F09"/>
    <w:rsid w:val="0096151D"/>
    <w:rsid w:val="0096154E"/>
    <w:rsid w:val="00961FF9"/>
    <w:rsid w:val="009630C7"/>
    <w:rsid w:val="00964678"/>
    <w:rsid w:val="009671DE"/>
    <w:rsid w:val="00970303"/>
    <w:rsid w:val="00972B55"/>
    <w:rsid w:val="009743B7"/>
    <w:rsid w:val="00975A90"/>
    <w:rsid w:val="0097622C"/>
    <w:rsid w:val="00977BCB"/>
    <w:rsid w:val="00981E86"/>
    <w:rsid w:val="0098228B"/>
    <w:rsid w:val="009828DA"/>
    <w:rsid w:val="009853FD"/>
    <w:rsid w:val="00985BAB"/>
    <w:rsid w:val="009870C0"/>
    <w:rsid w:val="00990A1C"/>
    <w:rsid w:val="00995CD5"/>
    <w:rsid w:val="009977F3"/>
    <w:rsid w:val="009A24F3"/>
    <w:rsid w:val="009A2BC3"/>
    <w:rsid w:val="009B1B5F"/>
    <w:rsid w:val="009B2EC2"/>
    <w:rsid w:val="009B6673"/>
    <w:rsid w:val="009C191B"/>
    <w:rsid w:val="009C2BD6"/>
    <w:rsid w:val="009E1F32"/>
    <w:rsid w:val="009E7305"/>
    <w:rsid w:val="009E776C"/>
    <w:rsid w:val="009F091A"/>
    <w:rsid w:val="009F46AD"/>
    <w:rsid w:val="009F4C9F"/>
    <w:rsid w:val="009F7373"/>
    <w:rsid w:val="00A0042C"/>
    <w:rsid w:val="00A01935"/>
    <w:rsid w:val="00A039BF"/>
    <w:rsid w:val="00A05F74"/>
    <w:rsid w:val="00A07F98"/>
    <w:rsid w:val="00A111AC"/>
    <w:rsid w:val="00A11207"/>
    <w:rsid w:val="00A14C85"/>
    <w:rsid w:val="00A1726E"/>
    <w:rsid w:val="00A204CF"/>
    <w:rsid w:val="00A205DB"/>
    <w:rsid w:val="00A2386F"/>
    <w:rsid w:val="00A23D49"/>
    <w:rsid w:val="00A27004"/>
    <w:rsid w:val="00A30C29"/>
    <w:rsid w:val="00A34DD6"/>
    <w:rsid w:val="00A36819"/>
    <w:rsid w:val="00A36989"/>
    <w:rsid w:val="00A3735F"/>
    <w:rsid w:val="00A43628"/>
    <w:rsid w:val="00A51AA0"/>
    <w:rsid w:val="00A54192"/>
    <w:rsid w:val="00A6035E"/>
    <w:rsid w:val="00A611FC"/>
    <w:rsid w:val="00A6144C"/>
    <w:rsid w:val="00A627D7"/>
    <w:rsid w:val="00A66617"/>
    <w:rsid w:val="00A671F8"/>
    <w:rsid w:val="00A673A4"/>
    <w:rsid w:val="00A67F15"/>
    <w:rsid w:val="00A724AE"/>
    <w:rsid w:val="00A73329"/>
    <w:rsid w:val="00A766ED"/>
    <w:rsid w:val="00A82359"/>
    <w:rsid w:val="00A865D2"/>
    <w:rsid w:val="00A86F2D"/>
    <w:rsid w:val="00A90F4F"/>
    <w:rsid w:val="00A94C20"/>
    <w:rsid w:val="00A955B9"/>
    <w:rsid w:val="00AA105D"/>
    <w:rsid w:val="00AA227F"/>
    <w:rsid w:val="00AA3704"/>
    <w:rsid w:val="00AA3BC7"/>
    <w:rsid w:val="00AA754A"/>
    <w:rsid w:val="00AB099E"/>
    <w:rsid w:val="00AB20E1"/>
    <w:rsid w:val="00AB38E2"/>
    <w:rsid w:val="00AB4328"/>
    <w:rsid w:val="00AC0E5D"/>
    <w:rsid w:val="00AC3795"/>
    <w:rsid w:val="00AC43E0"/>
    <w:rsid w:val="00AC6B95"/>
    <w:rsid w:val="00AC79F5"/>
    <w:rsid w:val="00AD289D"/>
    <w:rsid w:val="00AD4626"/>
    <w:rsid w:val="00AD4B21"/>
    <w:rsid w:val="00AD5B78"/>
    <w:rsid w:val="00AE0A2E"/>
    <w:rsid w:val="00AE1541"/>
    <w:rsid w:val="00AE354C"/>
    <w:rsid w:val="00AE38DA"/>
    <w:rsid w:val="00AE53A3"/>
    <w:rsid w:val="00AE53E1"/>
    <w:rsid w:val="00AF0198"/>
    <w:rsid w:val="00AF1EE5"/>
    <w:rsid w:val="00AF4B07"/>
    <w:rsid w:val="00AF6186"/>
    <w:rsid w:val="00AF65C4"/>
    <w:rsid w:val="00AF7A3A"/>
    <w:rsid w:val="00B04D4C"/>
    <w:rsid w:val="00B07E56"/>
    <w:rsid w:val="00B12EA0"/>
    <w:rsid w:val="00B160DB"/>
    <w:rsid w:val="00B20836"/>
    <w:rsid w:val="00B2251E"/>
    <w:rsid w:val="00B235BB"/>
    <w:rsid w:val="00B27037"/>
    <w:rsid w:val="00B27A44"/>
    <w:rsid w:val="00B30BBF"/>
    <w:rsid w:val="00B31FCD"/>
    <w:rsid w:val="00B33C03"/>
    <w:rsid w:val="00B34F13"/>
    <w:rsid w:val="00B40D50"/>
    <w:rsid w:val="00B43E72"/>
    <w:rsid w:val="00B44E56"/>
    <w:rsid w:val="00B45FAF"/>
    <w:rsid w:val="00B46543"/>
    <w:rsid w:val="00B47D33"/>
    <w:rsid w:val="00B47D57"/>
    <w:rsid w:val="00B52BE0"/>
    <w:rsid w:val="00B54133"/>
    <w:rsid w:val="00B67B5C"/>
    <w:rsid w:val="00B67BDC"/>
    <w:rsid w:val="00B701ED"/>
    <w:rsid w:val="00B71668"/>
    <w:rsid w:val="00B77195"/>
    <w:rsid w:val="00B8086C"/>
    <w:rsid w:val="00B8236D"/>
    <w:rsid w:val="00B861B4"/>
    <w:rsid w:val="00B86DFE"/>
    <w:rsid w:val="00B87FF9"/>
    <w:rsid w:val="00B90990"/>
    <w:rsid w:val="00B922FF"/>
    <w:rsid w:val="00B9281E"/>
    <w:rsid w:val="00B93925"/>
    <w:rsid w:val="00B95187"/>
    <w:rsid w:val="00B96BC8"/>
    <w:rsid w:val="00BA1C21"/>
    <w:rsid w:val="00BA2D55"/>
    <w:rsid w:val="00BA49E8"/>
    <w:rsid w:val="00BA6AEE"/>
    <w:rsid w:val="00BA71B1"/>
    <w:rsid w:val="00BB0637"/>
    <w:rsid w:val="00BB2484"/>
    <w:rsid w:val="00BB345F"/>
    <w:rsid w:val="00BB68EA"/>
    <w:rsid w:val="00BC1C27"/>
    <w:rsid w:val="00BC422F"/>
    <w:rsid w:val="00BC66F6"/>
    <w:rsid w:val="00BC6BBF"/>
    <w:rsid w:val="00BC74BC"/>
    <w:rsid w:val="00BD048D"/>
    <w:rsid w:val="00BD0EBA"/>
    <w:rsid w:val="00BD1572"/>
    <w:rsid w:val="00BD37CC"/>
    <w:rsid w:val="00BD56C7"/>
    <w:rsid w:val="00BD799F"/>
    <w:rsid w:val="00BE0D8E"/>
    <w:rsid w:val="00BE14E3"/>
    <w:rsid w:val="00BE3774"/>
    <w:rsid w:val="00BE41E5"/>
    <w:rsid w:val="00BE6626"/>
    <w:rsid w:val="00BE7FA8"/>
    <w:rsid w:val="00BF0DF0"/>
    <w:rsid w:val="00BF4109"/>
    <w:rsid w:val="00BF4CC3"/>
    <w:rsid w:val="00C01F45"/>
    <w:rsid w:val="00C054C7"/>
    <w:rsid w:val="00C0578F"/>
    <w:rsid w:val="00C057B5"/>
    <w:rsid w:val="00C13075"/>
    <w:rsid w:val="00C22687"/>
    <w:rsid w:val="00C32D95"/>
    <w:rsid w:val="00C32E4D"/>
    <w:rsid w:val="00C33000"/>
    <w:rsid w:val="00C333A0"/>
    <w:rsid w:val="00C34C1A"/>
    <w:rsid w:val="00C36A81"/>
    <w:rsid w:val="00C41974"/>
    <w:rsid w:val="00C44DEC"/>
    <w:rsid w:val="00C52C85"/>
    <w:rsid w:val="00C53F4A"/>
    <w:rsid w:val="00C54125"/>
    <w:rsid w:val="00C55B54"/>
    <w:rsid w:val="00C57C52"/>
    <w:rsid w:val="00C6098E"/>
    <w:rsid w:val="00C6152C"/>
    <w:rsid w:val="00C621C2"/>
    <w:rsid w:val="00C66E3A"/>
    <w:rsid w:val="00C74810"/>
    <w:rsid w:val="00C74E5D"/>
    <w:rsid w:val="00C82FFF"/>
    <w:rsid w:val="00C83696"/>
    <w:rsid w:val="00C87B44"/>
    <w:rsid w:val="00C90D68"/>
    <w:rsid w:val="00C91881"/>
    <w:rsid w:val="00C939FE"/>
    <w:rsid w:val="00C94D87"/>
    <w:rsid w:val="00CA4BDA"/>
    <w:rsid w:val="00CA7E66"/>
    <w:rsid w:val="00CB1F66"/>
    <w:rsid w:val="00CB2951"/>
    <w:rsid w:val="00CB38A8"/>
    <w:rsid w:val="00CB556C"/>
    <w:rsid w:val="00CC284E"/>
    <w:rsid w:val="00CC45D3"/>
    <w:rsid w:val="00CD282B"/>
    <w:rsid w:val="00CD4308"/>
    <w:rsid w:val="00CD4C35"/>
    <w:rsid w:val="00CD7369"/>
    <w:rsid w:val="00CE0B0E"/>
    <w:rsid w:val="00CE31A4"/>
    <w:rsid w:val="00CE3831"/>
    <w:rsid w:val="00CE63D2"/>
    <w:rsid w:val="00CF758C"/>
    <w:rsid w:val="00D00ABB"/>
    <w:rsid w:val="00D02122"/>
    <w:rsid w:val="00D02A56"/>
    <w:rsid w:val="00D02EEC"/>
    <w:rsid w:val="00D03551"/>
    <w:rsid w:val="00D038A0"/>
    <w:rsid w:val="00D056BA"/>
    <w:rsid w:val="00D06A63"/>
    <w:rsid w:val="00D07E0E"/>
    <w:rsid w:val="00D10CDC"/>
    <w:rsid w:val="00D11478"/>
    <w:rsid w:val="00D15023"/>
    <w:rsid w:val="00D15ED0"/>
    <w:rsid w:val="00D21B3E"/>
    <w:rsid w:val="00D21FED"/>
    <w:rsid w:val="00D23CAD"/>
    <w:rsid w:val="00D24251"/>
    <w:rsid w:val="00D27B62"/>
    <w:rsid w:val="00D343E2"/>
    <w:rsid w:val="00D361A2"/>
    <w:rsid w:val="00D37075"/>
    <w:rsid w:val="00D40016"/>
    <w:rsid w:val="00D42EB3"/>
    <w:rsid w:val="00D44C2E"/>
    <w:rsid w:val="00D45414"/>
    <w:rsid w:val="00D51D5F"/>
    <w:rsid w:val="00D54776"/>
    <w:rsid w:val="00D54E10"/>
    <w:rsid w:val="00D566BD"/>
    <w:rsid w:val="00D56B1A"/>
    <w:rsid w:val="00D57A4D"/>
    <w:rsid w:val="00D60AA7"/>
    <w:rsid w:val="00D60D87"/>
    <w:rsid w:val="00D6435F"/>
    <w:rsid w:val="00D679A6"/>
    <w:rsid w:val="00D67E08"/>
    <w:rsid w:val="00D74153"/>
    <w:rsid w:val="00D75E28"/>
    <w:rsid w:val="00D772C2"/>
    <w:rsid w:val="00D8008E"/>
    <w:rsid w:val="00D8031F"/>
    <w:rsid w:val="00D80627"/>
    <w:rsid w:val="00D82C45"/>
    <w:rsid w:val="00D838DD"/>
    <w:rsid w:val="00D908A8"/>
    <w:rsid w:val="00D90F76"/>
    <w:rsid w:val="00D94B61"/>
    <w:rsid w:val="00D977B6"/>
    <w:rsid w:val="00D97FB3"/>
    <w:rsid w:val="00DA4A31"/>
    <w:rsid w:val="00DA4EA5"/>
    <w:rsid w:val="00DA667C"/>
    <w:rsid w:val="00DA6BCE"/>
    <w:rsid w:val="00DA7B04"/>
    <w:rsid w:val="00DB36C2"/>
    <w:rsid w:val="00DB51B4"/>
    <w:rsid w:val="00DB7937"/>
    <w:rsid w:val="00DC0548"/>
    <w:rsid w:val="00DC15EE"/>
    <w:rsid w:val="00DC169B"/>
    <w:rsid w:val="00DC22DA"/>
    <w:rsid w:val="00DC2AB9"/>
    <w:rsid w:val="00DC3012"/>
    <w:rsid w:val="00DC63F0"/>
    <w:rsid w:val="00DC7FE1"/>
    <w:rsid w:val="00DD516D"/>
    <w:rsid w:val="00DD6290"/>
    <w:rsid w:val="00DD6EE5"/>
    <w:rsid w:val="00DE386C"/>
    <w:rsid w:val="00DE4D35"/>
    <w:rsid w:val="00DE5B29"/>
    <w:rsid w:val="00DE7193"/>
    <w:rsid w:val="00DF0549"/>
    <w:rsid w:val="00DF098B"/>
    <w:rsid w:val="00DF11C4"/>
    <w:rsid w:val="00DF210C"/>
    <w:rsid w:val="00DF4B6A"/>
    <w:rsid w:val="00DF7B9F"/>
    <w:rsid w:val="00E019E5"/>
    <w:rsid w:val="00E02C09"/>
    <w:rsid w:val="00E04A2B"/>
    <w:rsid w:val="00E04D59"/>
    <w:rsid w:val="00E0669F"/>
    <w:rsid w:val="00E073AF"/>
    <w:rsid w:val="00E07DA1"/>
    <w:rsid w:val="00E123CB"/>
    <w:rsid w:val="00E16236"/>
    <w:rsid w:val="00E204C2"/>
    <w:rsid w:val="00E20E13"/>
    <w:rsid w:val="00E21DBC"/>
    <w:rsid w:val="00E232B5"/>
    <w:rsid w:val="00E269B6"/>
    <w:rsid w:val="00E27071"/>
    <w:rsid w:val="00E2736D"/>
    <w:rsid w:val="00E275D7"/>
    <w:rsid w:val="00E27A99"/>
    <w:rsid w:val="00E27DBE"/>
    <w:rsid w:val="00E32AB1"/>
    <w:rsid w:val="00E36C71"/>
    <w:rsid w:val="00E40404"/>
    <w:rsid w:val="00E44753"/>
    <w:rsid w:val="00E459C6"/>
    <w:rsid w:val="00E47589"/>
    <w:rsid w:val="00E55002"/>
    <w:rsid w:val="00E559C6"/>
    <w:rsid w:val="00E56192"/>
    <w:rsid w:val="00E57087"/>
    <w:rsid w:val="00E64915"/>
    <w:rsid w:val="00E661D4"/>
    <w:rsid w:val="00E70091"/>
    <w:rsid w:val="00E720F5"/>
    <w:rsid w:val="00E73A2F"/>
    <w:rsid w:val="00E76D47"/>
    <w:rsid w:val="00E843FC"/>
    <w:rsid w:val="00E849F7"/>
    <w:rsid w:val="00E90302"/>
    <w:rsid w:val="00E9084A"/>
    <w:rsid w:val="00E909FA"/>
    <w:rsid w:val="00E93672"/>
    <w:rsid w:val="00E95022"/>
    <w:rsid w:val="00E97396"/>
    <w:rsid w:val="00EA185E"/>
    <w:rsid w:val="00EA1DE9"/>
    <w:rsid w:val="00EA2C24"/>
    <w:rsid w:val="00EA592A"/>
    <w:rsid w:val="00EB14E4"/>
    <w:rsid w:val="00EB32A5"/>
    <w:rsid w:val="00EB34ED"/>
    <w:rsid w:val="00EB4022"/>
    <w:rsid w:val="00EB7BE0"/>
    <w:rsid w:val="00EC315E"/>
    <w:rsid w:val="00EC437A"/>
    <w:rsid w:val="00EC54BC"/>
    <w:rsid w:val="00EC591E"/>
    <w:rsid w:val="00EC75CF"/>
    <w:rsid w:val="00ED077C"/>
    <w:rsid w:val="00ED1190"/>
    <w:rsid w:val="00ED6544"/>
    <w:rsid w:val="00ED6ACD"/>
    <w:rsid w:val="00ED7BA8"/>
    <w:rsid w:val="00EE0277"/>
    <w:rsid w:val="00EE1DA9"/>
    <w:rsid w:val="00EE3E00"/>
    <w:rsid w:val="00EE5DD2"/>
    <w:rsid w:val="00EE6441"/>
    <w:rsid w:val="00EF03CC"/>
    <w:rsid w:val="00EF1E70"/>
    <w:rsid w:val="00EF41F1"/>
    <w:rsid w:val="00EF4F08"/>
    <w:rsid w:val="00EF5ED9"/>
    <w:rsid w:val="00F00A79"/>
    <w:rsid w:val="00F00E86"/>
    <w:rsid w:val="00F0485D"/>
    <w:rsid w:val="00F06CCF"/>
    <w:rsid w:val="00F06EA4"/>
    <w:rsid w:val="00F07C1E"/>
    <w:rsid w:val="00F105DB"/>
    <w:rsid w:val="00F132BC"/>
    <w:rsid w:val="00F13D80"/>
    <w:rsid w:val="00F16AAA"/>
    <w:rsid w:val="00F20B3D"/>
    <w:rsid w:val="00F21161"/>
    <w:rsid w:val="00F218EF"/>
    <w:rsid w:val="00F21BC7"/>
    <w:rsid w:val="00F25DB4"/>
    <w:rsid w:val="00F266A2"/>
    <w:rsid w:val="00F32269"/>
    <w:rsid w:val="00F32E5D"/>
    <w:rsid w:val="00F357F3"/>
    <w:rsid w:val="00F4287A"/>
    <w:rsid w:val="00F47C21"/>
    <w:rsid w:val="00F511F7"/>
    <w:rsid w:val="00F53039"/>
    <w:rsid w:val="00F56A6F"/>
    <w:rsid w:val="00F5709C"/>
    <w:rsid w:val="00F64EF1"/>
    <w:rsid w:val="00F673DF"/>
    <w:rsid w:val="00F72D1B"/>
    <w:rsid w:val="00F83025"/>
    <w:rsid w:val="00F84E56"/>
    <w:rsid w:val="00F8765F"/>
    <w:rsid w:val="00F90767"/>
    <w:rsid w:val="00F94023"/>
    <w:rsid w:val="00F9579B"/>
    <w:rsid w:val="00F96F23"/>
    <w:rsid w:val="00FA227C"/>
    <w:rsid w:val="00FA3C3B"/>
    <w:rsid w:val="00FA4C4E"/>
    <w:rsid w:val="00FA685B"/>
    <w:rsid w:val="00FB0C01"/>
    <w:rsid w:val="00FC18F2"/>
    <w:rsid w:val="00FC39E5"/>
    <w:rsid w:val="00FC3A78"/>
    <w:rsid w:val="00FD0537"/>
    <w:rsid w:val="00FD0561"/>
    <w:rsid w:val="00FD1005"/>
    <w:rsid w:val="00FD3180"/>
    <w:rsid w:val="00FD4BA7"/>
    <w:rsid w:val="00FD6C75"/>
    <w:rsid w:val="00FD74B7"/>
    <w:rsid w:val="00FD7B64"/>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4D0117"/>
    <w:pPr>
      <w:jc w:val="both"/>
    </w:pPr>
    <w:rPr>
      <w:rFonts w:eastAsiaTheme="minorEastAsia"/>
      <w:sz w:val="24"/>
      <w:lang w:val="en-GB"/>
    </w:rPr>
  </w:style>
  <w:style w:type="paragraph" w:styleId="1">
    <w:name w:val="heading 1"/>
    <w:basedOn w:val="a2"/>
    <w:next w:val="a2"/>
    <w:link w:val="10"/>
    <w:uiPriority w:val="99"/>
    <w:semiHidden/>
    <w:rsid w:val="004D0117"/>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D0117"/>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D0117"/>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D0117"/>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542B4F"/>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4D011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542B4F"/>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542B4F"/>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542B4F"/>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4D0117"/>
    <w:rPr>
      <w:rFonts w:ascii="Tahoma" w:hAnsi="Tahoma" w:cs="Tahoma"/>
      <w:sz w:val="16"/>
      <w:szCs w:val="16"/>
    </w:rPr>
  </w:style>
  <w:style w:type="character" w:customStyle="1" w:styleId="a7">
    <w:name w:val="Текст выноски Знак"/>
    <w:basedOn w:val="a3"/>
    <w:link w:val="a6"/>
    <w:uiPriority w:val="99"/>
    <w:semiHidden/>
    <w:rsid w:val="004D0117"/>
    <w:rPr>
      <w:rFonts w:ascii="Tahoma" w:eastAsiaTheme="minorEastAsia" w:hAnsi="Tahoma" w:cs="Tahoma"/>
      <w:sz w:val="16"/>
      <w:szCs w:val="16"/>
      <w:lang w:val="en-GB"/>
    </w:rPr>
  </w:style>
  <w:style w:type="character" w:styleId="a8">
    <w:name w:val="Book Title"/>
    <w:uiPriority w:val="99"/>
    <w:semiHidden/>
    <w:qFormat/>
    <w:rsid w:val="00542B4F"/>
    <w:rPr>
      <w:i/>
      <w:iCs/>
      <w:smallCaps/>
      <w:spacing w:val="5"/>
    </w:rPr>
  </w:style>
  <w:style w:type="paragraph" w:customStyle="1" w:styleId="ECHRHeader">
    <w:name w:val="ECHR_Header"/>
    <w:aliases w:val="Ju_Header"/>
    <w:basedOn w:val="a9"/>
    <w:uiPriority w:val="4"/>
    <w:qFormat/>
    <w:rsid w:val="00542B4F"/>
    <w:pPr>
      <w:tabs>
        <w:tab w:val="clear" w:pos="4536"/>
        <w:tab w:val="clear" w:pos="9072"/>
        <w:tab w:val="center" w:pos="3686"/>
        <w:tab w:val="right" w:pos="7371"/>
      </w:tabs>
      <w:jc w:val="left"/>
    </w:pPr>
    <w:rPr>
      <w:sz w:val="18"/>
    </w:rPr>
  </w:style>
  <w:style w:type="paragraph" w:customStyle="1" w:styleId="ECHRTitleCentre2">
    <w:name w:val="ECHR_Title_Centre_2"/>
    <w:aliases w:val="Dec_H_Case"/>
    <w:basedOn w:val="a2"/>
    <w:next w:val="ECHRPara"/>
    <w:uiPriority w:val="8"/>
    <w:semiHidden/>
    <w:qFormat/>
    <w:rsid w:val="00542B4F"/>
    <w:pPr>
      <w:spacing w:after="240"/>
      <w:jc w:val="center"/>
      <w:outlineLvl w:val="0"/>
    </w:pPr>
    <w:rPr>
      <w:rFonts w:asciiTheme="majorHAnsi" w:hAnsiTheme="majorHAnsi"/>
    </w:rPr>
  </w:style>
  <w:style w:type="character" w:styleId="aa">
    <w:name w:val="Strong"/>
    <w:uiPriority w:val="99"/>
    <w:semiHidden/>
    <w:qFormat/>
    <w:rsid w:val="00542B4F"/>
    <w:rPr>
      <w:b/>
      <w:bCs/>
    </w:rPr>
  </w:style>
  <w:style w:type="paragraph" w:styleId="ab">
    <w:name w:val="No Spacing"/>
    <w:basedOn w:val="a2"/>
    <w:link w:val="ac"/>
    <w:semiHidden/>
    <w:qFormat/>
    <w:rsid w:val="00542B4F"/>
    <w:rPr>
      <w:sz w:val="22"/>
      <w:lang w:val="en-US"/>
    </w:rPr>
  </w:style>
  <w:style w:type="character" w:customStyle="1" w:styleId="ac">
    <w:name w:val="Без интервала Знак"/>
    <w:basedOn w:val="a3"/>
    <w:link w:val="ab"/>
    <w:semiHidden/>
    <w:rsid w:val="00542B4F"/>
    <w:rPr>
      <w:rFonts w:eastAsiaTheme="minorEastAsia"/>
    </w:rPr>
  </w:style>
  <w:style w:type="paragraph" w:customStyle="1" w:styleId="JuParaSub">
    <w:name w:val="Ju_Para_Sub"/>
    <w:basedOn w:val="ECHRPara"/>
    <w:uiPriority w:val="13"/>
    <w:qFormat/>
    <w:rsid w:val="00542B4F"/>
    <w:pPr>
      <w:ind w:left="284"/>
    </w:pPr>
  </w:style>
  <w:style w:type="paragraph" w:customStyle="1" w:styleId="DecHTitle">
    <w:name w:val="Dec_H_Title"/>
    <w:basedOn w:val="ECHRTitleCentre1"/>
    <w:uiPriority w:val="7"/>
    <w:semiHidden/>
    <w:qFormat/>
    <w:rsid w:val="00542B4F"/>
  </w:style>
  <w:style w:type="paragraph" w:customStyle="1" w:styleId="DecList">
    <w:name w:val="Dec_List"/>
    <w:basedOn w:val="a2"/>
    <w:uiPriority w:val="9"/>
    <w:semiHidden/>
    <w:qFormat/>
    <w:rsid w:val="00542B4F"/>
    <w:pPr>
      <w:spacing w:before="240"/>
      <w:ind w:left="284"/>
    </w:pPr>
  </w:style>
  <w:style w:type="paragraph" w:customStyle="1" w:styleId="OpiPara">
    <w:name w:val="Opi_Para"/>
    <w:basedOn w:val="ECHRPara"/>
    <w:uiPriority w:val="46"/>
    <w:qFormat/>
    <w:rsid w:val="00542B4F"/>
  </w:style>
  <w:style w:type="paragraph" w:customStyle="1" w:styleId="ECHRTitleCentre3">
    <w:name w:val="ECHR_Title_Centre_3"/>
    <w:aliases w:val="Ju_H_Article"/>
    <w:basedOn w:val="a2"/>
    <w:next w:val="ECHRParaQuote"/>
    <w:uiPriority w:val="27"/>
    <w:qFormat/>
    <w:rsid w:val="00542B4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542B4F"/>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42B4F"/>
    <w:pPr>
      <w:ind w:left="567"/>
    </w:pPr>
  </w:style>
  <w:style w:type="paragraph" w:customStyle="1" w:styleId="JuInitialled">
    <w:name w:val="Ju_Initialled"/>
    <w:basedOn w:val="a2"/>
    <w:uiPriority w:val="31"/>
    <w:qFormat/>
    <w:rsid w:val="00542B4F"/>
    <w:pPr>
      <w:tabs>
        <w:tab w:val="center" w:pos="6407"/>
      </w:tabs>
      <w:spacing w:before="720"/>
      <w:jc w:val="right"/>
    </w:pPr>
  </w:style>
  <w:style w:type="paragraph" w:customStyle="1" w:styleId="ECHRFooter">
    <w:name w:val="ECHR_Footer"/>
    <w:aliases w:val="Footer_ECHR"/>
    <w:basedOn w:val="ad"/>
    <w:uiPriority w:val="57"/>
    <w:semiHidden/>
    <w:rsid w:val="004D0117"/>
    <w:pPr>
      <w:jc w:val="left"/>
    </w:pPr>
    <w:rPr>
      <w:sz w:val="8"/>
    </w:rPr>
  </w:style>
  <w:style w:type="character" w:customStyle="1" w:styleId="JUNAMES">
    <w:name w:val="JU_NAMES"/>
    <w:uiPriority w:val="17"/>
    <w:qFormat/>
    <w:rsid w:val="00542B4F"/>
    <w:rPr>
      <w:caps w:val="0"/>
      <w:smallCaps/>
    </w:rPr>
  </w:style>
  <w:style w:type="paragraph" w:customStyle="1" w:styleId="ECHRFooterLine">
    <w:name w:val="ECHR_Footer_Line"/>
    <w:aliases w:val="Footer_Line"/>
    <w:basedOn w:val="a2"/>
    <w:next w:val="ECHRFooter"/>
    <w:uiPriority w:val="57"/>
    <w:semiHidden/>
    <w:rsid w:val="004D0117"/>
    <w:pPr>
      <w:pBdr>
        <w:top w:val="single" w:sz="6" w:space="1" w:color="5F5F5F"/>
      </w:pBdr>
      <w:tabs>
        <w:tab w:val="center" w:pos="4536"/>
        <w:tab w:val="right" w:pos="9696"/>
      </w:tabs>
      <w:ind w:left="-680" w:right="-680"/>
      <w:jc w:val="left"/>
    </w:pPr>
    <w:rPr>
      <w:color w:val="5F5F5F"/>
    </w:rPr>
  </w:style>
  <w:style w:type="paragraph" w:styleId="ae">
    <w:name w:val="Title"/>
    <w:basedOn w:val="a2"/>
    <w:next w:val="a2"/>
    <w:link w:val="af"/>
    <w:uiPriority w:val="99"/>
    <w:semiHidden/>
    <w:qFormat/>
    <w:rsid w:val="00542B4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f">
    <w:name w:val="Заголовок Знак"/>
    <w:basedOn w:val="a3"/>
    <w:link w:val="ae"/>
    <w:uiPriority w:val="99"/>
    <w:semiHidden/>
    <w:rsid w:val="00542B4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31"/>
    <w:next w:val="ECHRPara"/>
    <w:uiPriority w:val="21"/>
    <w:qFormat/>
    <w:rsid w:val="00542B4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542B4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542B4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6"/>
    <w:next w:val="ECHRPara"/>
    <w:uiPriority w:val="24"/>
    <w:qFormat/>
    <w:rsid w:val="00542B4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542B4F"/>
    <w:pPr>
      <w:keepNext/>
      <w:keepLines/>
      <w:spacing w:before="240" w:after="120"/>
      <w:ind w:left="1236"/>
    </w:pPr>
    <w:rPr>
      <w:sz w:val="20"/>
      <w:lang w:val="en-GB"/>
    </w:rPr>
  </w:style>
  <w:style w:type="paragraph" w:customStyle="1" w:styleId="JuAppQuestion">
    <w:name w:val="Ju_App_Question"/>
    <w:basedOn w:val="a2"/>
    <w:uiPriority w:val="5"/>
    <w:semiHidden/>
    <w:qFormat/>
    <w:rsid w:val="00542B4F"/>
    <w:pPr>
      <w:numPr>
        <w:numId w:val="27"/>
      </w:numPr>
      <w:jc w:val="left"/>
    </w:pPr>
    <w:rPr>
      <w:b/>
    </w:rPr>
  </w:style>
  <w:style w:type="paragraph" w:customStyle="1" w:styleId="JuHeaderLandscape">
    <w:name w:val="Ju_Header_Landscape"/>
    <w:basedOn w:val="ECHRHeader"/>
    <w:uiPriority w:val="4"/>
    <w:qFormat/>
    <w:rsid w:val="00542B4F"/>
    <w:pPr>
      <w:tabs>
        <w:tab w:val="clear" w:pos="3686"/>
        <w:tab w:val="clear" w:pos="7371"/>
        <w:tab w:val="center" w:pos="6146"/>
        <w:tab w:val="right" w:pos="12293"/>
      </w:tabs>
    </w:pPr>
  </w:style>
  <w:style w:type="paragraph" w:customStyle="1" w:styleId="JuTitle">
    <w:name w:val="Ju_Title"/>
    <w:basedOn w:val="a2"/>
    <w:next w:val="ECHRPara"/>
    <w:uiPriority w:val="3"/>
    <w:semiHidden/>
    <w:qFormat/>
    <w:rsid w:val="00542B4F"/>
    <w:pPr>
      <w:spacing w:before="720" w:after="240"/>
      <w:jc w:val="center"/>
      <w:outlineLvl w:val="0"/>
    </w:pPr>
    <w:rPr>
      <w:rFonts w:asciiTheme="majorHAnsi" w:hAnsiTheme="majorHAnsi"/>
      <w:b/>
      <w:caps/>
    </w:rPr>
  </w:style>
  <w:style w:type="paragraph" w:styleId="a9">
    <w:name w:val="header"/>
    <w:basedOn w:val="a2"/>
    <w:link w:val="af0"/>
    <w:uiPriority w:val="57"/>
    <w:semiHidden/>
    <w:rsid w:val="004D0117"/>
    <w:pPr>
      <w:tabs>
        <w:tab w:val="center" w:pos="4536"/>
        <w:tab w:val="right" w:pos="9072"/>
      </w:tabs>
    </w:pPr>
    <w:rPr>
      <w:rFonts w:eastAsiaTheme="minorHAnsi"/>
    </w:rPr>
  </w:style>
  <w:style w:type="character" w:customStyle="1" w:styleId="af0">
    <w:name w:val="Верхний колонтитул Знак"/>
    <w:basedOn w:val="a3"/>
    <w:link w:val="a9"/>
    <w:uiPriority w:val="57"/>
    <w:semiHidden/>
    <w:rsid w:val="004D0117"/>
    <w:rPr>
      <w:sz w:val="24"/>
      <w:lang w:val="en-GB"/>
    </w:rPr>
  </w:style>
  <w:style w:type="character" w:customStyle="1" w:styleId="10">
    <w:name w:val="Заголовок 1 Знак"/>
    <w:basedOn w:val="a3"/>
    <w:link w:val="1"/>
    <w:uiPriority w:val="99"/>
    <w:semiHidden/>
    <w:rsid w:val="004D0117"/>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1"/>
    <w:next w:val="ECHRPara"/>
    <w:uiPriority w:val="19"/>
    <w:qFormat/>
    <w:rsid w:val="00542B4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542B4F"/>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4D0117"/>
    <w:rPr>
      <w:rFonts w:asciiTheme="majorHAnsi" w:eastAsiaTheme="majorEastAsia" w:hAnsiTheme="majorHAnsi" w:cstheme="majorBidi"/>
      <w:b/>
      <w:bCs/>
      <w:color w:val="4D4D4D"/>
      <w:sz w:val="26"/>
      <w:szCs w:val="26"/>
      <w:lang w:val="en-GB"/>
    </w:rPr>
  </w:style>
  <w:style w:type="paragraph" w:customStyle="1" w:styleId="OpiParaSub">
    <w:name w:val="Opi_Para_Sub"/>
    <w:basedOn w:val="JuParaSub"/>
    <w:uiPriority w:val="47"/>
    <w:qFormat/>
    <w:rsid w:val="00542B4F"/>
  </w:style>
  <w:style w:type="paragraph" w:customStyle="1" w:styleId="JuCase">
    <w:name w:val="Ju_Case"/>
    <w:basedOn w:val="a2"/>
    <w:next w:val="ECHRPara"/>
    <w:uiPriority w:val="10"/>
    <w:rsid w:val="004D0117"/>
    <w:pPr>
      <w:ind w:firstLine="284"/>
    </w:pPr>
    <w:rPr>
      <w:b/>
    </w:rPr>
  </w:style>
  <w:style w:type="character" w:customStyle="1" w:styleId="32">
    <w:name w:val="Заголовок 3 Знак"/>
    <w:basedOn w:val="a3"/>
    <w:link w:val="31"/>
    <w:uiPriority w:val="99"/>
    <w:semiHidden/>
    <w:rsid w:val="004D0117"/>
    <w:rPr>
      <w:rFonts w:asciiTheme="majorHAnsi" w:eastAsiaTheme="majorEastAsia" w:hAnsiTheme="majorHAnsi" w:cstheme="majorBidi"/>
      <w:b/>
      <w:bCs/>
      <w:color w:val="5F5F5F"/>
      <w:sz w:val="24"/>
      <w:lang w:val="en-GB"/>
    </w:rPr>
  </w:style>
  <w:style w:type="character" w:customStyle="1" w:styleId="42">
    <w:name w:val="Заголовок 4 Знак"/>
    <w:basedOn w:val="a3"/>
    <w:link w:val="41"/>
    <w:uiPriority w:val="99"/>
    <w:semiHidden/>
    <w:rsid w:val="004D0117"/>
    <w:rPr>
      <w:rFonts w:asciiTheme="majorHAnsi" w:eastAsiaTheme="majorEastAsia" w:hAnsiTheme="majorHAnsi" w:cstheme="majorBidi"/>
      <w:b/>
      <w:bCs/>
      <w:i/>
      <w:iCs/>
      <w:color w:val="777777"/>
      <w:sz w:val="24"/>
      <w:lang w:val="en-GB"/>
    </w:rPr>
  </w:style>
  <w:style w:type="character" w:customStyle="1" w:styleId="52">
    <w:name w:val="Заголовок 5 Знак"/>
    <w:basedOn w:val="a3"/>
    <w:link w:val="51"/>
    <w:uiPriority w:val="99"/>
    <w:semiHidden/>
    <w:rsid w:val="00542B4F"/>
    <w:rPr>
      <w:rFonts w:asciiTheme="majorHAnsi" w:eastAsiaTheme="majorEastAsia" w:hAnsiTheme="majorHAnsi" w:cstheme="majorBidi"/>
      <w:b/>
      <w:bCs/>
      <w:color w:val="808080"/>
    </w:rPr>
  </w:style>
  <w:style w:type="character" w:styleId="af1">
    <w:name w:val="Subtle Emphasis"/>
    <w:uiPriority w:val="99"/>
    <w:semiHidden/>
    <w:qFormat/>
    <w:rsid w:val="00542B4F"/>
    <w:rPr>
      <w:i/>
      <w:iCs/>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542B4F"/>
    <w:pPr>
      <w:keepNext/>
      <w:keepLines/>
      <w:spacing w:before="720" w:after="240"/>
      <w:outlineLvl w:val="0"/>
    </w:pPr>
    <w:rPr>
      <w:rFonts w:asciiTheme="majorHAnsi" w:hAnsiTheme="majorHAnsi"/>
      <w:sz w:val="28"/>
    </w:rPr>
  </w:style>
  <w:style w:type="character" w:styleId="af2">
    <w:name w:val="Emphasis"/>
    <w:uiPriority w:val="99"/>
    <w:semiHidden/>
    <w:qFormat/>
    <w:rsid w:val="00542B4F"/>
    <w:rPr>
      <w:b/>
      <w:bCs/>
      <w:i/>
      <w:iCs/>
      <w:spacing w:val="10"/>
      <w:bdr w:val="none" w:sz="0" w:space="0" w:color="auto"/>
      <w:shd w:val="clear" w:color="auto" w:fill="auto"/>
    </w:rPr>
  </w:style>
  <w:style w:type="paragraph" w:styleId="ad">
    <w:name w:val="footer"/>
    <w:basedOn w:val="a2"/>
    <w:link w:val="af3"/>
    <w:uiPriority w:val="57"/>
    <w:semiHidden/>
    <w:rsid w:val="004D0117"/>
    <w:pPr>
      <w:tabs>
        <w:tab w:val="center" w:pos="4536"/>
        <w:tab w:val="right" w:pos="9696"/>
      </w:tabs>
      <w:ind w:left="-680" w:right="-680"/>
    </w:pPr>
    <w:rPr>
      <w:rFonts w:eastAsiaTheme="minorHAnsi"/>
    </w:rPr>
  </w:style>
  <w:style w:type="character" w:customStyle="1" w:styleId="af3">
    <w:name w:val="Нижний колонтитул Знак"/>
    <w:basedOn w:val="a3"/>
    <w:link w:val="ad"/>
    <w:uiPriority w:val="57"/>
    <w:semiHidden/>
    <w:rsid w:val="004D0117"/>
    <w:rPr>
      <w:sz w:val="24"/>
      <w:lang w:val="en-GB"/>
    </w:rPr>
  </w:style>
  <w:style w:type="character" w:styleId="af4">
    <w:name w:val="footnote reference"/>
    <w:basedOn w:val="a3"/>
    <w:uiPriority w:val="99"/>
    <w:semiHidden/>
    <w:rsid w:val="004D0117"/>
    <w:rPr>
      <w:vertAlign w:val="superscript"/>
    </w:rPr>
  </w:style>
  <w:style w:type="paragraph" w:styleId="af5">
    <w:name w:val="footnote text"/>
    <w:basedOn w:val="a2"/>
    <w:link w:val="af6"/>
    <w:uiPriority w:val="99"/>
    <w:semiHidden/>
    <w:rsid w:val="004D0117"/>
    <w:rPr>
      <w:sz w:val="20"/>
      <w:szCs w:val="20"/>
    </w:rPr>
  </w:style>
  <w:style w:type="character" w:customStyle="1" w:styleId="af6">
    <w:name w:val="Текст сноски Знак"/>
    <w:basedOn w:val="a3"/>
    <w:link w:val="af5"/>
    <w:uiPriority w:val="99"/>
    <w:semiHidden/>
    <w:rsid w:val="004D0117"/>
    <w:rPr>
      <w:rFonts w:eastAsiaTheme="minorEastAsia"/>
      <w:sz w:val="20"/>
      <w:szCs w:val="20"/>
      <w:lang w:val="en-GB"/>
    </w:rPr>
  </w:style>
  <w:style w:type="character" w:customStyle="1" w:styleId="60">
    <w:name w:val="Заголовок 6 Знак"/>
    <w:basedOn w:val="a3"/>
    <w:link w:val="6"/>
    <w:uiPriority w:val="99"/>
    <w:semiHidden/>
    <w:rsid w:val="004D0117"/>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542B4F"/>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542B4F"/>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542B4F"/>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4D0117"/>
    <w:rPr>
      <w:color w:val="0072BC" w:themeColor="hyperlink"/>
      <w:u w:val="single"/>
    </w:rPr>
  </w:style>
  <w:style w:type="character" w:styleId="af8">
    <w:name w:val="Intense Emphasis"/>
    <w:uiPriority w:val="99"/>
    <w:semiHidden/>
    <w:qFormat/>
    <w:rsid w:val="00542B4F"/>
    <w:rPr>
      <w:b/>
      <w:bCs/>
    </w:rPr>
  </w:style>
  <w:style w:type="paragraph" w:styleId="af9">
    <w:name w:val="Intense Quote"/>
    <w:basedOn w:val="a2"/>
    <w:next w:val="a2"/>
    <w:link w:val="afa"/>
    <w:uiPriority w:val="99"/>
    <w:semiHidden/>
    <w:qFormat/>
    <w:rsid w:val="00542B4F"/>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542B4F"/>
    <w:rPr>
      <w:rFonts w:eastAsiaTheme="minorEastAsia"/>
      <w:b/>
      <w:bCs/>
      <w:i/>
      <w:iCs/>
      <w:lang w:bidi="en-US"/>
    </w:rPr>
  </w:style>
  <w:style w:type="character" w:styleId="afb">
    <w:name w:val="Intense Reference"/>
    <w:uiPriority w:val="99"/>
    <w:semiHidden/>
    <w:qFormat/>
    <w:rsid w:val="00542B4F"/>
    <w:rPr>
      <w:smallCaps/>
      <w:spacing w:val="5"/>
      <w:u w:val="single"/>
    </w:rPr>
  </w:style>
  <w:style w:type="paragraph" w:styleId="afc">
    <w:name w:val="List Paragraph"/>
    <w:basedOn w:val="a2"/>
    <w:uiPriority w:val="99"/>
    <w:semiHidden/>
    <w:qFormat/>
    <w:rsid w:val="00542B4F"/>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542B4F"/>
    <w:pPr>
      <w:spacing w:before="200"/>
      <w:ind w:left="360" w:right="360"/>
    </w:pPr>
    <w:rPr>
      <w:i/>
      <w:iCs/>
      <w:sz w:val="22"/>
      <w:lang w:val="en-US" w:bidi="en-US"/>
    </w:rPr>
  </w:style>
  <w:style w:type="character" w:customStyle="1" w:styleId="24">
    <w:name w:val="Цитата 2 Знак"/>
    <w:basedOn w:val="a3"/>
    <w:link w:val="23"/>
    <w:uiPriority w:val="99"/>
    <w:semiHidden/>
    <w:rsid w:val="00542B4F"/>
    <w:rPr>
      <w:rFonts w:eastAsiaTheme="minorEastAsia"/>
      <w:i/>
      <w:iCs/>
      <w:lang w:bidi="en-US"/>
    </w:rPr>
  </w:style>
  <w:style w:type="character" w:styleId="afd">
    <w:name w:val="Subtle Reference"/>
    <w:uiPriority w:val="99"/>
    <w:semiHidden/>
    <w:qFormat/>
    <w:rsid w:val="00542B4F"/>
    <w:rPr>
      <w:smallCaps/>
    </w:rPr>
  </w:style>
  <w:style w:type="table" w:styleId="afe">
    <w:name w:val="Table Grid"/>
    <w:basedOn w:val="a4"/>
    <w:uiPriority w:val="59"/>
    <w:semiHidden/>
    <w:rsid w:val="004D011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4D0117"/>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4D0117"/>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4D0117"/>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4D0117"/>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4D0117"/>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542B4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4D011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a2"/>
    <w:uiPriority w:val="14"/>
    <w:qFormat/>
    <w:rsid w:val="00542B4F"/>
    <w:pPr>
      <w:spacing w:before="120" w:after="120"/>
      <w:ind w:left="425" w:firstLine="142"/>
    </w:pPr>
    <w:rPr>
      <w:sz w:val="20"/>
    </w:rPr>
  </w:style>
  <w:style w:type="paragraph" w:customStyle="1" w:styleId="ECHRPara">
    <w:name w:val="ECHR_Para"/>
    <w:aliases w:val="Ju_Para"/>
    <w:basedOn w:val="a2"/>
    <w:link w:val="ECHRParaChar1"/>
    <w:uiPriority w:val="12"/>
    <w:qFormat/>
    <w:rsid w:val="00542B4F"/>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4D011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542B4F"/>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542B4F"/>
    <w:pPr>
      <w:ind w:left="340" w:hanging="340"/>
    </w:pPr>
  </w:style>
  <w:style w:type="paragraph" w:customStyle="1" w:styleId="JuSigned">
    <w:name w:val="Ju_Signed"/>
    <w:basedOn w:val="a2"/>
    <w:next w:val="JuParaLast"/>
    <w:uiPriority w:val="32"/>
    <w:qFormat/>
    <w:rsid w:val="00542B4F"/>
    <w:pPr>
      <w:tabs>
        <w:tab w:val="center" w:pos="851"/>
        <w:tab w:val="center" w:pos="6407"/>
      </w:tabs>
      <w:spacing w:before="720"/>
      <w:jc w:val="left"/>
    </w:pPr>
  </w:style>
  <w:style w:type="paragraph" w:customStyle="1" w:styleId="JuParaLast">
    <w:name w:val="Ju_Para_Last"/>
    <w:basedOn w:val="a2"/>
    <w:next w:val="ECHRPara"/>
    <w:uiPriority w:val="30"/>
    <w:qFormat/>
    <w:rsid w:val="00542B4F"/>
    <w:pPr>
      <w:keepNext/>
      <w:keepLines/>
      <w:spacing w:before="240"/>
      <w:ind w:firstLine="284"/>
    </w:pPr>
  </w:style>
  <w:style w:type="paragraph" w:customStyle="1" w:styleId="JuCourt">
    <w:name w:val="Ju_Court"/>
    <w:basedOn w:val="a2"/>
    <w:next w:val="a2"/>
    <w:uiPriority w:val="16"/>
    <w:qFormat/>
    <w:rsid w:val="00542B4F"/>
    <w:pPr>
      <w:tabs>
        <w:tab w:val="left" w:pos="907"/>
        <w:tab w:val="left" w:pos="1701"/>
        <w:tab w:val="right" w:pos="7371"/>
      </w:tabs>
      <w:spacing w:before="240"/>
      <w:ind w:left="397" w:hanging="397"/>
      <w:jc w:val="left"/>
    </w:pPr>
    <w:rPr>
      <w:lang w:bidi="en-US"/>
    </w:rPr>
  </w:style>
  <w:style w:type="character" w:styleId="aff1">
    <w:name w:val="page number"/>
    <w:uiPriority w:val="99"/>
    <w:semiHidden/>
    <w:rsid w:val="00014566"/>
    <w:rPr>
      <w:sz w:val="18"/>
    </w:rPr>
  </w:style>
  <w:style w:type="paragraph" w:customStyle="1" w:styleId="JuLista">
    <w:name w:val="Ju_List_a"/>
    <w:basedOn w:val="JuList"/>
    <w:uiPriority w:val="28"/>
    <w:qFormat/>
    <w:rsid w:val="00542B4F"/>
    <w:pPr>
      <w:ind w:left="346" w:firstLine="0"/>
    </w:pPr>
  </w:style>
  <w:style w:type="paragraph" w:customStyle="1" w:styleId="JuListi">
    <w:name w:val="Ju_List_i"/>
    <w:basedOn w:val="a2"/>
    <w:next w:val="JuLista"/>
    <w:uiPriority w:val="28"/>
    <w:qFormat/>
    <w:rsid w:val="00542B4F"/>
    <w:pPr>
      <w:ind w:left="794"/>
    </w:pPr>
  </w:style>
  <w:style w:type="character" w:styleId="aff2">
    <w:name w:val="annotation reference"/>
    <w:uiPriority w:val="99"/>
    <w:semiHidden/>
    <w:rsid w:val="00014566"/>
    <w:rPr>
      <w:sz w:val="16"/>
    </w:rPr>
  </w:style>
  <w:style w:type="paragraph" w:styleId="aff3">
    <w:name w:val="annotation text"/>
    <w:basedOn w:val="a2"/>
    <w:link w:val="aff4"/>
    <w:semiHidden/>
    <w:rsid w:val="00014566"/>
    <w:rPr>
      <w:sz w:val="20"/>
    </w:rPr>
  </w:style>
  <w:style w:type="character" w:customStyle="1" w:styleId="aff4">
    <w:name w:val="Текст примечания Знак"/>
    <w:basedOn w:val="a3"/>
    <w:link w:val="aff3"/>
    <w:semiHidden/>
    <w:rsid w:val="00014566"/>
    <w:rPr>
      <w:rFonts w:eastAsiaTheme="minorEastAsia"/>
      <w:sz w:val="20"/>
    </w:rPr>
  </w:style>
  <w:style w:type="paragraph" w:styleId="aff5">
    <w:name w:val="annotation subject"/>
    <w:basedOn w:val="aff3"/>
    <w:next w:val="aff3"/>
    <w:link w:val="aff6"/>
    <w:uiPriority w:val="99"/>
    <w:semiHidden/>
    <w:rsid w:val="00014566"/>
    <w:rPr>
      <w:b/>
      <w:bCs/>
    </w:rPr>
  </w:style>
  <w:style w:type="character" w:customStyle="1" w:styleId="aff6">
    <w:name w:val="Тема примечания Знак"/>
    <w:basedOn w:val="aff4"/>
    <w:link w:val="aff5"/>
    <w:uiPriority w:val="99"/>
    <w:semiHidden/>
    <w:rsid w:val="00014566"/>
    <w:rPr>
      <w:rFonts w:eastAsiaTheme="minorEastAsia"/>
      <w:b/>
      <w:bCs/>
      <w:sz w:val="20"/>
    </w:rPr>
  </w:style>
  <w:style w:type="character" w:styleId="aff7">
    <w:name w:val="endnote reference"/>
    <w:basedOn w:val="a3"/>
    <w:uiPriority w:val="99"/>
    <w:semiHidden/>
    <w:rsid w:val="004D0117"/>
    <w:rPr>
      <w:vertAlign w:val="superscript"/>
    </w:rPr>
  </w:style>
  <w:style w:type="paragraph" w:styleId="aff8">
    <w:name w:val="endnote text"/>
    <w:basedOn w:val="a2"/>
    <w:link w:val="aff9"/>
    <w:uiPriority w:val="99"/>
    <w:semiHidden/>
    <w:rsid w:val="004D0117"/>
    <w:rPr>
      <w:sz w:val="20"/>
      <w:szCs w:val="20"/>
    </w:rPr>
  </w:style>
  <w:style w:type="character" w:customStyle="1" w:styleId="aff9">
    <w:name w:val="Текст концевой сноски Знак"/>
    <w:basedOn w:val="a3"/>
    <w:link w:val="aff8"/>
    <w:uiPriority w:val="99"/>
    <w:semiHidden/>
    <w:rsid w:val="004D0117"/>
    <w:rPr>
      <w:rFonts w:eastAsiaTheme="minorEastAsia"/>
      <w:sz w:val="20"/>
      <w:szCs w:val="20"/>
      <w:lang w:val="en-GB"/>
    </w:rPr>
  </w:style>
  <w:style w:type="character" w:styleId="affa">
    <w:name w:val="FollowedHyperlink"/>
    <w:uiPriority w:val="99"/>
    <w:semiHidden/>
    <w:rsid w:val="00014566"/>
    <w:rPr>
      <w:color w:val="800080"/>
      <w:u w:val="single"/>
    </w:rPr>
  </w:style>
  <w:style w:type="paragraph" w:styleId="affb">
    <w:name w:val="Document Map"/>
    <w:basedOn w:val="a2"/>
    <w:link w:val="affc"/>
    <w:uiPriority w:val="99"/>
    <w:semiHidden/>
    <w:rsid w:val="00014566"/>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014566"/>
    <w:rPr>
      <w:rFonts w:ascii="Tahoma" w:eastAsiaTheme="minorEastAsia" w:hAnsi="Tahoma" w:cs="Tahoma"/>
      <w:sz w:val="20"/>
      <w:shd w:val="clear" w:color="auto" w:fill="000080"/>
    </w:rPr>
  </w:style>
  <w:style w:type="character" w:customStyle="1" w:styleId="JuNames0">
    <w:name w:val="Ju_Names"/>
    <w:rsid w:val="00014566"/>
    <w:rPr>
      <w:smallCaps/>
    </w:rPr>
  </w:style>
  <w:style w:type="paragraph" w:styleId="a0">
    <w:name w:val="List Bullet"/>
    <w:basedOn w:val="a2"/>
    <w:uiPriority w:val="99"/>
    <w:semiHidden/>
    <w:rsid w:val="00014566"/>
    <w:pPr>
      <w:numPr>
        <w:numId w:val="8"/>
      </w:numPr>
    </w:pPr>
  </w:style>
  <w:style w:type="character" w:customStyle="1" w:styleId="JuITMark">
    <w:name w:val="Ju_ITMark"/>
    <w:basedOn w:val="a3"/>
    <w:uiPriority w:val="38"/>
    <w:qFormat/>
    <w:rsid w:val="00542B4F"/>
    <w:rPr>
      <w:vanish w:val="0"/>
      <w:color w:val="auto"/>
      <w:sz w:val="14"/>
      <w:bdr w:val="none" w:sz="0" w:space="0" w:color="auto"/>
      <w:shd w:val="clear" w:color="auto" w:fill="BEE5FF" w:themeFill="background1" w:themeFillTint="33"/>
    </w:rPr>
  </w:style>
  <w:style w:type="paragraph" w:styleId="affd">
    <w:name w:val="Subtitle"/>
    <w:basedOn w:val="a2"/>
    <w:next w:val="a2"/>
    <w:link w:val="affe"/>
    <w:uiPriority w:val="99"/>
    <w:semiHidden/>
    <w:qFormat/>
    <w:rsid w:val="00542B4F"/>
    <w:pPr>
      <w:spacing w:after="600"/>
    </w:pPr>
    <w:rPr>
      <w:rFonts w:asciiTheme="majorHAnsi" w:eastAsiaTheme="majorEastAsia" w:hAnsiTheme="majorHAnsi" w:cstheme="majorBidi"/>
      <w:i/>
      <w:iCs/>
      <w:spacing w:val="13"/>
      <w:szCs w:val="24"/>
      <w:lang w:val="en-US" w:bidi="en-US"/>
    </w:rPr>
  </w:style>
  <w:style w:type="character" w:customStyle="1" w:styleId="affe">
    <w:name w:val="Подзаголовок Знак"/>
    <w:basedOn w:val="a3"/>
    <w:link w:val="affd"/>
    <w:uiPriority w:val="99"/>
    <w:semiHidden/>
    <w:rsid w:val="00542B4F"/>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rsid w:val="00014566"/>
    <w:pPr>
      <w:numPr>
        <w:numId w:val="9"/>
      </w:numPr>
    </w:pPr>
  </w:style>
  <w:style w:type="numbering" w:styleId="1ai">
    <w:name w:val="Outline List 1"/>
    <w:basedOn w:val="a5"/>
    <w:uiPriority w:val="99"/>
    <w:semiHidden/>
    <w:rsid w:val="00014566"/>
    <w:pPr>
      <w:numPr>
        <w:numId w:val="10"/>
      </w:numPr>
    </w:pPr>
  </w:style>
  <w:style w:type="numbering" w:styleId="a1">
    <w:name w:val="Outline List 3"/>
    <w:basedOn w:val="a5"/>
    <w:uiPriority w:val="99"/>
    <w:semiHidden/>
    <w:rsid w:val="00014566"/>
    <w:pPr>
      <w:numPr>
        <w:numId w:val="11"/>
      </w:numPr>
    </w:pPr>
  </w:style>
  <w:style w:type="paragraph" w:styleId="afff">
    <w:name w:val="Bibliography"/>
    <w:basedOn w:val="a2"/>
    <w:next w:val="a2"/>
    <w:uiPriority w:val="99"/>
    <w:semiHidden/>
    <w:unhideWhenUsed/>
    <w:rsid w:val="00014566"/>
  </w:style>
  <w:style w:type="paragraph" w:styleId="afff0">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1">
    <w:name w:val="Body Text"/>
    <w:basedOn w:val="a2"/>
    <w:link w:val="afff2"/>
    <w:uiPriority w:val="99"/>
    <w:semiHidden/>
    <w:rsid w:val="00014566"/>
    <w:pPr>
      <w:spacing w:after="120"/>
    </w:pPr>
  </w:style>
  <w:style w:type="character" w:customStyle="1" w:styleId="afff2">
    <w:name w:val="Основной текст Знак"/>
    <w:basedOn w:val="a3"/>
    <w:link w:val="afff1"/>
    <w:uiPriority w:val="99"/>
    <w:semiHidden/>
    <w:rsid w:val="00014566"/>
    <w:rPr>
      <w:rFonts w:eastAsiaTheme="minorEastAsia"/>
      <w:sz w:val="24"/>
    </w:rPr>
  </w:style>
  <w:style w:type="paragraph" w:styleId="26">
    <w:name w:val="Body Text 2"/>
    <w:basedOn w:val="a2"/>
    <w:link w:val="27"/>
    <w:uiPriority w:val="99"/>
    <w:semiHidden/>
    <w:rsid w:val="00014566"/>
    <w:pPr>
      <w:spacing w:after="120" w:line="480" w:lineRule="auto"/>
    </w:pPr>
  </w:style>
  <w:style w:type="character" w:customStyle="1" w:styleId="27">
    <w:name w:val="Основной текст 2 Знак"/>
    <w:basedOn w:val="a3"/>
    <w:link w:val="26"/>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ной текст 3 Знак"/>
    <w:basedOn w:val="a3"/>
    <w:link w:val="34"/>
    <w:uiPriority w:val="99"/>
    <w:semiHidden/>
    <w:rsid w:val="00014566"/>
    <w:rPr>
      <w:rFonts w:eastAsiaTheme="minorEastAsia"/>
      <w:sz w:val="16"/>
      <w:szCs w:val="16"/>
    </w:rPr>
  </w:style>
  <w:style w:type="paragraph" w:styleId="afff3">
    <w:name w:val="Body Text First Indent"/>
    <w:basedOn w:val="afff1"/>
    <w:link w:val="afff4"/>
    <w:uiPriority w:val="99"/>
    <w:semiHidden/>
    <w:rsid w:val="00014566"/>
    <w:pPr>
      <w:spacing w:after="0"/>
      <w:ind w:firstLine="360"/>
    </w:pPr>
  </w:style>
  <w:style w:type="character" w:customStyle="1" w:styleId="afff4">
    <w:name w:val="Красная строка Знак"/>
    <w:basedOn w:val="afff2"/>
    <w:link w:val="afff3"/>
    <w:uiPriority w:val="99"/>
    <w:semiHidden/>
    <w:rsid w:val="00014566"/>
    <w:rPr>
      <w:rFonts w:eastAsiaTheme="minorEastAsia"/>
      <w:sz w:val="24"/>
    </w:rPr>
  </w:style>
  <w:style w:type="paragraph" w:styleId="afff5">
    <w:name w:val="Body Text Indent"/>
    <w:basedOn w:val="a2"/>
    <w:link w:val="afff6"/>
    <w:uiPriority w:val="99"/>
    <w:semiHidden/>
    <w:rsid w:val="00014566"/>
    <w:pPr>
      <w:spacing w:after="120"/>
      <w:ind w:left="283"/>
    </w:pPr>
  </w:style>
  <w:style w:type="character" w:customStyle="1" w:styleId="afff6">
    <w:name w:val="Основной текст с отступом Знак"/>
    <w:basedOn w:val="a3"/>
    <w:link w:val="afff5"/>
    <w:uiPriority w:val="99"/>
    <w:semiHidden/>
    <w:rsid w:val="00014566"/>
    <w:rPr>
      <w:rFonts w:eastAsiaTheme="minorEastAsia"/>
      <w:sz w:val="24"/>
    </w:rPr>
  </w:style>
  <w:style w:type="paragraph" w:styleId="28">
    <w:name w:val="Body Text First Indent 2"/>
    <w:basedOn w:val="afff5"/>
    <w:link w:val="29"/>
    <w:uiPriority w:val="99"/>
    <w:semiHidden/>
    <w:rsid w:val="00014566"/>
    <w:pPr>
      <w:spacing w:after="0"/>
      <w:ind w:left="360" w:firstLine="360"/>
    </w:pPr>
  </w:style>
  <w:style w:type="character" w:customStyle="1" w:styleId="29">
    <w:name w:val="Красная строка 2 Знак"/>
    <w:basedOn w:val="afff6"/>
    <w:link w:val="28"/>
    <w:uiPriority w:val="99"/>
    <w:semiHidden/>
    <w:rsid w:val="00014566"/>
    <w:rPr>
      <w:rFonts w:eastAsiaTheme="minorEastAsia"/>
      <w:sz w:val="24"/>
    </w:rPr>
  </w:style>
  <w:style w:type="paragraph" w:styleId="2a">
    <w:name w:val="Body Text Indent 2"/>
    <w:basedOn w:val="a2"/>
    <w:link w:val="2b"/>
    <w:uiPriority w:val="99"/>
    <w:semiHidden/>
    <w:rsid w:val="00014566"/>
    <w:pPr>
      <w:spacing w:after="120" w:line="480" w:lineRule="auto"/>
      <w:ind w:left="283"/>
    </w:pPr>
  </w:style>
  <w:style w:type="character" w:customStyle="1" w:styleId="2b">
    <w:name w:val="Основной текст с отступом 2 Знак"/>
    <w:basedOn w:val="a3"/>
    <w:link w:val="2a"/>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ной текст с отступом 3 Знак"/>
    <w:basedOn w:val="a3"/>
    <w:link w:val="36"/>
    <w:uiPriority w:val="99"/>
    <w:semiHidden/>
    <w:rsid w:val="00014566"/>
    <w:rPr>
      <w:rFonts w:eastAsiaTheme="minorEastAsia"/>
      <w:sz w:val="16"/>
      <w:szCs w:val="16"/>
    </w:rPr>
  </w:style>
  <w:style w:type="paragraph" w:styleId="afff7">
    <w:name w:val="caption"/>
    <w:basedOn w:val="a2"/>
    <w:next w:val="a2"/>
    <w:uiPriority w:val="99"/>
    <w:semiHidden/>
    <w:qFormat/>
    <w:rsid w:val="00014566"/>
    <w:pPr>
      <w:spacing w:after="200"/>
    </w:pPr>
    <w:rPr>
      <w:b/>
      <w:bCs/>
      <w:color w:val="0072BC" w:themeColor="accent1"/>
      <w:sz w:val="18"/>
      <w:szCs w:val="18"/>
    </w:rPr>
  </w:style>
  <w:style w:type="paragraph" w:styleId="afff8">
    <w:name w:val="Closing"/>
    <w:basedOn w:val="a2"/>
    <w:link w:val="afff9"/>
    <w:uiPriority w:val="99"/>
    <w:semiHidden/>
    <w:rsid w:val="00014566"/>
    <w:pPr>
      <w:ind w:left="4252"/>
    </w:pPr>
  </w:style>
  <w:style w:type="character" w:customStyle="1" w:styleId="afff9">
    <w:name w:val="Прощание Знак"/>
    <w:basedOn w:val="a3"/>
    <w:link w:val="afff8"/>
    <w:uiPriority w:val="99"/>
    <w:semiHidden/>
    <w:rsid w:val="00014566"/>
    <w:rPr>
      <w:rFonts w:eastAsiaTheme="minorEastAsia"/>
      <w:sz w:val="24"/>
    </w:rPr>
  </w:style>
  <w:style w:type="table" w:styleId="afffa">
    <w:name w:val="Colorful Grid"/>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014566"/>
  </w:style>
  <w:style w:type="character" w:customStyle="1" w:styleId="affff">
    <w:name w:val="Дата Знак"/>
    <w:basedOn w:val="a3"/>
    <w:link w:val="afffe"/>
    <w:uiPriority w:val="99"/>
    <w:semiHidden/>
    <w:rsid w:val="00014566"/>
    <w:rPr>
      <w:rFonts w:eastAsiaTheme="minorEastAsia"/>
      <w:sz w:val="24"/>
    </w:rPr>
  </w:style>
  <w:style w:type="paragraph" w:styleId="affff0">
    <w:name w:val="E-mail Signature"/>
    <w:basedOn w:val="a2"/>
    <w:link w:val="affff1"/>
    <w:uiPriority w:val="99"/>
    <w:semiHidden/>
    <w:rsid w:val="00014566"/>
  </w:style>
  <w:style w:type="character" w:customStyle="1" w:styleId="affff1">
    <w:name w:val="Электронная подпись Знак"/>
    <w:basedOn w:val="a3"/>
    <w:link w:val="affff0"/>
    <w:uiPriority w:val="99"/>
    <w:semiHidden/>
    <w:rsid w:val="00014566"/>
    <w:rPr>
      <w:rFonts w:eastAsiaTheme="minorEastAsia"/>
      <w:sz w:val="24"/>
    </w:rPr>
  </w:style>
  <w:style w:type="paragraph" w:styleId="affff2">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Адрес HTML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Стандартный HTML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d">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3">
    <w:name w:val="index heading"/>
    <w:basedOn w:val="a2"/>
    <w:next w:val="12"/>
    <w:uiPriority w:val="99"/>
    <w:semiHidden/>
    <w:rsid w:val="00014566"/>
    <w:rPr>
      <w:rFonts w:asciiTheme="majorHAnsi" w:eastAsiaTheme="majorEastAsia" w:hAnsiTheme="majorHAnsi" w:cstheme="majorBidi"/>
      <w:b/>
      <w:bCs/>
    </w:rPr>
  </w:style>
  <w:style w:type="table" w:styleId="affff4">
    <w:name w:val="Light Grid"/>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014566"/>
  </w:style>
  <w:style w:type="paragraph" w:styleId="affff8">
    <w:name w:val="List"/>
    <w:basedOn w:val="a2"/>
    <w:uiPriority w:val="99"/>
    <w:semiHidden/>
    <w:rsid w:val="00014566"/>
    <w:pPr>
      <w:ind w:left="283" w:hanging="283"/>
      <w:contextualSpacing/>
    </w:pPr>
  </w:style>
  <w:style w:type="paragraph" w:styleId="2e">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12"/>
      </w:numPr>
      <w:contextualSpacing/>
    </w:pPr>
  </w:style>
  <w:style w:type="paragraph" w:styleId="30">
    <w:name w:val="List Bullet 3"/>
    <w:basedOn w:val="a2"/>
    <w:uiPriority w:val="99"/>
    <w:semiHidden/>
    <w:rsid w:val="00014566"/>
    <w:pPr>
      <w:numPr>
        <w:numId w:val="13"/>
      </w:numPr>
      <w:contextualSpacing/>
    </w:pPr>
  </w:style>
  <w:style w:type="paragraph" w:styleId="40">
    <w:name w:val="List Bullet 4"/>
    <w:basedOn w:val="a2"/>
    <w:uiPriority w:val="99"/>
    <w:semiHidden/>
    <w:rsid w:val="00014566"/>
    <w:pPr>
      <w:numPr>
        <w:numId w:val="14"/>
      </w:numPr>
      <w:contextualSpacing/>
    </w:pPr>
  </w:style>
  <w:style w:type="paragraph" w:styleId="50">
    <w:name w:val="List Bullet 5"/>
    <w:basedOn w:val="a2"/>
    <w:uiPriority w:val="99"/>
    <w:semiHidden/>
    <w:rsid w:val="00014566"/>
    <w:pPr>
      <w:numPr>
        <w:numId w:val="15"/>
      </w:numPr>
      <w:contextualSpacing/>
    </w:pPr>
  </w:style>
  <w:style w:type="paragraph" w:styleId="affff9">
    <w:name w:val="List Continue"/>
    <w:basedOn w:val="a2"/>
    <w:uiPriority w:val="99"/>
    <w:semiHidden/>
    <w:rsid w:val="00014566"/>
    <w:pPr>
      <w:spacing w:after="120"/>
      <w:ind w:left="283"/>
      <w:contextualSpacing/>
    </w:pPr>
  </w:style>
  <w:style w:type="paragraph" w:styleId="2f">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16"/>
      </w:numPr>
      <w:contextualSpacing/>
    </w:pPr>
  </w:style>
  <w:style w:type="paragraph" w:styleId="2">
    <w:name w:val="List Number 2"/>
    <w:basedOn w:val="a2"/>
    <w:uiPriority w:val="99"/>
    <w:semiHidden/>
    <w:rsid w:val="00014566"/>
    <w:pPr>
      <w:numPr>
        <w:numId w:val="17"/>
      </w:numPr>
      <w:contextualSpacing/>
    </w:pPr>
  </w:style>
  <w:style w:type="paragraph" w:styleId="3">
    <w:name w:val="List Number 3"/>
    <w:basedOn w:val="a2"/>
    <w:uiPriority w:val="99"/>
    <w:semiHidden/>
    <w:rsid w:val="00014566"/>
    <w:pPr>
      <w:numPr>
        <w:numId w:val="18"/>
      </w:numPr>
      <w:contextualSpacing/>
    </w:pPr>
  </w:style>
  <w:style w:type="paragraph" w:styleId="4">
    <w:name w:val="List Number 4"/>
    <w:basedOn w:val="a2"/>
    <w:uiPriority w:val="99"/>
    <w:semiHidden/>
    <w:rsid w:val="00014566"/>
    <w:pPr>
      <w:numPr>
        <w:numId w:val="19"/>
      </w:numPr>
      <w:contextualSpacing/>
    </w:pPr>
  </w:style>
  <w:style w:type="paragraph" w:styleId="5">
    <w:name w:val="List Number 5"/>
    <w:basedOn w:val="a2"/>
    <w:uiPriority w:val="99"/>
    <w:semiHidden/>
    <w:rsid w:val="00014566"/>
    <w:pPr>
      <w:numPr>
        <w:numId w:val="20"/>
      </w:numPr>
      <w:contextualSpacing/>
    </w:pPr>
  </w:style>
  <w:style w:type="paragraph" w:styleId="affffa">
    <w:name w:val="macro"/>
    <w:link w:val="affffb"/>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affffb">
    <w:name w:val="Текст макроса Знак"/>
    <w:basedOn w:val="a3"/>
    <w:link w:val="affffa"/>
    <w:uiPriority w:val="99"/>
    <w:semiHidden/>
    <w:rsid w:val="00014566"/>
    <w:rPr>
      <w:rFonts w:ascii="Consolas" w:hAnsi="Consolas" w:cs="Consolas"/>
      <w:sz w:val="20"/>
      <w:szCs w:val="20"/>
      <w:lang w:val="en-GB" w:eastAsia="fr-FR"/>
    </w:rPr>
  </w:style>
  <w:style w:type="table" w:styleId="13">
    <w:name w:val="Medium Grid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014566"/>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014566"/>
    <w:rPr>
      <w:rFonts w:ascii="Times New Roman" w:hAnsi="Times New Roman" w:cs="Times New Roman"/>
      <w:szCs w:val="24"/>
    </w:rPr>
  </w:style>
  <w:style w:type="paragraph" w:styleId="afffff">
    <w:name w:val="Normal Indent"/>
    <w:basedOn w:val="a2"/>
    <w:uiPriority w:val="99"/>
    <w:semiHidden/>
    <w:rsid w:val="00014566"/>
    <w:pPr>
      <w:ind w:left="720"/>
    </w:pPr>
  </w:style>
  <w:style w:type="paragraph" w:styleId="afffff0">
    <w:name w:val="Note Heading"/>
    <w:basedOn w:val="a2"/>
    <w:next w:val="a2"/>
    <w:link w:val="afffff1"/>
    <w:uiPriority w:val="99"/>
    <w:semiHidden/>
    <w:rsid w:val="00014566"/>
  </w:style>
  <w:style w:type="character" w:customStyle="1" w:styleId="afffff1">
    <w:name w:val="Заголовок записки Знак"/>
    <w:basedOn w:val="a3"/>
    <w:link w:val="afffff0"/>
    <w:uiPriority w:val="99"/>
    <w:semiHidden/>
    <w:rsid w:val="00014566"/>
    <w:rPr>
      <w:rFonts w:eastAsiaTheme="minorEastAsia"/>
      <w:sz w:val="24"/>
    </w:rPr>
  </w:style>
  <w:style w:type="character" w:styleId="afffff2">
    <w:name w:val="Placeholder Text"/>
    <w:basedOn w:val="a3"/>
    <w:uiPriority w:val="99"/>
    <w:semiHidden/>
    <w:rsid w:val="004D0117"/>
    <w:rPr>
      <w:color w:val="auto"/>
      <w:bdr w:val="none" w:sz="0" w:space="0" w:color="auto"/>
      <w:shd w:val="clear" w:color="auto" w:fill="DFDFDF" w:themeFill="background2" w:themeFillShade="E6"/>
    </w:rPr>
  </w:style>
  <w:style w:type="paragraph" w:styleId="afffff3">
    <w:name w:val="Plain Text"/>
    <w:basedOn w:val="a2"/>
    <w:link w:val="afffff4"/>
    <w:uiPriority w:val="99"/>
    <w:semiHidden/>
    <w:rsid w:val="00014566"/>
    <w:rPr>
      <w:rFonts w:ascii="Consolas" w:hAnsi="Consolas" w:cs="Consolas"/>
      <w:sz w:val="21"/>
      <w:szCs w:val="21"/>
    </w:rPr>
  </w:style>
  <w:style w:type="character" w:customStyle="1" w:styleId="afffff4">
    <w:name w:val="Текст Знак"/>
    <w:basedOn w:val="a3"/>
    <w:link w:val="afffff3"/>
    <w:uiPriority w:val="99"/>
    <w:semiHidden/>
    <w:rsid w:val="00014566"/>
    <w:rPr>
      <w:rFonts w:ascii="Consolas" w:eastAsiaTheme="minorEastAsia" w:hAnsi="Consolas" w:cs="Consolas"/>
      <w:sz w:val="21"/>
      <w:szCs w:val="21"/>
    </w:rPr>
  </w:style>
  <w:style w:type="paragraph" w:styleId="afffff5">
    <w:name w:val="Salutation"/>
    <w:basedOn w:val="a2"/>
    <w:next w:val="a2"/>
    <w:link w:val="afffff6"/>
    <w:uiPriority w:val="99"/>
    <w:semiHidden/>
    <w:rsid w:val="00014566"/>
  </w:style>
  <w:style w:type="character" w:customStyle="1" w:styleId="afffff6">
    <w:name w:val="Приветствие Знак"/>
    <w:basedOn w:val="a3"/>
    <w:link w:val="afffff5"/>
    <w:uiPriority w:val="99"/>
    <w:semiHidden/>
    <w:rsid w:val="00014566"/>
    <w:rPr>
      <w:rFonts w:eastAsiaTheme="minorEastAsia"/>
      <w:sz w:val="24"/>
    </w:rPr>
  </w:style>
  <w:style w:type="paragraph" w:styleId="afffff7">
    <w:name w:val="Signature"/>
    <w:basedOn w:val="a2"/>
    <w:link w:val="afffff8"/>
    <w:uiPriority w:val="99"/>
    <w:semiHidden/>
    <w:rsid w:val="00014566"/>
    <w:pPr>
      <w:ind w:left="4252"/>
    </w:pPr>
  </w:style>
  <w:style w:type="character" w:customStyle="1" w:styleId="afffff8">
    <w:name w:val="Подпись Знак"/>
    <w:basedOn w:val="a3"/>
    <w:link w:val="afffff7"/>
    <w:uiPriority w:val="99"/>
    <w:semiHidden/>
    <w:rsid w:val="00014566"/>
    <w:rPr>
      <w:rFonts w:eastAsiaTheme="minorEastAsia"/>
      <w:sz w:val="24"/>
    </w:rPr>
  </w:style>
  <w:style w:type="table" w:styleId="16">
    <w:name w:val="Table 3D effects 1"/>
    <w:basedOn w:val="a4"/>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014566"/>
    <w:pPr>
      <w:ind w:left="240" w:hanging="240"/>
    </w:pPr>
  </w:style>
  <w:style w:type="paragraph" w:styleId="afffffc">
    <w:name w:val="table of figures"/>
    <w:basedOn w:val="a2"/>
    <w:next w:val="a2"/>
    <w:uiPriority w:val="99"/>
    <w:semiHidden/>
    <w:rsid w:val="00014566"/>
  </w:style>
  <w:style w:type="table" w:styleId="afffffd">
    <w:name w:val="Table Professional"/>
    <w:basedOn w:val="a4"/>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4D0117"/>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4D0117"/>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paragraph" w:customStyle="1" w:styleId="OpiQuot">
    <w:name w:val="Opi_Quot"/>
    <w:basedOn w:val="ECHRParaQuote"/>
    <w:uiPriority w:val="48"/>
    <w:qFormat/>
    <w:rsid w:val="00542B4F"/>
  </w:style>
  <w:style w:type="paragraph" w:customStyle="1" w:styleId="OpiQuotSub">
    <w:name w:val="Opi_Quot_Sub"/>
    <w:basedOn w:val="JuQuotSub"/>
    <w:uiPriority w:val="49"/>
    <w:qFormat/>
    <w:rsid w:val="00542B4F"/>
  </w:style>
  <w:style w:type="paragraph" w:customStyle="1" w:styleId="OpiHA">
    <w:name w:val="Opi_H_A"/>
    <w:basedOn w:val="ECHRHeading1"/>
    <w:next w:val="OpiPara"/>
    <w:uiPriority w:val="41"/>
    <w:qFormat/>
    <w:rsid w:val="00542B4F"/>
    <w:pPr>
      <w:tabs>
        <w:tab w:val="clear" w:pos="357"/>
      </w:tabs>
      <w:outlineLvl w:val="1"/>
    </w:pPr>
    <w:rPr>
      <w:b/>
    </w:rPr>
  </w:style>
  <w:style w:type="paragraph" w:customStyle="1" w:styleId="OpiTranslation">
    <w:name w:val="Opi_Translation"/>
    <w:basedOn w:val="a2"/>
    <w:next w:val="OpiPara"/>
    <w:uiPriority w:val="40"/>
    <w:qFormat/>
    <w:rsid w:val="00542B4F"/>
    <w:pPr>
      <w:jc w:val="center"/>
      <w:outlineLvl w:val="0"/>
    </w:pPr>
    <w:rPr>
      <w:i/>
    </w:rPr>
  </w:style>
  <w:style w:type="paragraph" w:customStyle="1" w:styleId="OpiH1">
    <w:name w:val="Opi_H_1"/>
    <w:basedOn w:val="ECHRHeading2"/>
    <w:uiPriority w:val="42"/>
    <w:qFormat/>
    <w:rsid w:val="00542B4F"/>
    <w:pPr>
      <w:ind w:left="635" w:hanging="357"/>
      <w:outlineLvl w:val="2"/>
    </w:pPr>
  </w:style>
  <w:style w:type="paragraph" w:customStyle="1" w:styleId="OpiHa0">
    <w:name w:val="Opi_H_a"/>
    <w:basedOn w:val="ECHRHeading3"/>
    <w:uiPriority w:val="43"/>
    <w:qFormat/>
    <w:rsid w:val="00542B4F"/>
    <w:pPr>
      <w:ind w:left="833" w:hanging="357"/>
      <w:outlineLvl w:val="3"/>
    </w:pPr>
    <w:rPr>
      <w:b/>
      <w:i w:val="0"/>
      <w:sz w:val="20"/>
    </w:rPr>
  </w:style>
  <w:style w:type="paragraph" w:customStyle="1" w:styleId="OpiHi">
    <w:name w:val="Opi_H_i"/>
    <w:basedOn w:val="ECHRHeading4"/>
    <w:uiPriority w:val="44"/>
    <w:qFormat/>
    <w:rsid w:val="00542B4F"/>
    <w:pPr>
      <w:ind w:left="1037" w:hanging="357"/>
      <w:outlineLvl w:val="4"/>
    </w:pPr>
    <w:rPr>
      <w:b w:val="0"/>
      <w:i/>
    </w:rPr>
  </w:style>
  <w:style w:type="paragraph" w:customStyle="1" w:styleId="DummyStyle">
    <w:name w:val="Dummy_Style"/>
    <w:basedOn w:val="a2"/>
    <w:semiHidden/>
    <w:qFormat/>
    <w:rsid w:val="00542B4F"/>
    <w:rPr>
      <w:color w:val="00B050"/>
    </w:rPr>
  </w:style>
  <w:style w:type="character" w:customStyle="1" w:styleId="ECHRParaChar1">
    <w:name w:val="ECHR_Para Char1"/>
    <w:aliases w:val="Ju_Para Char1"/>
    <w:link w:val="ECHRPara"/>
    <w:uiPriority w:val="12"/>
    <w:rsid w:val="00801062"/>
    <w:rPr>
      <w:rFonts w:eastAsiaTheme="minorEastAsia"/>
      <w:sz w:val="24"/>
      <w:lang w:val="en-GB"/>
    </w:rPr>
  </w:style>
  <w:style w:type="paragraph" w:styleId="affffff">
    <w:name w:val="Revision"/>
    <w:hidden/>
    <w:uiPriority w:val="99"/>
    <w:semiHidden/>
    <w:rsid w:val="009A24F3"/>
    <w:rPr>
      <w:rFonts w:eastAsiaTheme="minorEastAsia"/>
      <w:sz w:val="24"/>
    </w:rPr>
  </w:style>
  <w:style w:type="character" w:customStyle="1" w:styleId="ECHRParaChar">
    <w:name w:val="ECHR_Para Char"/>
    <w:aliases w:val="Ju_Para Char"/>
    <w:uiPriority w:val="12"/>
    <w:rsid w:val="009225EA"/>
    <w:rPr>
      <w:rFonts w:eastAsiaTheme="minorEastAs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3062">
      <w:bodyDiv w:val="1"/>
      <w:marLeft w:val="0"/>
      <w:marRight w:val="0"/>
      <w:marTop w:val="0"/>
      <w:marBottom w:val="0"/>
      <w:divBdr>
        <w:top w:val="none" w:sz="0" w:space="0" w:color="auto"/>
        <w:left w:val="none" w:sz="0" w:space="0" w:color="auto"/>
        <w:bottom w:val="none" w:sz="0" w:space="0" w:color="auto"/>
        <w:right w:val="none" w:sz="0" w:space="0" w:color="auto"/>
      </w:divBdr>
      <w:divsChild>
        <w:div w:id="1972319366">
          <w:marLeft w:val="0"/>
          <w:marRight w:val="0"/>
          <w:marTop w:val="0"/>
          <w:marBottom w:val="0"/>
          <w:divBdr>
            <w:top w:val="none" w:sz="0" w:space="0" w:color="auto"/>
            <w:left w:val="none" w:sz="0" w:space="0" w:color="auto"/>
            <w:bottom w:val="none" w:sz="0" w:space="0" w:color="auto"/>
            <w:right w:val="none" w:sz="0" w:space="0" w:color="auto"/>
          </w:divBdr>
          <w:divsChild>
            <w:div w:id="1928152699">
              <w:marLeft w:val="0"/>
              <w:marRight w:val="0"/>
              <w:marTop w:val="0"/>
              <w:marBottom w:val="0"/>
              <w:divBdr>
                <w:top w:val="none" w:sz="0" w:space="0" w:color="auto"/>
                <w:left w:val="none" w:sz="0" w:space="0" w:color="auto"/>
                <w:bottom w:val="none" w:sz="0" w:space="0" w:color="auto"/>
                <w:right w:val="none" w:sz="0" w:space="0" w:color="auto"/>
              </w:divBdr>
              <w:divsChild>
                <w:div w:id="1083724081">
                  <w:marLeft w:val="0"/>
                  <w:marRight w:val="0"/>
                  <w:marTop w:val="0"/>
                  <w:marBottom w:val="0"/>
                  <w:divBdr>
                    <w:top w:val="none" w:sz="0" w:space="0" w:color="auto"/>
                    <w:left w:val="none" w:sz="0" w:space="0" w:color="auto"/>
                    <w:bottom w:val="none" w:sz="0" w:space="0" w:color="auto"/>
                    <w:right w:val="none" w:sz="0" w:space="0" w:color="auto"/>
                  </w:divBdr>
                  <w:divsChild>
                    <w:div w:id="668603705">
                      <w:marLeft w:val="0"/>
                      <w:marRight w:val="0"/>
                      <w:marTop w:val="0"/>
                      <w:marBottom w:val="0"/>
                      <w:divBdr>
                        <w:top w:val="none" w:sz="0" w:space="0" w:color="auto"/>
                        <w:left w:val="none" w:sz="0" w:space="0" w:color="auto"/>
                        <w:bottom w:val="none" w:sz="0" w:space="0" w:color="auto"/>
                        <w:right w:val="none" w:sz="0" w:space="0" w:color="auto"/>
                      </w:divBdr>
                      <w:divsChild>
                        <w:div w:id="393965090">
                          <w:marLeft w:val="0"/>
                          <w:marRight w:val="0"/>
                          <w:marTop w:val="0"/>
                          <w:marBottom w:val="0"/>
                          <w:divBdr>
                            <w:top w:val="none" w:sz="0" w:space="0" w:color="auto"/>
                            <w:left w:val="none" w:sz="0" w:space="0" w:color="auto"/>
                            <w:bottom w:val="none" w:sz="0" w:space="0" w:color="auto"/>
                            <w:right w:val="none" w:sz="0" w:space="0" w:color="auto"/>
                          </w:divBdr>
                          <w:divsChild>
                            <w:div w:id="10654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913788">
      <w:bodyDiv w:val="1"/>
      <w:marLeft w:val="0"/>
      <w:marRight w:val="0"/>
      <w:marTop w:val="0"/>
      <w:marBottom w:val="0"/>
      <w:divBdr>
        <w:top w:val="none" w:sz="0" w:space="0" w:color="auto"/>
        <w:left w:val="none" w:sz="0" w:space="0" w:color="auto"/>
        <w:bottom w:val="none" w:sz="0" w:space="0" w:color="auto"/>
        <w:right w:val="none" w:sz="0" w:space="0" w:color="auto"/>
      </w:divBdr>
      <w:divsChild>
        <w:div w:id="1778016997">
          <w:marLeft w:val="0"/>
          <w:marRight w:val="0"/>
          <w:marTop w:val="0"/>
          <w:marBottom w:val="0"/>
          <w:divBdr>
            <w:top w:val="none" w:sz="0" w:space="0" w:color="auto"/>
            <w:left w:val="none" w:sz="0" w:space="0" w:color="auto"/>
            <w:bottom w:val="none" w:sz="0" w:space="0" w:color="auto"/>
            <w:right w:val="none" w:sz="0" w:space="0" w:color="auto"/>
          </w:divBdr>
          <w:divsChild>
            <w:div w:id="1109619286">
              <w:marLeft w:val="0"/>
              <w:marRight w:val="0"/>
              <w:marTop w:val="0"/>
              <w:marBottom w:val="0"/>
              <w:divBdr>
                <w:top w:val="none" w:sz="0" w:space="0" w:color="auto"/>
                <w:left w:val="none" w:sz="0" w:space="0" w:color="auto"/>
                <w:bottom w:val="none" w:sz="0" w:space="0" w:color="auto"/>
                <w:right w:val="none" w:sz="0" w:space="0" w:color="auto"/>
              </w:divBdr>
              <w:divsChild>
                <w:div w:id="207887043">
                  <w:marLeft w:val="0"/>
                  <w:marRight w:val="0"/>
                  <w:marTop w:val="0"/>
                  <w:marBottom w:val="0"/>
                  <w:divBdr>
                    <w:top w:val="none" w:sz="0" w:space="0" w:color="auto"/>
                    <w:left w:val="none" w:sz="0" w:space="0" w:color="auto"/>
                    <w:bottom w:val="none" w:sz="0" w:space="0" w:color="auto"/>
                    <w:right w:val="none" w:sz="0" w:space="0" w:color="auto"/>
                  </w:divBdr>
                  <w:divsChild>
                    <w:div w:id="78723023">
                      <w:marLeft w:val="0"/>
                      <w:marRight w:val="0"/>
                      <w:marTop w:val="0"/>
                      <w:marBottom w:val="0"/>
                      <w:divBdr>
                        <w:top w:val="none" w:sz="0" w:space="0" w:color="auto"/>
                        <w:left w:val="none" w:sz="0" w:space="0" w:color="auto"/>
                        <w:bottom w:val="none" w:sz="0" w:space="0" w:color="auto"/>
                        <w:right w:val="none" w:sz="0" w:space="0" w:color="auto"/>
                      </w:divBdr>
                      <w:divsChild>
                        <w:div w:id="1470323982">
                          <w:marLeft w:val="0"/>
                          <w:marRight w:val="0"/>
                          <w:marTop w:val="0"/>
                          <w:marBottom w:val="0"/>
                          <w:divBdr>
                            <w:top w:val="none" w:sz="0" w:space="0" w:color="auto"/>
                            <w:left w:val="none" w:sz="0" w:space="0" w:color="auto"/>
                            <w:bottom w:val="none" w:sz="0" w:space="0" w:color="auto"/>
                            <w:right w:val="none" w:sz="0" w:space="0" w:color="auto"/>
                          </w:divBdr>
                          <w:divsChild>
                            <w:div w:id="2797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962521">
      <w:bodyDiv w:val="1"/>
      <w:marLeft w:val="0"/>
      <w:marRight w:val="0"/>
      <w:marTop w:val="0"/>
      <w:marBottom w:val="0"/>
      <w:divBdr>
        <w:top w:val="none" w:sz="0" w:space="0" w:color="auto"/>
        <w:left w:val="none" w:sz="0" w:space="0" w:color="auto"/>
        <w:bottom w:val="none" w:sz="0" w:space="0" w:color="auto"/>
        <w:right w:val="none" w:sz="0" w:space="0" w:color="auto"/>
      </w:divBdr>
      <w:divsChild>
        <w:div w:id="155726412">
          <w:marLeft w:val="0"/>
          <w:marRight w:val="0"/>
          <w:marTop w:val="0"/>
          <w:marBottom w:val="0"/>
          <w:divBdr>
            <w:top w:val="none" w:sz="0" w:space="0" w:color="auto"/>
            <w:left w:val="none" w:sz="0" w:space="0" w:color="auto"/>
            <w:bottom w:val="none" w:sz="0" w:space="0" w:color="auto"/>
            <w:right w:val="none" w:sz="0" w:space="0" w:color="auto"/>
          </w:divBdr>
          <w:divsChild>
            <w:div w:id="1513035631">
              <w:marLeft w:val="0"/>
              <w:marRight w:val="0"/>
              <w:marTop w:val="0"/>
              <w:marBottom w:val="0"/>
              <w:divBdr>
                <w:top w:val="none" w:sz="0" w:space="0" w:color="auto"/>
                <w:left w:val="none" w:sz="0" w:space="0" w:color="auto"/>
                <w:bottom w:val="none" w:sz="0" w:space="0" w:color="auto"/>
                <w:right w:val="none" w:sz="0" w:space="0" w:color="auto"/>
              </w:divBdr>
              <w:divsChild>
                <w:div w:id="1648313751">
                  <w:marLeft w:val="0"/>
                  <w:marRight w:val="0"/>
                  <w:marTop w:val="0"/>
                  <w:marBottom w:val="0"/>
                  <w:divBdr>
                    <w:top w:val="none" w:sz="0" w:space="0" w:color="auto"/>
                    <w:left w:val="none" w:sz="0" w:space="0" w:color="auto"/>
                    <w:bottom w:val="none" w:sz="0" w:space="0" w:color="auto"/>
                    <w:right w:val="none" w:sz="0" w:space="0" w:color="auto"/>
                  </w:divBdr>
                  <w:divsChild>
                    <w:div w:id="1678076581">
                      <w:marLeft w:val="0"/>
                      <w:marRight w:val="0"/>
                      <w:marTop w:val="0"/>
                      <w:marBottom w:val="0"/>
                      <w:divBdr>
                        <w:top w:val="none" w:sz="0" w:space="0" w:color="auto"/>
                        <w:left w:val="none" w:sz="0" w:space="0" w:color="auto"/>
                        <w:bottom w:val="none" w:sz="0" w:space="0" w:color="auto"/>
                        <w:right w:val="none" w:sz="0" w:space="0" w:color="auto"/>
                      </w:divBdr>
                      <w:divsChild>
                        <w:div w:id="1073427299">
                          <w:marLeft w:val="0"/>
                          <w:marRight w:val="0"/>
                          <w:marTop w:val="0"/>
                          <w:marBottom w:val="0"/>
                          <w:divBdr>
                            <w:top w:val="none" w:sz="0" w:space="0" w:color="auto"/>
                            <w:left w:val="none" w:sz="0" w:space="0" w:color="auto"/>
                            <w:bottom w:val="none" w:sz="0" w:space="0" w:color="auto"/>
                            <w:right w:val="none" w:sz="0" w:space="0" w:color="auto"/>
                          </w:divBdr>
                          <w:divsChild>
                            <w:div w:id="1476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710696">
      <w:bodyDiv w:val="1"/>
      <w:marLeft w:val="0"/>
      <w:marRight w:val="0"/>
      <w:marTop w:val="0"/>
      <w:marBottom w:val="0"/>
      <w:divBdr>
        <w:top w:val="none" w:sz="0" w:space="0" w:color="auto"/>
        <w:left w:val="none" w:sz="0" w:space="0" w:color="auto"/>
        <w:bottom w:val="none" w:sz="0" w:space="0" w:color="auto"/>
        <w:right w:val="none" w:sz="0" w:space="0" w:color="auto"/>
      </w:divBdr>
      <w:divsChild>
        <w:div w:id="547962028">
          <w:marLeft w:val="0"/>
          <w:marRight w:val="0"/>
          <w:marTop w:val="0"/>
          <w:marBottom w:val="0"/>
          <w:divBdr>
            <w:top w:val="none" w:sz="0" w:space="0" w:color="auto"/>
            <w:left w:val="none" w:sz="0" w:space="0" w:color="auto"/>
            <w:bottom w:val="none" w:sz="0" w:space="0" w:color="auto"/>
            <w:right w:val="none" w:sz="0" w:space="0" w:color="auto"/>
          </w:divBdr>
          <w:divsChild>
            <w:div w:id="15540867">
              <w:marLeft w:val="0"/>
              <w:marRight w:val="0"/>
              <w:marTop w:val="0"/>
              <w:marBottom w:val="0"/>
              <w:divBdr>
                <w:top w:val="none" w:sz="0" w:space="0" w:color="auto"/>
                <w:left w:val="none" w:sz="0" w:space="0" w:color="auto"/>
                <w:bottom w:val="none" w:sz="0" w:space="0" w:color="auto"/>
                <w:right w:val="none" w:sz="0" w:space="0" w:color="auto"/>
              </w:divBdr>
              <w:divsChild>
                <w:div w:id="2044138053">
                  <w:marLeft w:val="0"/>
                  <w:marRight w:val="0"/>
                  <w:marTop w:val="0"/>
                  <w:marBottom w:val="0"/>
                  <w:divBdr>
                    <w:top w:val="none" w:sz="0" w:space="0" w:color="auto"/>
                    <w:left w:val="none" w:sz="0" w:space="0" w:color="auto"/>
                    <w:bottom w:val="none" w:sz="0" w:space="0" w:color="auto"/>
                    <w:right w:val="none" w:sz="0" w:space="0" w:color="auto"/>
                  </w:divBdr>
                  <w:divsChild>
                    <w:div w:id="1197503673">
                      <w:marLeft w:val="0"/>
                      <w:marRight w:val="0"/>
                      <w:marTop w:val="0"/>
                      <w:marBottom w:val="0"/>
                      <w:divBdr>
                        <w:top w:val="none" w:sz="0" w:space="0" w:color="auto"/>
                        <w:left w:val="none" w:sz="0" w:space="0" w:color="auto"/>
                        <w:bottom w:val="none" w:sz="0" w:space="0" w:color="auto"/>
                        <w:right w:val="none" w:sz="0" w:space="0" w:color="auto"/>
                      </w:divBdr>
                      <w:divsChild>
                        <w:div w:id="1342202111">
                          <w:marLeft w:val="0"/>
                          <w:marRight w:val="0"/>
                          <w:marTop w:val="0"/>
                          <w:marBottom w:val="0"/>
                          <w:divBdr>
                            <w:top w:val="none" w:sz="0" w:space="0" w:color="auto"/>
                            <w:left w:val="none" w:sz="0" w:space="0" w:color="auto"/>
                            <w:bottom w:val="none" w:sz="0" w:space="0" w:color="auto"/>
                            <w:right w:val="none" w:sz="0" w:space="0" w:color="auto"/>
                          </w:divBdr>
                          <w:divsChild>
                            <w:div w:id="11755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02167">
      <w:bodyDiv w:val="1"/>
      <w:marLeft w:val="0"/>
      <w:marRight w:val="0"/>
      <w:marTop w:val="0"/>
      <w:marBottom w:val="0"/>
      <w:divBdr>
        <w:top w:val="none" w:sz="0" w:space="0" w:color="auto"/>
        <w:left w:val="none" w:sz="0" w:space="0" w:color="auto"/>
        <w:bottom w:val="none" w:sz="0" w:space="0" w:color="auto"/>
        <w:right w:val="none" w:sz="0" w:space="0" w:color="auto"/>
      </w:divBdr>
      <w:divsChild>
        <w:div w:id="2145197680">
          <w:marLeft w:val="0"/>
          <w:marRight w:val="0"/>
          <w:marTop w:val="0"/>
          <w:marBottom w:val="0"/>
          <w:divBdr>
            <w:top w:val="none" w:sz="0" w:space="0" w:color="auto"/>
            <w:left w:val="none" w:sz="0" w:space="0" w:color="auto"/>
            <w:bottom w:val="none" w:sz="0" w:space="0" w:color="auto"/>
            <w:right w:val="none" w:sz="0" w:space="0" w:color="auto"/>
          </w:divBdr>
          <w:divsChild>
            <w:div w:id="1209413035">
              <w:marLeft w:val="0"/>
              <w:marRight w:val="0"/>
              <w:marTop w:val="0"/>
              <w:marBottom w:val="0"/>
              <w:divBdr>
                <w:top w:val="none" w:sz="0" w:space="0" w:color="auto"/>
                <w:left w:val="none" w:sz="0" w:space="0" w:color="auto"/>
                <w:bottom w:val="none" w:sz="0" w:space="0" w:color="auto"/>
                <w:right w:val="none" w:sz="0" w:space="0" w:color="auto"/>
              </w:divBdr>
              <w:divsChild>
                <w:div w:id="1067074810">
                  <w:marLeft w:val="0"/>
                  <w:marRight w:val="0"/>
                  <w:marTop w:val="0"/>
                  <w:marBottom w:val="0"/>
                  <w:divBdr>
                    <w:top w:val="none" w:sz="0" w:space="0" w:color="auto"/>
                    <w:left w:val="none" w:sz="0" w:space="0" w:color="auto"/>
                    <w:bottom w:val="none" w:sz="0" w:space="0" w:color="auto"/>
                    <w:right w:val="none" w:sz="0" w:space="0" w:color="auto"/>
                  </w:divBdr>
                  <w:divsChild>
                    <w:div w:id="385229031">
                      <w:marLeft w:val="0"/>
                      <w:marRight w:val="0"/>
                      <w:marTop w:val="0"/>
                      <w:marBottom w:val="0"/>
                      <w:divBdr>
                        <w:top w:val="none" w:sz="0" w:space="0" w:color="auto"/>
                        <w:left w:val="none" w:sz="0" w:space="0" w:color="auto"/>
                        <w:bottom w:val="none" w:sz="0" w:space="0" w:color="auto"/>
                        <w:right w:val="none" w:sz="0" w:space="0" w:color="auto"/>
                      </w:divBdr>
                      <w:divsChild>
                        <w:div w:id="1241912866">
                          <w:marLeft w:val="0"/>
                          <w:marRight w:val="0"/>
                          <w:marTop w:val="0"/>
                          <w:marBottom w:val="0"/>
                          <w:divBdr>
                            <w:top w:val="none" w:sz="0" w:space="0" w:color="auto"/>
                            <w:left w:val="none" w:sz="0" w:space="0" w:color="auto"/>
                            <w:bottom w:val="none" w:sz="0" w:space="0" w:color="auto"/>
                            <w:right w:val="none" w:sz="0" w:space="0" w:color="auto"/>
                          </w:divBdr>
                          <w:divsChild>
                            <w:div w:id="1146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6371">
      <w:bodyDiv w:val="1"/>
      <w:marLeft w:val="0"/>
      <w:marRight w:val="0"/>
      <w:marTop w:val="0"/>
      <w:marBottom w:val="0"/>
      <w:divBdr>
        <w:top w:val="none" w:sz="0" w:space="0" w:color="auto"/>
        <w:left w:val="none" w:sz="0" w:space="0" w:color="auto"/>
        <w:bottom w:val="none" w:sz="0" w:space="0" w:color="auto"/>
        <w:right w:val="none" w:sz="0" w:space="0" w:color="auto"/>
      </w:divBdr>
      <w:divsChild>
        <w:div w:id="1239821797">
          <w:marLeft w:val="0"/>
          <w:marRight w:val="0"/>
          <w:marTop w:val="0"/>
          <w:marBottom w:val="0"/>
          <w:divBdr>
            <w:top w:val="none" w:sz="0" w:space="0" w:color="auto"/>
            <w:left w:val="none" w:sz="0" w:space="0" w:color="auto"/>
            <w:bottom w:val="none" w:sz="0" w:space="0" w:color="auto"/>
            <w:right w:val="none" w:sz="0" w:space="0" w:color="auto"/>
          </w:divBdr>
          <w:divsChild>
            <w:div w:id="708143270">
              <w:marLeft w:val="0"/>
              <w:marRight w:val="0"/>
              <w:marTop w:val="0"/>
              <w:marBottom w:val="0"/>
              <w:divBdr>
                <w:top w:val="none" w:sz="0" w:space="0" w:color="auto"/>
                <w:left w:val="none" w:sz="0" w:space="0" w:color="auto"/>
                <w:bottom w:val="none" w:sz="0" w:space="0" w:color="auto"/>
                <w:right w:val="none" w:sz="0" w:space="0" w:color="auto"/>
              </w:divBdr>
              <w:divsChild>
                <w:div w:id="310523849">
                  <w:marLeft w:val="0"/>
                  <w:marRight w:val="0"/>
                  <w:marTop w:val="0"/>
                  <w:marBottom w:val="0"/>
                  <w:divBdr>
                    <w:top w:val="none" w:sz="0" w:space="0" w:color="auto"/>
                    <w:left w:val="none" w:sz="0" w:space="0" w:color="auto"/>
                    <w:bottom w:val="none" w:sz="0" w:space="0" w:color="auto"/>
                    <w:right w:val="none" w:sz="0" w:space="0" w:color="auto"/>
                  </w:divBdr>
                  <w:divsChild>
                    <w:div w:id="1622303648">
                      <w:marLeft w:val="0"/>
                      <w:marRight w:val="0"/>
                      <w:marTop w:val="0"/>
                      <w:marBottom w:val="0"/>
                      <w:divBdr>
                        <w:top w:val="none" w:sz="0" w:space="0" w:color="auto"/>
                        <w:left w:val="none" w:sz="0" w:space="0" w:color="auto"/>
                        <w:bottom w:val="none" w:sz="0" w:space="0" w:color="auto"/>
                        <w:right w:val="none" w:sz="0" w:space="0" w:color="auto"/>
                      </w:divBdr>
                      <w:divsChild>
                        <w:div w:id="1156994980">
                          <w:marLeft w:val="0"/>
                          <w:marRight w:val="0"/>
                          <w:marTop w:val="0"/>
                          <w:marBottom w:val="0"/>
                          <w:divBdr>
                            <w:top w:val="none" w:sz="0" w:space="0" w:color="auto"/>
                            <w:left w:val="none" w:sz="0" w:space="0" w:color="auto"/>
                            <w:bottom w:val="none" w:sz="0" w:space="0" w:color="auto"/>
                            <w:right w:val="none" w:sz="0" w:space="0" w:color="auto"/>
                          </w:divBdr>
                          <w:divsChild>
                            <w:div w:id="11759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015279">
      <w:bodyDiv w:val="1"/>
      <w:marLeft w:val="0"/>
      <w:marRight w:val="0"/>
      <w:marTop w:val="0"/>
      <w:marBottom w:val="0"/>
      <w:divBdr>
        <w:top w:val="none" w:sz="0" w:space="0" w:color="auto"/>
        <w:left w:val="none" w:sz="0" w:space="0" w:color="auto"/>
        <w:bottom w:val="none" w:sz="0" w:space="0" w:color="auto"/>
        <w:right w:val="none" w:sz="0" w:space="0" w:color="auto"/>
      </w:divBdr>
      <w:divsChild>
        <w:div w:id="463275721">
          <w:marLeft w:val="0"/>
          <w:marRight w:val="0"/>
          <w:marTop w:val="0"/>
          <w:marBottom w:val="0"/>
          <w:divBdr>
            <w:top w:val="none" w:sz="0" w:space="0" w:color="auto"/>
            <w:left w:val="none" w:sz="0" w:space="0" w:color="auto"/>
            <w:bottom w:val="none" w:sz="0" w:space="0" w:color="auto"/>
            <w:right w:val="none" w:sz="0" w:space="0" w:color="auto"/>
          </w:divBdr>
          <w:divsChild>
            <w:div w:id="386758295">
              <w:marLeft w:val="0"/>
              <w:marRight w:val="0"/>
              <w:marTop w:val="0"/>
              <w:marBottom w:val="0"/>
              <w:divBdr>
                <w:top w:val="none" w:sz="0" w:space="0" w:color="auto"/>
                <w:left w:val="none" w:sz="0" w:space="0" w:color="auto"/>
                <w:bottom w:val="none" w:sz="0" w:space="0" w:color="auto"/>
                <w:right w:val="none" w:sz="0" w:space="0" w:color="auto"/>
              </w:divBdr>
              <w:divsChild>
                <w:div w:id="1795362814">
                  <w:marLeft w:val="0"/>
                  <w:marRight w:val="0"/>
                  <w:marTop w:val="0"/>
                  <w:marBottom w:val="0"/>
                  <w:divBdr>
                    <w:top w:val="none" w:sz="0" w:space="0" w:color="auto"/>
                    <w:left w:val="none" w:sz="0" w:space="0" w:color="auto"/>
                    <w:bottom w:val="none" w:sz="0" w:space="0" w:color="auto"/>
                    <w:right w:val="none" w:sz="0" w:space="0" w:color="auto"/>
                  </w:divBdr>
                  <w:divsChild>
                    <w:div w:id="1132404988">
                      <w:marLeft w:val="0"/>
                      <w:marRight w:val="0"/>
                      <w:marTop w:val="0"/>
                      <w:marBottom w:val="0"/>
                      <w:divBdr>
                        <w:top w:val="none" w:sz="0" w:space="0" w:color="auto"/>
                        <w:left w:val="none" w:sz="0" w:space="0" w:color="auto"/>
                        <w:bottom w:val="none" w:sz="0" w:space="0" w:color="auto"/>
                        <w:right w:val="none" w:sz="0" w:space="0" w:color="auto"/>
                      </w:divBdr>
                      <w:divsChild>
                        <w:div w:id="1960606440">
                          <w:marLeft w:val="0"/>
                          <w:marRight w:val="0"/>
                          <w:marTop w:val="0"/>
                          <w:marBottom w:val="0"/>
                          <w:divBdr>
                            <w:top w:val="none" w:sz="0" w:space="0" w:color="auto"/>
                            <w:left w:val="none" w:sz="0" w:space="0" w:color="auto"/>
                            <w:bottom w:val="none" w:sz="0" w:space="0" w:color="auto"/>
                            <w:right w:val="none" w:sz="0" w:space="0" w:color="auto"/>
                          </w:divBdr>
                          <w:divsChild>
                            <w:div w:id="1168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80490">
      <w:bodyDiv w:val="1"/>
      <w:marLeft w:val="0"/>
      <w:marRight w:val="0"/>
      <w:marTop w:val="0"/>
      <w:marBottom w:val="0"/>
      <w:divBdr>
        <w:top w:val="none" w:sz="0" w:space="0" w:color="auto"/>
        <w:left w:val="none" w:sz="0" w:space="0" w:color="auto"/>
        <w:bottom w:val="none" w:sz="0" w:space="0" w:color="auto"/>
        <w:right w:val="none" w:sz="0" w:space="0" w:color="auto"/>
      </w:divBdr>
      <w:divsChild>
        <w:div w:id="1338849800">
          <w:marLeft w:val="0"/>
          <w:marRight w:val="0"/>
          <w:marTop w:val="0"/>
          <w:marBottom w:val="0"/>
          <w:divBdr>
            <w:top w:val="none" w:sz="0" w:space="0" w:color="auto"/>
            <w:left w:val="none" w:sz="0" w:space="0" w:color="auto"/>
            <w:bottom w:val="none" w:sz="0" w:space="0" w:color="auto"/>
            <w:right w:val="none" w:sz="0" w:space="0" w:color="auto"/>
          </w:divBdr>
          <w:divsChild>
            <w:div w:id="1837184629">
              <w:marLeft w:val="0"/>
              <w:marRight w:val="0"/>
              <w:marTop w:val="0"/>
              <w:marBottom w:val="0"/>
              <w:divBdr>
                <w:top w:val="none" w:sz="0" w:space="0" w:color="auto"/>
                <w:left w:val="none" w:sz="0" w:space="0" w:color="auto"/>
                <w:bottom w:val="none" w:sz="0" w:space="0" w:color="auto"/>
                <w:right w:val="none" w:sz="0" w:space="0" w:color="auto"/>
              </w:divBdr>
              <w:divsChild>
                <w:div w:id="91048144">
                  <w:marLeft w:val="0"/>
                  <w:marRight w:val="0"/>
                  <w:marTop w:val="0"/>
                  <w:marBottom w:val="0"/>
                  <w:divBdr>
                    <w:top w:val="none" w:sz="0" w:space="0" w:color="auto"/>
                    <w:left w:val="none" w:sz="0" w:space="0" w:color="auto"/>
                    <w:bottom w:val="none" w:sz="0" w:space="0" w:color="auto"/>
                    <w:right w:val="none" w:sz="0" w:space="0" w:color="auto"/>
                  </w:divBdr>
                  <w:divsChild>
                    <w:div w:id="824082087">
                      <w:marLeft w:val="0"/>
                      <w:marRight w:val="0"/>
                      <w:marTop w:val="0"/>
                      <w:marBottom w:val="0"/>
                      <w:divBdr>
                        <w:top w:val="none" w:sz="0" w:space="0" w:color="auto"/>
                        <w:left w:val="none" w:sz="0" w:space="0" w:color="auto"/>
                        <w:bottom w:val="none" w:sz="0" w:space="0" w:color="auto"/>
                        <w:right w:val="none" w:sz="0" w:space="0" w:color="auto"/>
                      </w:divBdr>
                      <w:divsChild>
                        <w:div w:id="351763509">
                          <w:marLeft w:val="0"/>
                          <w:marRight w:val="0"/>
                          <w:marTop w:val="0"/>
                          <w:marBottom w:val="0"/>
                          <w:divBdr>
                            <w:top w:val="none" w:sz="0" w:space="0" w:color="auto"/>
                            <w:left w:val="none" w:sz="0" w:space="0" w:color="auto"/>
                            <w:bottom w:val="none" w:sz="0" w:space="0" w:color="auto"/>
                            <w:right w:val="none" w:sz="0" w:space="0" w:color="auto"/>
                          </w:divBdr>
                          <w:divsChild>
                            <w:div w:id="11231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29302000">
      <w:bodyDiv w:val="1"/>
      <w:marLeft w:val="0"/>
      <w:marRight w:val="0"/>
      <w:marTop w:val="0"/>
      <w:marBottom w:val="0"/>
      <w:divBdr>
        <w:top w:val="none" w:sz="0" w:space="0" w:color="auto"/>
        <w:left w:val="none" w:sz="0" w:space="0" w:color="auto"/>
        <w:bottom w:val="none" w:sz="0" w:space="0" w:color="auto"/>
        <w:right w:val="none" w:sz="0" w:space="0" w:color="auto"/>
      </w:divBdr>
      <w:divsChild>
        <w:div w:id="650527981">
          <w:marLeft w:val="0"/>
          <w:marRight w:val="0"/>
          <w:marTop w:val="0"/>
          <w:marBottom w:val="0"/>
          <w:divBdr>
            <w:top w:val="none" w:sz="0" w:space="0" w:color="auto"/>
            <w:left w:val="none" w:sz="0" w:space="0" w:color="auto"/>
            <w:bottom w:val="none" w:sz="0" w:space="0" w:color="auto"/>
            <w:right w:val="none" w:sz="0" w:space="0" w:color="auto"/>
          </w:divBdr>
          <w:divsChild>
            <w:div w:id="407112522">
              <w:marLeft w:val="0"/>
              <w:marRight w:val="0"/>
              <w:marTop w:val="0"/>
              <w:marBottom w:val="0"/>
              <w:divBdr>
                <w:top w:val="none" w:sz="0" w:space="0" w:color="auto"/>
                <w:left w:val="none" w:sz="0" w:space="0" w:color="auto"/>
                <w:bottom w:val="none" w:sz="0" w:space="0" w:color="auto"/>
                <w:right w:val="none" w:sz="0" w:space="0" w:color="auto"/>
              </w:divBdr>
              <w:divsChild>
                <w:div w:id="669869737">
                  <w:marLeft w:val="0"/>
                  <w:marRight w:val="0"/>
                  <w:marTop w:val="0"/>
                  <w:marBottom w:val="0"/>
                  <w:divBdr>
                    <w:top w:val="none" w:sz="0" w:space="0" w:color="auto"/>
                    <w:left w:val="none" w:sz="0" w:space="0" w:color="auto"/>
                    <w:bottom w:val="none" w:sz="0" w:space="0" w:color="auto"/>
                    <w:right w:val="none" w:sz="0" w:space="0" w:color="auto"/>
                  </w:divBdr>
                  <w:divsChild>
                    <w:div w:id="294719707">
                      <w:marLeft w:val="0"/>
                      <w:marRight w:val="0"/>
                      <w:marTop w:val="0"/>
                      <w:marBottom w:val="0"/>
                      <w:divBdr>
                        <w:top w:val="none" w:sz="0" w:space="0" w:color="auto"/>
                        <w:left w:val="none" w:sz="0" w:space="0" w:color="auto"/>
                        <w:bottom w:val="none" w:sz="0" w:space="0" w:color="auto"/>
                        <w:right w:val="none" w:sz="0" w:space="0" w:color="auto"/>
                      </w:divBdr>
                      <w:divsChild>
                        <w:div w:id="1647467437">
                          <w:marLeft w:val="0"/>
                          <w:marRight w:val="0"/>
                          <w:marTop w:val="0"/>
                          <w:marBottom w:val="0"/>
                          <w:divBdr>
                            <w:top w:val="none" w:sz="0" w:space="0" w:color="auto"/>
                            <w:left w:val="none" w:sz="0" w:space="0" w:color="auto"/>
                            <w:bottom w:val="none" w:sz="0" w:space="0" w:color="auto"/>
                            <w:right w:val="none" w:sz="0" w:space="0" w:color="auto"/>
                          </w:divBdr>
                          <w:divsChild>
                            <w:div w:id="209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554204">
      <w:bodyDiv w:val="1"/>
      <w:marLeft w:val="0"/>
      <w:marRight w:val="0"/>
      <w:marTop w:val="0"/>
      <w:marBottom w:val="0"/>
      <w:divBdr>
        <w:top w:val="none" w:sz="0" w:space="0" w:color="auto"/>
        <w:left w:val="none" w:sz="0" w:space="0" w:color="auto"/>
        <w:bottom w:val="none" w:sz="0" w:space="0" w:color="auto"/>
        <w:right w:val="none" w:sz="0" w:space="0" w:color="auto"/>
      </w:divBdr>
      <w:divsChild>
        <w:div w:id="37972959">
          <w:marLeft w:val="0"/>
          <w:marRight w:val="0"/>
          <w:marTop w:val="0"/>
          <w:marBottom w:val="0"/>
          <w:divBdr>
            <w:top w:val="none" w:sz="0" w:space="0" w:color="auto"/>
            <w:left w:val="none" w:sz="0" w:space="0" w:color="auto"/>
            <w:bottom w:val="none" w:sz="0" w:space="0" w:color="auto"/>
            <w:right w:val="none" w:sz="0" w:space="0" w:color="auto"/>
          </w:divBdr>
          <w:divsChild>
            <w:div w:id="761075467">
              <w:marLeft w:val="0"/>
              <w:marRight w:val="0"/>
              <w:marTop w:val="0"/>
              <w:marBottom w:val="0"/>
              <w:divBdr>
                <w:top w:val="none" w:sz="0" w:space="0" w:color="auto"/>
                <w:left w:val="none" w:sz="0" w:space="0" w:color="auto"/>
                <w:bottom w:val="none" w:sz="0" w:space="0" w:color="auto"/>
                <w:right w:val="none" w:sz="0" w:space="0" w:color="auto"/>
              </w:divBdr>
              <w:divsChild>
                <w:div w:id="1141922683">
                  <w:marLeft w:val="0"/>
                  <w:marRight w:val="0"/>
                  <w:marTop w:val="0"/>
                  <w:marBottom w:val="0"/>
                  <w:divBdr>
                    <w:top w:val="none" w:sz="0" w:space="0" w:color="auto"/>
                    <w:left w:val="none" w:sz="0" w:space="0" w:color="auto"/>
                    <w:bottom w:val="none" w:sz="0" w:space="0" w:color="auto"/>
                    <w:right w:val="none" w:sz="0" w:space="0" w:color="auto"/>
                  </w:divBdr>
                  <w:divsChild>
                    <w:div w:id="73859611">
                      <w:marLeft w:val="0"/>
                      <w:marRight w:val="0"/>
                      <w:marTop w:val="0"/>
                      <w:marBottom w:val="0"/>
                      <w:divBdr>
                        <w:top w:val="none" w:sz="0" w:space="0" w:color="auto"/>
                        <w:left w:val="none" w:sz="0" w:space="0" w:color="auto"/>
                        <w:bottom w:val="none" w:sz="0" w:space="0" w:color="auto"/>
                        <w:right w:val="none" w:sz="0" w:space="0" w:color="auto"/>
                      </w:divBdr>
                      <w:divsChild>
                        <w:div w:id="503208753">
                          <w:marLeft w:val="0"/>
                          <w:marRight w:val="0"/>
                          <w:marTop w:val="0"/>
                          <w:marBottom w:val="0"/>
                          <w:divBdr>
                            <w:top w:val="none" w:sz="0" w:space="0" w:color="auto"/>
                            <w:left w:val="none" w:sz="0" w:space="0" w:color="auto"/>
                            <w:bottom w:val="none" w:sz="0" w:space="0" w:color="auto"/>
                            <w:right w:val="none" w:sz="0" w:space="0" w:color="auto"/>
                          </w:divBdr>
                          <w:divsChild>
                            <w:div w:id="11489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5355">
      <w:bodyDiv w:val="1"/>
      <w:marLeft w:val="0"/>
      <w:marRight w:val="0"/>
      <w:marTop w:val="0"/>
      <w:marBottom w:val="0"/>
      <w:divBdr>
        <w:top w:val="none" w:sz="0" w:space="0" w:color="auto"/>
        <w:left w:val="none" w:sz="0" w:space="0" w:color="auto"/>
        <w:bottom w:val="none" w:sz="0" w:space="0" w:color="auto"/>
        <w:right w:val="none" w:sz="0" w:space="0" w:color="auto"/>
      </w:divBdr>
      <w:divsChild>
        <w:div w:id="240601049">
          <w:marLeft w:val="0"/>
          <w:marRight w:val="0"/>
          <w:marTop w:val="0"/>
          <w:marBottom w:val="0"/>
          <w:divBdr>
            <w:top w:val="none" w:sz="0" w:space="0" w:color="auto"/>
            <w:left w:val="none" w:sz="0" w:space="0" w:color="auto"/>
            <w:bottom w:val="none" w:sz="0" w:space="0" w:color="auto"/>
            <w:right w:val="none" w:sz="0" w:space="0" w:color="auto"/>
          </w:divBdr>
          <w:divsChild>
            <w:div w:id="758647846">
              <w:marLeft w:val="0"/>
              <w:marRight w:val="0"/>
              <w:marTop w:val="0"/>
              <w:marBottom w:val="0"/>
              <w:divBdr>
                <w:top w:val="none" w:sz="0" w:space="0" w:color="auto"/>
                <w:left w:val="none" w:sz="0" w:space="0" w:color="auto"/>
                <w:bottom w:val="none" w:sz="0" w:space="0" w:color="auto"/>
                <w:right w:val="none" w:sz="0" w:space="0" w:color="auto"/>
              </w:divBdr>
              <w:divsChild>
                <w:div w:id="166679165">
                  <w:marLeft w:val="0"/>
                  <w:marRight w:val="0"/>
                  <w:marTop w:val="0"/>
                  <w:marBottom w:val="0"/>
                  <w:divBdr>
                    <w:top w:val="none" w:sz="0" w:space="0" w:color="auto"/>
                    <w:left w:val="none" w:sz="0" w:space="0" w:color="auto"/>
                    <w:bottom w:val="none" w:sz="0" w:space="0" w:color="auto"/>
                    <w:right w:val="none" w:sz="0" w:space="0" w:color="auto"/>
                  </w:divBdr>
                  <w:divsChild>
                    <w:div w:id="479690304">
                      <w:marLeft w:val="0"/>
                      <w:marRight w:val="0"/>
                      <w:marTop w:val="0"/>
                      <w:marBottom w:val="0"/>
                      <w:divBdr>
                        <w:top w:val="none" w:sz="0" w:space="0" w:color="auto"/>
                        <w:left w:val="none" w:sz="0" w:space="0" w:color="auto"/>
                        <w:bottom w:val="none" w:sz="0" w:space="0" w:color="auto"/>
                        <w:right w:val="none" w:sz="0" w:space="0" w:color="auto"/>
                      </w:divBdr>
                      <w:divsChild>
                        <w:div w:id="1700424155">
                          <w:marLeft w:val="0"/>
                          <w:marRight w:val="0"/>
                          <w:marTop w:val="0"/>
                          <w:marBottom w:val="0"/>
                          <w:divBdr>
                            <w:top w:val="none" w:sz="0" w:space="0" w:color="auto"/>
                            <w:left w:val="none" w:sz="0" w:space="0" w:color="auto"/>
                            <w:bottom w:val="none" w:sz="0" w:space="0" w:color="auto"/>
                            <w:right w:val="none" w:sz="0" w:space="0" w:color="auto"/>
                          </w:divBdr>
                          <w:divsChild>
                            <w:div w:id="1445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04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83751-7DCB-4E3A-9DA8-FD0A356468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4DE3D4-14B1-4585-9756-6B474B449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F8561F-313D-4231-9D3C-59405E6CE490}">
  <ds:schemaRefs>
    <ds:schemaRef ds:uri="http://schemas.microsoft.com/sharepoint/v3/contenttype/forms"/>
  </ds:schemaRefs>
</ds:datastoreItem>
</file>

<file path=customXml/itemProps4.xml><?xml version="1.0" encoding="utf-8"?>
<ds:datastoreItem xmlns:ds="http://schemas.openxmlformats.org/officeDocument/2006/customXml" ds:itemID="{7615EB7C-AA75-4C90-846D-7F510B52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6215</Words>
  <Characters>35426</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2019-03-01T15:51:00Z</cp:lastPrinted>
  <dcterms:created xsi:type="dcterms:W3CDTF">2019-12-11T10:36:00Z</dcterms:created>
  <dcterms:modified xsi:type="dcterms:W3CDTF">2019-12-11T10:36:00Z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731/07</vt:lpwstr>
  </property>
  <property fmtid="{D5CDD505-2E9C-101B-9397-08002B2CF9AE}" pid="4" name="CASEID">
    <vt:lpwstr>428184</vt:lpwstr>
  </property>
  <property fmtid="{D5CDD505-2E9C-101B-9397-08002B2CF9AE}" pid="5" name="ContentTypeId">
    <vt:lpwstr>0x010100558EB02BDB9E204AB350EDD385B68E10</vt:lpwstr>
  </property>
</Properties>
</file>