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3.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343087" w:rsidR="0071730F" w:rsidP="00343087" w:rsidRDefault="0071730F">
      <w:pPr>
        <w:rPr>
          <w:rFonts w:ascii="Times New Roman" w:hAnsi="Times New Roman" w:cs="Times New Roman"/>
        </w:rPr>
      </w:pPr>
      <w:bookmarkStart w:name="_GoBack" w:id="0"/>
      <w:bookmarkEnd w:id="0"/>
    </w:p>
    <w:p w:rsidRPr="00343087" w:rsidR="007A4070" w:rsidP="00343087" w:rsidRDefault="0071730F">
      <w:pPr>
        <w:pStyle w:val="DecHCase"/>
      </w:pPr>
      <w:r w:rsidRPr="00343087">
        <w:t>TROISIÈME SECTION</w:t>
      </w:r>
    </w:p>
    <w:p w:rsidRPr="00343087" w:rsidR="007A4070" w:rsidP="00343087" w:rsidRDefault="007A4070">
      <w:pPr>
        <w:pStyle w:val="JuTitle"/>
      </w:pPr>
      <w:r w:rsidRPr="00343087">
        <w:t xml:space="preserve">AFFAIRE </w:t>
      </w:r>
      <w:r w:rsidRPr="00343087" w:rsidR="00753A75">
        <w:t>ZHIDOV ET AUTRES</w:t>
      </w:r>
      <w:r w:rsidRPr="00343087" w:rsidR="0071730F">
        <w:t xml:space="preserve"> c. RUSSIE</w:t>
      </w:r>
    </w:p>
    <w:p w:rsidRPr="00343087" w:rsidR="007A4070" w:rsidP="00343087" w:rsidRDefault="007A4070">
      <w:pPr>
        <w:pStyle w:val="Title4"/>
      </w:pPr>
      <w:r w:rsidRPr="00343087">
        <w:t>(</w:t>
      </w:r>
      <w:r w:rsidRPr="00343087" w:rsidR="0071730F">
        <w:t>Requêtes n</w:t>
      </w:r>
      <w:r w:rsidRPr="00343087" w:rsidR="0071730F">
        <w:rPr>
          <w:vertAlign w:val="superscript"/>
        </w:rPr>
        <w:t>os</w:t>
      </w:r>
      <w:r w:rsidRPr="00343087">
        <w:t xml:space="preserve"> </w:t>
      </w:r>
      <w:r w:rsidRPr="00343087" w:rsidR="00753A75">
        <w:t xml:space="preserve">54490/10 </w:t>
      </w:r>
      <w:r w:rsidRPr="00343087" w:rsidR="0071730F">
        <w:t xml:space="preserve">et </w:t>
      </w:r>
      <w:r w:rsidRPr="00343087" w:rsidR="00753A75">
        <w:t>3 autres – voir liste en annexe)</w:t>
      </w:r>
      <w:r w:rsidRPr="00343087" w:rsidR="0071730F">
        <w:rPr>
          <w:b/>
        </w:rPr>
        <w:br/>
      </w:r>
    </w:p>
    <w:p w:rsidRPr="00343087" w:rsidR="007A4070" w:rsidP="00343087" w:rsidRDefault="007A4070">
      <w:pPr>
        <w:pStyle w:val="DecHCase"/>
      </w:pPr>
    </w:p>
    <w:p w:rsidRPr="00343087" w:rsidR="007A4070" w:rsidP="00343087" w:rsidRDefault="007A4070">
      <w:pPr>
        <w:pStyle w:val="DecHCase"/>
      </w:pPr>
    </w:p>
    <w:p w:rsidRPr="00343087" w:rsidR="007A4070" w:rsidP="00343087" w:rsidRDefault="007A4070">
      <w:pPr>
        <w:pStyle w:val="DecHCase"/>
      </w:pPr>
    </w:p>
    <w:p w:rsidRPr="00343087" w:rsidR="007A4070" w:rsidP="00343087" w:rsidRDefault="007A4070">
      <w:pPr>
        <w:pStyle w:val="DecHCase"/>
      </w:pPr>
    </w:p>
    <w:p w:rsidRPr="00343087" w:rsidR="007A4070" w:rsidP="00343087" w:rsidRDefault="007A4070">
      <w:pPr>
        <w:pStyle w:val="DecHCase"/>
      </w:pPr>
    </w:p>
    <w:p w:rsidRPr="00343087" w:rsidR="007A4070" w:rsidP="00343087" w:rsidRDefault="007A4070">
      <w:pPr>
        <w:pStyle w:val="DecHCase"/>
      </w:pPr>
    </w:p>
    <w:p w:rsidRPr="00343087" w:rsidR="007A4070" w:rsidP="00343087" w:rsidRDefault="007A4070">
      <w:pPr>
        <w:pStyle w:val="DecHCase"/>
        <w:rPr>
          <w:i/>
        </w:rPr>
      </w:pPr>
      <w:r w:rsidRPr="00343087">
        <w:t>ARRÊT</w:t>
      </w:r>
      <w:r w:rsidRPr="00343087">
        <w:br/>
      </w:r>
      <w:bookmarkStart w:name="JUDTYPE" w:id="1"/>
      <w:r w:rsidRPr="00343087" w:rsidR="0071730F">
        <w:rPr>
          <w:i/>
        </w:rPr>
        <w:t>(Satisfaction équitable)</w:t>
      </w:r>
      <w:bookmarkEnd w:id="1"/>
    </w:p>
    <w:p w:rsidRPr="00343087" w:rsidR="00343087" w:rsidP="00343087" w:rsidRDefault="00343087">
      <w:pPr>
        <w:pStyle w:val="JuPara"/>
        <w:pBdr>
          <w:top w:val="single" w:color="auto" w:sz="4" w:space="1"/>
          <w:left w:val="single" w:color="auto" w:sz="4" w:space="4"/>
          <w:bottom w:val="single" w:color="auto" w:sz="4" w:space="1"/>
          <w:right w:val="single" w:color="auto" w:sz="4" w:space="4"/>
        </w:pBdr>
        <w:ind w:firstLine="0"/>
      </w:pPr>
      <w:r w:rsidRPr="00343087">
        <w:t>Art 41 • Satisfaction équitable • Demandes d’indemnisation du dommage matériel rejetées • Octroi d’une somme au titre du préjudice moral</w:t>
      </w:r>
    </w:p>
    <w:p w:rsidRPr="00343087" w:rsidR="00343087" w:rsidP="00343087" w:rsidRDefault="00343087">
      <w:pPr>
        <w:pStyle w:val="DecHCase"/>
      </w:pPr>
    </w:p>
    <w:p w:rsidRPr="00343087" w:rsidR="007A4070" w:rsidP="00343087" w:rsidRDefault="007A4070">
      <w:pPr>
        <w:pStyle w:val="DecHCase"/>
      </w:pPr>
      <w:r w:rsidRPr="00343087">
        <w:t>STRASBOURG</w:t>
      </w:r>
    </w:p>
    <w:p w:rsidRPr="00343087" w:rsidR="007A4070" w:rsidP="00343087" w:rsidRDefault="003D61E0">
      <w:pPr>
        <w:pStyle w:val="DecHCase"/>
      </w:pPr>
      <w:r w:rsidRPr="00343087">
        <w:t>17</w:t>
      </w:r>
      <w:r w:rsidRPr="00343087" w:rsidR="0071730F">
        <w:t xml:space="preserve"> mars 2020</w:t>
      </w:r>
    </w:p>
    <w:p w:rsidRPr="00343087" w:rsidR="007A4070" w:rsidP="00343087" w:rsidRDefault="007A4070">
      <w:pPr>
        <w:pStyle w:val="DecHCase"/>
      </w:pPr>
    </w:p>
    <w:p w:rsidRPr="00343087" w:rsidR="00516B59" w:rsidP="00343087" w:rsidRDefault="007A4070">
      <w:pPr>
        <w:rPr>
          <w:rFonts w:ascii="Times New Roman" w:hAnsi="Times New Roman" w:cs="Times New Roman"/>
          <w:i/>
          <w:sz w:val="22"/>
        </w:rPr>
      </w:pPr>
      <w:r w:rsidRPr="00343087">
        <w:rPr>
          <w:i/>
          <w:sz w:val="22"/>
        </w:rPr>
        <w:t xml:space="preserve">Cet arrêt </w:t>
      </w:r>
      <w:r w:rsidRPr="00343087" w:rsidR="0071730F">
        <w:rPr>
          <w:i/>
          <w:sz w:val="22"/>
        </w:rPr>
        <w:t>deviendra définitif dans les conditions définies à l</w:t>
      </w:r>
      <w:r w:rsidRPr="00343087" w:rsidR="00343087">
        <w:rPr>
          <w:i/>
          <w:sz w:val="22"/>
        </w:rPr>
        <w:t>’</w:t>
      </w:r>
      <w:r w:rsidRPr="00343087" w:rsidR="0071730F">
        <w:rPr>
          <w:i/>
          <w:sz w:val="22"/>
        </w:rPr>
        <w:t xml:space="preserve">article 44 § 2 de la </w:t>
      </w:r>
      <w:r w:rsidRPr="00343087" w:rsidR="00753A75">
        <w:rPr>
          <w:i/>
          <w:sz w:val="22"/>
        </w:rPr>
        <w:t xml:space="preserve">Convention. </w:t>
      </w:r>
      <w:r w:rsidRPr="00343087">
        <w:rPr>
          <w:i/>
          <w:sz w:val="22"/>
        </w:rPr>
        <w:t>Il peut subir des retouches de fo</w:t>
      </w:r>
      <w:r w:rsidRPr="00343087" w:rsidR="00516B59">
        <w:rPr>
          <w:rFonts w:ascii="Times New Roman" w:hAnsi="Times New Roman" w:cs="Times New Roman"/>
          <w:i/>
          <w:sz w:val="22"/>
        </w:rPr>
        <w:t>rme.</w:t>
      </w:r>
    </w:p>
    <w:p w:rsidRPr="00343087" w:rsidR="00516B59" w:rsidP="00343087" w:rsidRDefault="00516B59">
      <w:pPr>
        <w:ind w:left="720"/>
        <w:rPr>
          <w:rFonts w:ascii="Times New Roman" w:hAnsi="Times New Roman" w:cs="Times New Roman"/>
          <w:sz w:val="22"/>
        </w:rPr>
        <w:sectPr w:rsidRPr="00343087" w:rsidR="00516B59">
          <w:headerReference w:type="default" r:id="rId8"/>
          <w:footerReference w:type="default" r:id="rId9"/>
          <w:footnotePr>
            <w:numRestart w:val="eachSect"/>
          </w:footnotePr>
          <w:endnotePr>
            <w:numFmt w:val="decimal"/>
          </w:endnotePr>
          <w:pgSz w:w="11906" w:h="16838" w:code="9"/>
          <w:pgMar w:top="2274" w:right="2274" w:bottom="2274" w:left="2274" w:header="1701" w:footer="720" w:gutter="0"/>
          <w:pgNumType w:start="1"/>
          <w:cols w:space="720"/>
          <w:noEndnote/>
        </w:sectPr>
      </w:pPr>
    </w:p>
    <w:p w:rsidRPr="00343087" w:rsidR="004344E6" w:rsidP="00343087" w:rsidRDefault="004344E6">
      <w:pPr>
        <w:pStyle w:val="JuCase"/>
      </w:pPr>
      <w:r w:rsidRPr="00343087">
        <w:t>En l</w:t>
      </w:r>
      <w:r w:rsidRPr="00343087" w:rsidR="00343087">
        <w:t>’</w:t>
      </w:r>
      <w:r w:rsidRPr="00343087">
        <w:t xml:space="preserve">affaire </w:t>
      </w:r>
      <w:r w:rsidRPr="00343087" w:rsidR="00753A75">
        <w:t>Zhidov et autres</w:t>
      </w:r>
      <w:r w:rsidRPr="00343087" w:rsidR="0071730F">
        <w:t xml:space="preserve"> c. Russie</w:t>
      </w:r>
      <w:r w:rsidRPr="00343087">
        <w:t>,</w:t>
      </w:r>
    </w:p>
    <w:p w:rsidRPr="00343087" w:rsidR="004344E6" w:rsidP="00343087" w:rsidRDefault="004344E6">
      <w:pPr>
        <w:pStyle w:val="JuPara"/>
      </w:pPr>
      <w:r w:rsidRPr="00343087">
        <w:t>La Cour européenne des droits de l</w:t>
      </w:r>
      <w:r w:rsidRPr="00343087" w:rsidR="00343087">
        <w:t>’</w:t>
      </w:r>
      <w:r w:rsidRPr="00343087">
        <w:t>homme (</w:t>
      </w:r>
      <w:r w:rsidRPr="00343087" w:rsidR="0071730F">
        <w:t>troisième section</w:t>
      </w:r>
      <w:r w:rsidRPr="00343087">
        <w:t xml:space="preserve">), siégeant en </w:t>
      </w:r>
      <w:r w:rsidRPr="00343087" w:rsidR="0071730F">
        <w:rPr>
          <w:color w:val="000000"/>
        </w:rPr>
        <w:t>une</w:t>
      </w:r>
      <w:r w:rsidRPr="00343087" w:rsidR="0071730F">
        <w:t xml:space="preserve"> Chambre composée</w:t>
      </w:r>
      <w:r w:rsidRPr="00343087">
        <w:t xml:space="preserve"> de :</w:t>
      </w:r>
    </w:p>
    <w:p w:rsidRPr="00343087" w:rsidR="00E27873" w:rsidP="00343087" w:rsidRDefault="00753A75">
      <w:pPr>
        <w:pStyle w:val="JuJudges"/>
        <w:rPr>
          <w:i/>
        </w:rPr>
      </w:pPr>
      <w:r w:rsidRPr="00343087">
        <w:tab/>
        <w:t>Paul Lemmens,</w:t>
      </w:r>
      <w:r w:rsidRPr="00343087">
        <w:rPr>
          <w:i/>
        </w:rPr>
        <w:t xml:space="preserve"> président,</w:t>
      </w:r>
      <w:r w:rsidRPr="00343087">
        <w:rPr>
          <w:i/>
        </w:rPr>
        <w:br/>
      </w:r>
      <w:r w:rsidRPr="00343087">
        <w:tab/>
        <w:t>Georgios A. Serghides,</w:t>
      </w:r>
      <w:r w:rsidRPr="00343087">
        <w:rPr>
          <w:i/>
        </w:rPr>
        <w:br/>
      </w:r>
      <w:r w:rsidRPr="00343087">
        <w:tab/>
        <w:t>Dmitry Dedov,</w:t>
      </w:r>
      <w:r w:rsidRPr="00343087">
        <w:rPr>
          <w:i/>
        </w:rPr>
        <w:br/>
      </w:r>
      <w:r w:rsidRPr="00343087">
        <w:tab/>
        <w:t>Alena Poláčková,</w:t>
      </w:r>
      <w:r w:rsidRPr="00343087">
        <w:rPr>
          <w:i/>
        </w:rPr>
        <w:br/>
      </w:r>
      <w:r w:rsidRPr="00343087">
        <w:tab/>
        <w:t>María Elósegui,</w:t>
      </w:r>
      <w:r w:rsidRPr="00343087">
        <w:rPr>
          <w:i/>
        </w:rPr>
        <w:br/>
      </w:r>
      <w:r w:rsidRPr="00343087">
        <w:tab/>
        <w:t>Gilberto Felici,</w:t>
      </w:r>
      <w:r w:rsidRPr="00343087">
        <w:rPr>
          <w:i/>
        </w:rPr>
        <w:br/>
      </w:r>
      <w:r w:rsidRPr="00343087">
        <w:tab/>
        <w:t>Erik Wennerström,</w:t>
      </w:r>
      <w:r w:rsidRPr="00343087">
        <w:rPr>
          <w:i/>
        </w:rPr>
        <w:t xml:space="preserve"> juges,</w:t>
      </w:r>
    </w:p>
    <w:p w:rsidRPr="00343087" w:rsidR="004344E6" w:rsidP="00343087" w:rsidRDefault="004F216F">
      <w:pPr>
        <w:pStyle w:val="JuJudges"/>
      </w:pPr>
      <w:r w:rsidRPr="00343087">
        <w:tab/>
      </w:r>
      <w:r w:rsidRPr="00343087" w:rsidR="0071730F">
        <w:t>Stephen Phillips</w:t>
      </w:r>
      <w:r w:rsidRPr="00343087" w:rsidR="004344E6">
        <w:t xml:space="preserve">, </w:t>
      </w:r>
      <w:r w:rsidRPr="00343087" w:rsidR="0071730F">
        <w:rPr>
          <w:i/>
        </w:rPr>
        <w:t>greffier</w:t>
      </w:r>
      <w:r w:rsidRPr="00343087" w:rsidR="0071730F">
        <w:rPr>
          <w:iCs/>
        </w:rPr>
        <w:t xml:space="preserve"> </w:t>
      </w:r>
      <w:r w:rsidRPr="00343087" w:rsidR="0071730F">
        <w:rPr>
          <w:i/>
          <w:iCs/>
        </w:rPr>
        <w:t>d</w:t>
      </w:r>
      <w:r w:rsidRPr="00343087" w:rsidR="0071730F">
        <w:rPr>
          <w:i/>
        </w:rPr>
        <w:t>e section</w:t>
      </w:r>
      <w:r w:rsidRPr="00343087" w:rsidR="004344E6">
        <w:t>,</w:t>
      </w:r>
    </w:p>
    <w:p w:rsidRPr="00343087" w:rsidR="004344E6" w:rsidP="00343087" w:rsidRDefault="004344E6">
      <w:pPr>
        <w:pStyle w:val="JuPara"/>
      </w:pPr>
      <w:bookmarkStart w:name="ITMARKHavingStart" w:id="2"/>
      <w:bookmarkEnd w:id="2"/>
      <w:r w:rsidRPr="00343087">
        <w:t xml:space="preserve">Après en avoir délibéré en chambre du conseil le </w:t>
      </w:r>
      <w:r w:rsidRPr="00343087" w:rsidR="0071730F">
        <w:rPr>
          <w:szCs w:val="24"/>
        </w:rPr>
        <w:t>25 février 2020</w:t>
      </w:r>
      <w:r w:rsidRPr="00343087">
        <w:t>,</w:t>
      </w:r>
    </w:p>
    <w:p w:rsidRPr="00343087" w:rsidR="00876F03" w:rsidP="00343087" w:rsidRDefault="004344E6">
      <w:pPr>
        <w:pStyle w:val="JuPara"/>
      </w:pPr>
      <w:r w:rsidRPr="00343087">
        <w:t>Rend l</w:t>
      </w:r>
      <w:r w:rsidRPr="00343087" w:rsidR="00343087">
        <w:t>’</w:t>
      </w:r>
      <w:r w:rsidRPr="00343087">
        <w:t>arrêt que voici</w:t>
      </w:r>
      <w:r w:rsidRPr="00343087" w:rsidR="00876F03">
        <w:t>, adopté à cette date :</w:t>
      </w:r>
    </w:p>
    <w:p w:rsidRPr="00343087" w:rsidR="0071730F" w:rsidP="00343087" w:rsidRDefault="0071730F">
      <w:pPr>
        <w:pStyle w:val="JuHHead"/>
      </w:pPr>
      <w:r w:rsidRPr="00343087">
        <w:t>PROCÉDURE</w:t>
      </w:r>
    </w:p>
    <w:p w:rsidRPr="00343087" w:rsidR="0071730F" w:rsidP="00343087" w:rsidRDefault="0071730F">
      <w:pPr>
        <w:pStyle w:val="JuPara"/>
      </w:pPr>
      <w:r w:rsidRPr="00343087">
        <w:fldChar w:fldCharType="begin"/>
      </w:r>
      <w:r w:rsidRPr="00343087">
        <w:instrText xml:space="preserve"> SEQ level0 \*arabic </w:instrText>
      </w:r>
      <w:r w:rsidRPr="00343087">
        <w:fldChar w:fldCharType="separate"/>
      </w:r>
      <w:r w:rsidRPr="00343087" w:rsidR="00343087">
        <w:rPr>
          <w:noProof/>
        </w:rPr>
        <w:t>1</w:t>
      </w:r>
      <w:r w:rsidRPr="00343087">
        <w:fldChar w:fldCharType="end"/>
      </w:r>
      <w:r w:rsidRPr="00343087">
        <w:t>.  À l</w:t>
      </w:r>
      <w:r w:rsidRPr="00343087" w:rsidR="00343087">
        <w:t>’</w:t>
      </w:r>
      <w:r w:rsidRPr="00343087">
        <w:t>origine de l</w:t>
      </w:r>
      <w:r w:rsidRPr="00343087" w:rsidR="00343087">
        <w:t>’</w:t>
      </w:r>
      <w:r w:rsidRPr="00343087">
        <w:t>affaire se trouvent quatre requêtes (n</w:t>
      </w:r>
      <w:r w:rsidRPr="00343087">
        <w:rPr>
          <w:vertAlign w:val="superscript"/>
        </w:rPr>
        <w:t>os</w:t>
      </w:r>
      <w:r w:rsidRPr="00343087">
        <w:t xml:space="preserve"> 54490/10, 1153/14, 2680/14 et 31636/14) dirigées contre la Fédération de Russie et dont six ressortissants de cet État (« les requérants ») ont saisi la Cour en vertu de l</w:t>
      </w:r>
      <w:r w:rsidRPr="00343087" w:rsidR="00343087">
        <w:t>’</w:t>
      </w:r>
      <w:r w:rsidRPr="00343087">
        <w:t>article 34 de la Convention de sauvegarde des droits de l</w:t>
      </w:r>
      <w:r w:rsidRPr="00343087" w:rsidR="00343087">
        <w:t>’</w:t>
      </w:r>
      <w:r w:rsidRPr="00343087">
        <w:t>homme et des libertés fondamentales (« la Convention »).</w:t>
      </w:r>
    </w:p>
    <w:p w:rsidRPr="00343087" w:rsidR="0071730F" w:rsidP="00343087" w:rsidRDefault="0071730F">
      <w:pPr>
        <w:pStyle w:val="JuPara"/>
      </w:pPr>
      <w:r w:rsidRPr="00343087">
        <w:fldChar w:fldCharType="begin"/>
      </w:r>
      <w:r w:rsidRPr="00343087">
        <w:instrText xml:space="preserve"> SEQ level0 \*arabic </w:instrText>
      </w:r>
      <w:r w:rsidRPr="00343087">
        <w:fldChar w:fldCharType="separate"/>
      </w:r>
      <w:r w:rsidRPr="00343087" w:rsidR="00343087">
        <w:rPr>
          <w:noProof/>
        </w:rPr>
        <w:t>2</w:t>
      </w:r>
      <w:r w:rsidRPr="00343087">
        <w:fldChar w:fldCharType="end"/>
      </w:r>
      <w:r w:rsidRPr="00343087">
        <w:t>.  Par un arrêt du 16 octobre 2018 (« l</w:t>
      </w:r>
      <w:r w:rsidRPr="00343087" w:rsidR="00343087">
        <w:t>’</w:t>
      </w:r>
      <w:r w:rsidRPr="00343087">
        <w:t>arrêt au principal »), la Cour a conclu à une violation de l</w:t>
      </w:r>
      <w:r w:rsidRPr="00343087" w:rsidR="00343087">
        <w:t>’</w:t>
      </w:r>
      <w:r w:rsidRPr="00343087">
        <w:t>article 1 du Protocole n</w:t>
      </w:r>
      <w:r w:rsidRPr="00343087">
        <w:rPr>
          <w:vertAlign w:val="superscript"/>
        </w:rPr>
        <w:t>o</w:t>
      </w:r>
      <w:r w:rsidRPr="00343087">
        <w:t xml:space="preserve"> 1 à la Convention en ce qui concernait M</w:t>
      </w:r>
      <w:r w:rsidRPr="00343087">
        <w:rPr>
          <w:vertAlign w:val="superscript"/>
        </w:rPr>
        <w:t>me</w:t>
      </w:r>
      <w:r w:rsidRPr="00343087">
        <w:t> Kastornova (requête n</w:t>
      </w:r>
      <w:r w:rsidRPr="00343087">
        <w:rPr>
          <w:vertAlign w:val="superscript"/>
        </w:rPr>
        <w:t>o</w:t>
      </w:r>
      <w:r w:rsidRPr="00343087">
        <w:t xml:space="preserve"> 1153/14) et M</w:t>
      </w:r>
      <w:r w:rsidRPr="00343087">
        <w:rPr>
          <w:vertAlign w:val="superscript"/>
        </w:rPr>
        <w:t>me</w:t>
      </w:r>
      <w:r w:rsidRPr="00343087">
        <w:t xml:space="preserve"> Vdovina et M. Vdovin (requête n</w:t>
      </w:r>
      <w:r w:rsidRPr="00343087">
        <w:rPr>
          <w:vertAlign w:val="superscript"/>
        </w:rPr>
        <w:t>o</w:t>
      </w:r>
      <w:r w:rsidRPr="00343087">
        <w:t xml:space="preserve"> 2680/14). Elle a jugé que l</w:t>
      </w:r>
      <w:r w:rsidRPr="00343087" w:rsidR="00343087">
        <w:t>’</w:t>
      </w:r>
      <w:r w:rsidRPr="00343087">
        <w:t>injonction de démolition des biens immobiliers appartenant à ces trois requérants était contraire aux exigences de l</w:t>
      </w:r>
      <w:r w:rsidRPr="00343087" w:rsidR="00343087">
        <w:t>’</w:t>
      </w:r>
      <w:r w:rsidRPr="00343087">
        <w:t>article précité (</w:t>
      </w:r>
      <w:r w:rsidRPr="00343087">
        <w:rPr>
          <w:i/>
          <w:iCs/>
        </w:rPr>
        <w:t>Zhidov et autres c. Russie</w:t>
      </w:r>
      <w:r w:rsidRPr="00343087">
        <w:rPr>
          <w:lang w:eastAsia="en-GB"/>
        </w:rPr>
        <w:t>, n</w:t>
      </w:r>
      <w:r w:rsidRPr="00343087">
        <w:rPr>
          <w:vertAlign w:val="superscript"/>
        </w:rPr>
        <w:t>os</w:t>
      </w:r>
      <w:r w:rsidRPr="00343087">
        <w:rPr>
          <w:lang w:eastAsia="en-GB"/>
        </w:rPr>
        <w:t> </w:t>
      </w:r>
      <w:r w:rsidRPr="00343087">
        <w:t>54490/10 et 3 autres</w:t>
      </w:r>
      <w:r w:rsidRPr="00343087">
        <w:rPr>
          <w:lang w:eastAsia="en-GB"/>
        </w:rPr>
        <w:t xml:space="preserve">, </w:t>
      </w:r>
      <w:r w:rsidRPr="00343087">
        <w:t>16 octobre 2018).</w:t>
      </w:r>
    </w:p>
    <w:p w:rsidRPr="00343087" w:rsidR="0071730F" w:rsidP="00343087" w:rsidRDefault="0071730F">
      <w:pPr>
        <w:pStyle w:val="JuPara"/>
        <w:rPr>
          <w:i/>
        </w:rPr>
      </w:pPr>
      <w:r w:rsidRPr="00343087">
        <w:fldChar w:fldCharType="begin"/>
      </w:r>
      <w:r w:rsidRPr="00343087">
        <w:instrText xml:space="preserve"> SEQ level0 \*arabic </w:instrText>
      </w:r>
      <w:r w:rsidRPr="00343087">
        <w:fldChar w:fldCharType="separate"/>
      </w:r>
      <w:r w:rsidRPr="00343087" w:rsidR="00343087">
        <w:rPr>
          <w:noProof/>
        </w:rPr>
        <w:t>3</w:t>
      </w:r>
      <w:r w:rsidRPr="00343087">
        <w:fldChar w:fldCharType="end"/>
      </w:r>
      <w:r w:rsidRPr="00343087">
        <w:t>.  Par le même arrêt, la Cour a rayé du rôle la requête n</w:t>
      </w:r>
      <w:r w:rsidRPr="00343087">
        <w:rPr>
          <w:vertAlign w:val="superscript"/>
        </w:rPr>
        <w:t>o</w:t>
      </w:r>
      <w:r w:rsidRPr="00343087">
        <w:t xml:space="preserve"> 31636/14 en ce qu</w:t>
      </w:r>
      <w:r w:rsidRPr="00343087" w:rsidR="00343087">
        <w:t>’</w:t>
      </w:r>
      <w:r w:rsidRPr="00343087">
        <w:t>elle avait été introduite par M</w:t>
      </w:r>
      <w:r w:rsidRPr="00343087">
        <w:rPr>
          <w:vertAlign w:val="superscript"/>
        </w:rPr>
        <w:t>me </w:t>
      </w:r>
      <w:r w:rsidRPr="00343087">
        <w:t>Tikhonova, et elle a dit qu</w:t>
      </w:r>
      <w:r w:rsidRPr="00343087" w:rsidR="00343087">
        <w:t>’</w:t>
      </w:r>
      <w:r w:rsidRPr="00343087">
        <w:t>il n</w:t>
      </w:r>
      <w:r w:rsidRPr="00343087" w:rsidR="00343087">
        <w:t>’</w:t>
      </w:r>
      <w:r w:rsidRPr="00343087">
        <w:t>y avait pas eu violation de l</w:t>
      </w:r>
      <w:r w:rsidRPr="00343087" w:rsidR="00343087">
        <w:t>’</w:t>
      </w:r>
      <w:r w:rsidRPr="00343087">
        <w:t>article 1 du Protocole n</w:t>
      </w:r>
      <w:r w:rsidRPr="00343087">
        <w:rPr>
          <w:vertAlign w:val="superscript"/>
        </w:rPr>
        <w:t>o</w:t>
      </w:r>
      <w:r w:rsidRPr="00343087">
        <w:t xml:space="preserve"> 1 à la Convention en ce qui concernait M. Zhidov (requête n</w:t>
      </w:r>
      <w:r w:rsidRPr="00343087">
        <w:rPr>
          <w:vertAlign w:val="superscript"/>
        </w:rPr>
        <w:t>o</w:t>
      </w:r>
      <w:r w:rsidRPr="00343087">
        <w:t> 54490/10) et M</w:t>
      </w:r>
      <w:r w:rsidRPr="00343087">
        <w:rPr>
          <w:vertAlign w:val="superscript"/>
        </w:rPr>
        <w:t>me</w:t>
      </w:r>
      <w:r w:rsidRPr="00343087">
        <w:t xml:space="preserve"> Kosenko (requête n</w:t>
      </w:r>
      <w:r w:rsidRPr="00343087">
        <w:rPr>
          <w:vertAlign w:val="superscript"/>
        </w:rPr>
        <w:t>o</w:t>
      </w:r>
      <w:r w:rsidRPr="00343087">
        <w:t> 31636/14).</w:t>
      </w:r>
    </w:p>
    <w:p w:rsidRPr="00343087" w:rsidR="0071730F" w:rsidP="00343087" w:rsidRDefault="0071730F">
      <w:pPr>
        <w:pStyle w:val="JuPara"/>
      </w:pPr>
      <w:r w:rsidRPr="00343087">
        <w:fldChar w:fldCharType="begin"/>
      </w:r>
      <w:r w:rsidRPr="00343087">
        <w:instrText xml:space="preserve"> SEQ level0 \*arabic </w:instrText>
      </w:r>
      <w:r w:rsidRPr="00343087">
        <w:fldChar w:fldCharType="separate"/>
      </w:r>
      <w:r w:rsidRPr="00343087" w:rsidR="00343087">
        <w:rPr>
          <w:noProof/>
        </w:rPr>
        <w:t>4</w:t>
      </w:r>
      <w:r w:rsidRPr="00343087">
        <w:fldChar w:fldCharType="end"/>
      </w:r>
      <w:r w:rsidRPr="00343087">
        <w:t>.  Se fondant sur l</w:t>
      </w:r>
      <w:r w:rsidRPr="00343087" w:rsidR="00343087">
        <w:t>’</w:t>
      </w:r>
      <w:r w:rsidRPr="00343087">
        <w:t>article 41 de la Convention, les requérants M</w:t>
      </w:r>
      <w:r w:rsidRPr="00343087">
        <w:rPr>
          <w:vertAlign w:val="superscript"/>
        </w:rPr>
        <w:t>mes</w:t>
      </w:r>
      <w:r w:rsidRPr="00343087">
        <w:t> Kastornova et Vdovina et M. Vdovin réclamaient une satisfaction équitable pour les préjudices matériel et moral qu</w:t>
      </w:r>
      <w:r w:rsidRPr="00343087" w:rsidR="00343087">
        <w:t>’</w:t>
      </w:r>
      <w:r w:rsidRPr="00343087">
        <w:t>ils estimaient avoir subis, ainsi que pour les frais et dépens qu</w:t>
      </w:r>
      <w:r w:rsidRPr="00343087" w:rsidR="00343087">
        <w:t>’</w:t>
      </w:r>
      <w:r w:rsidRPr="00343087">
        <w:t>ils disaient avoir engagés.</w:t>
      </w:r>
    </w:p>
    <w:p w:rsidRPr="00343087" w:rsidR="0071730F" w:rsidP="00343087" w:rsidRDefault="0071730F">
      <w:pPr>
        <w:pStyle w:val="JuPara"/>
      </w:pPr>
      <w:r w:rsidRPr="00343087">
        <w:fldChar w:fldCharType="begin"/>
      </w:r>
      <w:r w:rsidRPr="00343087">
        <w:instrText xml:space="preserve"> SEQ level0 \*arabic </w:instrText>
      </w:r>
      <w:r w:rsidRPr="00343087">
        <w:fldChar w:fldCharType="separate"/>
      </w:r>
      <w:r w:rsidRPr="00343087" w:rsidR="00343087">
        <w:rPr>
          <w:noProof/>
        </w:rPr>
        <w:t>5</w:t>
      </w:r>
      <w:r w:rsidRPr="00343087">
        <w:fldChar w:fldCharType="end"/>
      </w:r>
      <w:r w:rsidRPr="00343087">
        <w:t>.  Dans l</w:t>
      </w:r>
      <w:r w:rsidRPr="00343087" w:rsidR="00343087">
        <w:t>’</w:t>
      </w:r>
      <w:r w:rsidRPr="00343087">
        <w:t>arrêt au principal, la Cour a rejeté la demande pour frais et dépens. La question de l</w:t>
      </w:r>
      <w:r w:rsidRPr="00343087" w:rsidR="00343087">
        <w:t>’</w:t>
      </w:r>
      <w:r w:rsidRPr="00343087">
        <w:t>application de l</w:t>
      </w:r>
      <w:r w:rsidRPr="00343087" w:rsidR="00343087">
        <w:t>’</w:t>
      </w:r>
      <w:r w:rsidRPr="00343087">
        <w:t>article 41 de la Convention ne se trouvant pas en état concernant les préjudices matériel et moral allégués, la Cour l</w:t>
      </w:r>
      <w:r w:rsidRPr="00343087" w:rsidR="00343087">
        <w:t>’</w:t>
      </w:r>
      <w:r w:rsidRPr="00343087">
        <w:t>a réservée et a invité le Gouvernement et les requérants à lui soumettre par écrit, dans les six mois à compter du jour où l</w:t>
      </w:r>
      <w:r w:rsidRPr="00343087" w:rsidR="00343087">
        <w:t>’</w:t>
      </w:r>
      <w:r w:rsidRPr="00343087">
        <w:t>arrêt deviendrait définitif, leurs observations sur cette question et notamment à lui donner connaissance de tout accord auquel ils pourraient aboutir (</w:t>
      </w:r>
      <w:r w:rsidRPr="00343087">
        <w:rPr>
          <w:i/>
        </w:rPr>
        <w:t>ibidem</w:t>
      </w:r>
      <w:r w:rsidRPr="00343087">
        <w:t>, § 135, et point 6 du dispositif).</w:t>
      </w:r>
    </w:p>
    <w:p w:rsidRPr="00343087" w:rsidR="0071730F" w:rsidP="00343087" w:rsidRDefault="0071730F">
      <w:pPr>
        <w:pStyle w:val="JuPara"/>
      </w:pPr>
      <w:r w:rsidRPr="00343087">
        <w:fldChar w:fldCharType="begin"/>
      </w:r>
      <w:r w:rsidRPr="00343087">
        <w:instrText xml:space="preserve"> SEQ level0 \*arabic </w:instrText>
      </w:r>
      <w:r w:rsidRPr="00343087">
        <w:fldChar w:fldCharType="separate"/>
      </w:r>
      <w:r w:rsidRPr="00343087" w:rsidR="00343087">
        <w:rPr>
          <w:noProof/>
        </w:rPr>
        <w:t>6</w:t>
      </w:r>
      <w:r w:rsidRPr="00343087">
        <w:fldChar w:fldCharType="end"/>
      </w:r>
      <w:r w:rsidRPr="00343087">
        <w:t>.  Tant le Gouvernement que M</w:t>
      </w:r>
      <w:r w:rsidRPr="00343087">
        <w:rPr>
          <w:vertAlign w:val="superscript"/>
        </w:rPr>
        <w:t>mes</w:t>
      </w:r>
      <w:r w:rsidRPr="00343087">
        <w:t xml:space="preserve"> Kastornova et Vdovina ont déposé des observations, mais pas M. Vdovin.</w:t>
      </w:r>
    </w:p>
    <w:p w:rsidRPr="00343087" w:rsidR="0071730F" w:rsidP="00343087" w:rsidRDefault="0071730F">
      <w:pPr>
        <w:pStyle w:val="JuHHead"/>
      </w:pPr>
      <w:r w:rsidRPr="00343087">
        <w:t>EN DROIT</w:t>
      </w:r>
    </w:p>
    <w:p w:rsidRPr="00343087" w:rsidR="0071730F" w:rsidP="00343087" w:rsidRDefault="0071730F">
      <w:pPr>
        <w:pStyle w:val="JuHIRoman"/>
        <w:numPr>
          <w:ilvl w:val="0"/>
          <w:numId w:val="0"/>
        </w:numPr>
        <w:ind w:left="357"/>
      </w:pPr>
      <w:r w:rsidRPr="00343087">
        <w:t>SUR L</w:t>
      </w:r>
      <w:r w:rsidRPr="00343087" w:rsidR="00343087">
        <w:t>’</w:t>
      </w:r>
      <w:r w:rsidRPr="00343087">
        <w:t>APPLICATION DE L</w:t>
      </w:r>
      <w:r w:rsidRPr="00343087" w:rsidR="00343087">
        <w:t>’</w:t>
      </w:r>
      <w:r w:rsidRPr="00343087">
        <w:t>ARTICLE 41 DE LA CONVENTION</w:t>
      </w:r>
    </w:p>
    <w:p w:rsidRPr="00343087" w:rsidR="0071730F" w:rsidP="00343087" w:rsidRDefault="0071730F">
      <w:pPr>
        <w:pStyle w:val="JuPara"/>
      </w:pPr>
      <w:r w:rsidRPr="00343087">
        <w:fldChar w:fldCharType="begin"/>
      </w:r>
      <w:r w:rsidRPr="00343087">
        <w:instrText xml:space="preserve"> SEQ level0 \*arabic </w:instrText>
      </w:r>
      <w:r w:rsidRPr="00343087">
        <w:fldChar w:fldCharType="separate"/>
      </w:r>
      <w:r w:rsidRPr="00343087" w:rsidR="00343087">
        <w:rPr>
          <w:noProof/>
        </w:rPr>
        <w:t>7</w:t>
      </w:r>
      <w:r w:rsidRPr="00343087">
        <w:fldChar w:fldCharType="end"/>
      </w:r>
      <w:r w:rsidRPr="00343087">
        <w:t>.  Aux termes de l</w:t>
      </w:r>
      <w:r w:rsidRPr="00343087" w:rsidR="00343087">
        <w:t>’</w:t>
      </w:r>
      <w:r w:rsidRPr="00343087">
        <w:t>article 41 de la Convention,</w:t>
      </w:r>
    </w:p>
    <w:p w:rsidRPr="00343087" w:rsidR="0071730F" w:rsidP="00343087" w:rsidRDefault="0071730F">
      <w:pPr>
        <w:pStyle w:val="JuQuot"/>
      </w:pPr>
      <w:r w:rsidRPr="00343087">
        <w:t>« Si la Cour déclare qu</w:t>
      </w:r>
      <w:r w:rsidRPr="00343087" w:rsidR="00343087">
        <w:t>’</w:t>
      </w:r>
      <w:r w:rsidRPr="00343087">
        <w:t>il y a eu violation de la Convention ou de ses Protocoles, et si le droit interne de la Haute Partie contractante ne permet d</w:t>
      </w:r>
      <w:r w:rsidRPr="00343087" w:rsidR="00343087">
        <w:t>’</w:t>
      </w:r>
      <w:r w:rsidRPr="00343087">
        <w:t>effacer qu</w:t>
      </w:r>
      <w:r w:rsidRPr="00343087" w:rsidR="00343087">
        <w:t>’</w:t>
      </w:r>
      <w:r w:rsidRPr="00343087">
        <w:t>imparfaitement les conséquences de cette violation, la Cour accorde à la partie lésée, s</w:t>
      </w:r>
      <w:r w:rsidRPr="00343087" w:rsidR="00343087">
        <w:t>’</w:t>
      </w:r>
      <w:r w:rsidRPr="00343087">
        <w:t>il y a lieu, une satisfaction équitable. »</w:t>
      </w:r>
    </w:p>
    <w:p w:rsidRPr="00343087" w:rsidR="0071730F" w:rsidP="00343087" w:rsidRDefault="0071730F">
      <w:pPr>
        <w:pStyle w:val="JuHA"/>
      </w:pPr>
      <w:r w:rsidRPr="00343087">
        <w:t>Question préliminaire concernant M. Vdovin</w:t>
      </w:r>
    </w:p>
    <w:p w:rsidRPr="00343087" w:rsidR="0071730F" w:rsidP="00343087" w:rsidRDefault="0071730F">
      <w:pPr>
        <w:pStyle w:val="JuPara"/>
      </w:pPr>
      <w:r w:rsidRPr="00343087">
        <w:fldChar w:fldCharType="begin"/>
      </w:r>
      <w:r w:rsidRPr="00343087">
        <w:instrText xml:space="preserve"> SEQ level0 \*arabic </w:instrText>
      </w:r>
      <w:r w:rsidRPr="00343087">
        <w:fldChar w:fldCharType="separate"/>
      </w:r>
      <w:r w:rsidRPr="00343087" w:rsidR="00343087">
        <w:rPr>
          <w:noProof/>
        </w:rPr>
        <w:t>8</w:t>
      </w:r>
      <w:r w:rsidRPr="00343087">
        <w:fldChar w:fldCharType="end"/>
      </w:r>
      <w:r w:rsidRPr="00343087">
        <w:t>.  La Cour note que le requérant M. Vdovin n</w:t>
      </w:r>
      <w:r w:rsidRPr="00343087" w:rsidR="00343087">
        <w:t>’</w:t>
      </w:r>
      <w:r w:rsidRPr="00343087">
        <w:t>a pas présenté d</w:t>
      </w:r>
      <w:r w:rsidRPr="00343087" w:rsidR="00343087">
        <w:t>’</w:t>
      </w:r>
      <w:r w:rsidRPr="00343087">
        <w:t>observations sur la satisfaction équitable et que M</w:t>
      </w:r>
      <w:r w:rsidRPr="00343087">
        <w:rPr>
          <w:vertAlign w:val="superscript"/>
        </w:rPr>
        <w:t>me</w:t>
      </w:r>
      <w:r w:rsidRPr="00343087">
        <w:t xml:space="preserve"> Vdovina n</w:t>
      </w:r>
      <w:r w:rsidRPr="00343087" w:rsidR="00343087">
        <w:t>’</w:t>
      </w:r>
      <w:r w:rsidRPr="00343087">
        <w:t>a pas présenté d</w:t>
      </w:r>
      <w:r w:rsidRPr="00343087" w:rsidR="00343087">
        <w:t>’</w:t>
      </w:r>
      <w:r w:rsidRPr="00343087">
        <w:t>observations au nom de celui-ci. Aussi considère-t-elle qu</w:t>
      </w:r>
      <w:r w:rsidRPr="00343087" w:rsidR="00343087">
        <w:t>’</w:t>
      </w:r>
      <w:r w:rsidRPr="00343087">
        <w:t>il n</w:t>
      </w:r>
      <w:r w:rsidRPr="00343087" w:rsidR="00343087">
        <w:t>’</w:t>
      </w:r>
      <w:r w:rsidRPr="00343087">
        <w:t>y a pas lieu de se prononcer sur l</w:t>
      </w:r>
      <w:r w:rsidRPr="00343087" w:rsidR="00343087">
        <w:t>’</w:t>
      </w:r>
      <w:r w:rsidRPr="00343087">
        <w:t>article 41 de la Convention en ce qui concerne ce requérant.</w:t>
      </w:r>
    </w:p>
    <w:p w:rsidRPr="00343087" w:rsidR="0071730F" w:rsidP="00343087" w:rsidRDefault="0071730F">
      <w:pPr>
        <w:pStyle w:val="JuHA"/>
      </w:pPr>
      <w:r w:rsidRPr="00343087">
        <w:t>Thèses des parties</w:t>
      </w:r>
    </w:p>
    <w:p w:rsidRPr="00343087" w:rsidR="0071730F" w:rsidP="00343087" w:rsidRDefault="0071730F">
      <w:pPr>
        <w:pStyle w:val="JuH1"/>
      </w:pPr>
      <w:r w:rsidRPr="00343087">
        <w:t>M</w:t>
      </w:r>
      <w:r w:rsidRPr="00343087">
        <w:rPr>
          <w:vertAlign w:val="superscript"/>
        </w:rPr>
        <w:t>mes</w:t>
      </w:r>
      <w:r w:rsidRPr="00343087">
        <w:t xml:space="preserve"> Kastornova et Vdovina (requêtes n</w:t>
      </w:r>
      <w:r w:rsidRPr="00343087">
        <w:rPr>
          <w:vertAlign w:val="superscript"/>
        </w:rPr>
        <w:t>os</w:t>
      </w:r>
      <w:r w:rsidRPr="00343087">
        <w:t xml:space="preserve"> 1153/14 et n</w:t>
      </w:r>
      <w:r w:rsidRPr="00343087">
        <w:rPr>
          <w:vertAlign w:val="superscript"/>
        </w:rPr>
        <w:t>o</w:t>
      </w:r>
      <w:r w:rsidRPr="00343087">
        <w:t xml:space="preserve"> 2680/14)</w:t>
      </w:r>
    </w:p>
    <w:p w:rsidRPr="00343087" w:rsidR="0071730F" w:rsidP="00343087" w:rsidRDefault="0071730F">
      <w:pPr>
        <w:pStyle w:val="JuPara"/>
      </w:pPr>
      <w:r w:rsidRPr="00343087">
        <w:fldChar w:fldCharType="begin"/>
      </w:r>
      <w:r w:rsidRPr="00343087">
        <w:instrText xml:space="preserve"> SEQ level0 \*arabic </w:instrText>
      </w:r>
      <w:r w:rsidRPr="00343087">
        <w:fldChar w:fldCharType="separate"/>
      </w:r>
      <w:r w:rsidRPr="00343087" w:rsidR="00343087">
        <w:rPr>
          <w:noProof/>
        </w:rPr>
        <w:t>9</w:t>
      </w:r>
      <w:r w:rsidRPr="00343087">
        <w:fldChar w:fldCharType="end"/>
      </w:r>
      <w:r w:rsidRPr="00343087">
        <w:t>.  M</w:t>
      </w:r>
      <w:r w:rsidRPr="00343087">
        <w:rPr>
          <w:vertAlign w:val="superscript"/>
        </w:rPr>
        <w:t>mes</w:t>
      </w:r>
      <w:r w:rsidRPr="00343087">
        <w:t xml:space="preserve"> Kastornova et Vdovina allèguent que, du fait de la présence d</w:t>
      </w:r>
      <w:r w:rsidRPr="00343087" w:rsidR="00343087">
        <w:t>’</w:t>
      </w:r>
      <w:r w:rsidRPr="00343087">
        <w:t>un gazoduc à proximité de leurs maisons, elles ont perdu depuis 2013 toute possibilité de jouir de leurs biens immobiliers. C</w:t>
      </w:r>
      <w:r w:rsidRPr="00343087" w:rsidR="00343087">
        <w:t>’</w:t>
      </w:r>
      <w:r w:rsidRPr="00343087">
        <w:t>est pourquoi elles estiment que le seul moyen de redressement approprié serait le paiement d</w:t>
      </w:r>
      <w:r w:rsidRPr="00343087" w:rsidR="00343087">
        <w:t>’</w:t>
      </w:r>
      <w:r w:rsidRPr="00343087">
        <w:t>une indemnité correspondant à la valeur de leurs biens assortie d</w:t>
      </w:r>
      <w:r w:rsidRPr="00343087" w:rsidR="00343087">
        <w:t>’</w:t>
      </w:r>
      <w:r w:rsidRPr="00343087">
        <w:t>intérêts ainsi que le paiement d</w:t>
      </w:r>
      <w:r w:rsidRPr="00343087" w:rsidR="00343087">
        <w:t>’</w:t>
      </w:r>
      <w:r w:rsidRPr="00343087">
        <w:t>une indemnité pour préjudice moral.</w:t>
      </w:r>
    </w:p>
    <w:p w:rsidRPr="00343087" w:rsidR="0071730F" w:rsidP="00343087" w:rsidRDefault="0071730F">
      <w:pPr>
        <w:pStyle w:val="JuPara"/>
      </w:pPr>
      <w:r w:rsidRPr="00343087">
        <w:fldChar w:fldCharType="begin"/>
      </w:r>
      <w:r w:rsidRPr="00343087">
        <w:instrText xml:space="preserve"> SEQ level0 \*arabic </w:instrText>
      </w:r>
      <w:r w:rsidRPr="00343087">
        <w:fldChar w:fldCharType="separate"/>
      </w:r>
      <w:r w:rsidRPr="00343087" w:rsidR="00343087">
        <w:rPr>
          <w:noProof/>
        </w:rPr>
        <w:t>10</w:t>
      </w:r>
      <w:r w:rsidRPr="00343087">
        <w:fldChar w:fldCharType="end"/>
      </w:r>
      <w:r w:rsidRPr="00343087">
        <w:t>.  M</w:t>
      </w:r>
      <w:r w:rsidRPr="00343087">
        <w:rPr>
          <w:vertAlign w:val="superscript"/>
        </w:rPr>
        <w:t>me</w:t>
      </w:r>
      <w:r w:rsidRPr="00343087">
        <w:t xml:space="preserve"> Kastornova (requête n</w:t>
      </w:r>
      <w:r w:rsidRPr="00343087">
        <w:rPr>
          <w:vertAlign w:val="superscript"/>
        </w:rPr>
        <w:t>o</w:t>
      </w:r>
      <w:r w:rsidRPr="00343087">
        <w:t xml:space="preserve"> 1153/14) réclame ainsi les sommes suivantes :</w:t>
      </w:r>
    </w:p>
    <w:p w:rsidRPr="00343087" w:rsidR="0071730F" w:rsidP="00343087" w:rsidRDefault="0071730F">
      <w:pPr>
        <w:pStyle w:val="JuPara"/>
      </w:pPr>
      <w:r w:rsidRPr="00343087">
        <w:t>–  9 205 000 roubles (RUB) pour la valeur de sa maison ;</w:t>
      </w:r>
    </w:p>
    <w:p w:rsidRPr="00343087" w:rsidR="0071730F" w:rsidP="00343087" w:rsidRDefault="0071730F">
      <w:pPr>
        <w:pStyle w:val="JuPara"/>
      </w:pPr>
      <w:r w:rsidRPr="00343087">
        <w:t>–  2 737 500 RUB pour la valeur de sa parcelle ;</w:t>
      </w:r>
    </w:p>
    <w:p w:rsidRPr="00343087" w:rsidR="0071730F" w:rsidP="00343087" w:rsidRDefault="0071730F">
      <w:pPr>
        <w:pStyle w:val="JuPara"/>
      </w:pPr>
      <w:r w:rsidRPr="00343087">
        <w:t xml:space="preserve">–  6 321 096 RUB au titre des intérêts applicables aux deux montants susmentionnés pour la période du 19 mars 2013 (date du prononcé du jugement du </w:t>
      </w:r>
      <w:r w:rsidRPr="00343087">
        <w:rPr>
          <w:bCs/>
          <w:iCs/>
        </w:rPr>
        <w:t>tribunal de la ville de Tchekhov ordonnant la démolition de sa maison</w:t>
      </w:r>
      <w:r w:rsidRPr="00343087">
        <w:t>) au 3 juin 2019 (date des observations de M</w:t>
      </w:r>
      <w:r w:rsidRPr="00343087">
        <w:rPr>
          <w:vertAlign w:val="superscript"/>
        </w:rPr>
        <w:t>me</w:t>
      </w:r>
      <w:r w:rsidRPr="00343087">
        <w:t xml:space="preserve"> Kastornova).</w:t>
      </w:r>
    </w:p>
    <w:p w:rsidRPr="00343087" w:rsidR="0071730F" w:rsidP="00343087" w:rsidRDefault="0071730F">
      <w:pPr>
        <w:pStyle w:val="JuPara"/>
        <w:keepNext/>
        <w:keepLines/>
      </w:pPr>
      <w:r w:rsidRPr="00343087">
        <w:fldChar w:fldCharType="begin"/>
      </w:r>
      <w:r w:rsidRPr="00343087">
        <w:instrText xml:space="preserve"> SEQ level0 \*arabic </w:instrText>
      </w:r>
      <w:r w:rsidRPr="00343087">
        <w:fldChar w:fldCharType="separate"/>
      </w:r>
      <w:r w:rsidRPr="00343087" w:rsidR="00343087">
        <w:rPr>
          <w:noProof/>
        </w:rPr>
        <w:t>11</w:t>
      </w:r>
      <w:r w:rsidRPr="00343087">
        <w:fldChar w:fldCharType="end"/>
      </w:r>
      <w:r w:rsidRPr="00343087">
        <w:t>.  M</w:t>
      </w:r>
      <w:r w:rsidRPr="00343087">
        <w:rPr>
          <w:vertAlign w:val="superscript"/>
        </w:rPr>
        <w:t>me</w:t>
      </w:r>
      <w:r w:rsidRPr="00343087">
        <w:t xml:space="preserve"> Vdovina sollicite quant à elle les sommes suivantes :</w:t>
      </w:r>
    </w:p>
    <w:p w:rsidRPr="00343087" w:rsidR="0071730F" w:rsidP="00343087" w:rsidRDefault="0071730F">
      <w:pPr>
        <w:pStyle w:val="JuPara"/>
        <w:keepNext/>
        <w:keepLines/>
      </w:pPr>
      <w:r w:rsidRPr="00343087">
        <w:t>–  5 021 600 RUB pour la valeur de sa maison ;</w:t>
      </w:r>
    </w:p>
    <w:p w:rsidRPr="00343087" w:rsidR="0071730F" w:rsidP="00343087" w:rsidRDefault="0071730F">
      <w:pPr>
        <w:pStyle w:val="JuPara"/>
        <w:keepNext/>
        <w:keepLines/>
      </w:pPr>
      <w:r w:rsidRPr="00343087">
        <w:t>–  2 931 600 RUB pour la valeur de sa parcelle ;</w:t>
      </w:r>
    </w:p>
    <w:p w:rsidRPr="00343087" w:rsidR="0071730F" w:rsidP="00343087" w:rsidRDefault="0071730F">
      <w:pPr>
        <w:pStyle w:val="JuPara"/>
      </w:pPr>
      <w:r w:rsidRPr="00343087">
        <w:t>–  4 209 089 RUB au titre des intérêts applicables aux deux montants susmentionnés pour la même période que celle figurant dans la demande de M</w:t>
      </w:r>
      <w:r w:rsidRPr="00343087">
        <w:rPr>
          <w:vertAlign w:val="superscript"/>
        </w:rPr>
        <w:t>me</w:t>
      </w:r>
      <w:r w:rsidRPr="00343087">
        <w:t xml:space="preserve"> Kastornova.</w:t>
      </w:r>
    </w:p>
    <w:p w:rsidRPr="00343087" w:rsidR="0071730F" w:rsidP="00343087" w:rsidRDefault="0071730F">
      <w:pPr>
        <w:pStyle w:val="JuPara"/>
      </w:pPr>
      <w:r w:rsidRPr="00343087">
        <w:fldChar w:fldCharType="begin"/>
      </w:r>
      <w:r w:rsidRPr="00343087">
        <w:instrText xml:space="preserve"> SEQ level0 \*arabic </w:instrText>
      </w:r>
      <w:r w:rsidRPr="00343087">
        <w:fldChar w:fldCharType="separate"/>
      </w:r>
      <w:r w:rsidRPr="00343087" w:rsidR="00343087">
        <w:rPr>
          <w:noProof/>
        </w:rPr>
        <w:t>12</w:t>
      </w:r>
      <w:r w:rsidRPr="00343087">
        <w:fldChar w:fldCharType="end"/>
      </w:r>
      <w:r w:rsidRPr="00343087">
        <w:t>.  À l</w:t>
      </w:r>
      <w:r w:rsidRPr="00343087" w:rsidR="00343087">
        <w:t>’</w:t>
      </w:r>
      <w:r w:rsidRPr="00343087">
        <w:t>appui de leurs prétentions, les deux requérantes fournissent des rapports estimatifs des biens immobiliers et des tableaux de calcul des intérêts.</w:t>
      </w:r>
    </w:p>
    <w:p w:rsidRPr="00343087" w:rsidR="0071730F" w:rsidP="00343087" w:rsidRDefault="0071730F">
      <w:pPr>
        <w:pStyle w:val="JuPara"/>
      </w:pPr>
      <w:r w:rsidRPr="00343087">
        <w:fldChar w:fldCharType="begin"/>
      </w:r>
      <w:r w:rsidRPr="00343087">
        <w:instrText xml:space="preserve"> SEQ level0 \*arabic </w:instrText>
      </w:r>
      <w:r w:rsidRPr="00343087">
        <w:fldChar w:fldCharType="separate"/>
      </w:r>
      <w:r w:rsidRPr="00343087" w:rsidR="00343087">
        <w:rPr>
          <w:noProof/>
        </w:rPr>
        <w:t>13</w:t>
      </w:r>
      <w:r w:rsidRPr="00343087">
        <w:fldChar w:fldCharType="end"/>
      </w:r>
      <w:r w:rsidRPr="00343087">
        <w:t>.  Enfin, elles réclament chacune 3 000 000 RUB (soit 41 190 euros (EUR)) au titre du préjudice moral qu</w:t>
      </w:r>
      <w:r w:rsidRPr="00343087" w:rsidR="00343087">
        <w:t>’</w:t>
      </w:r>
      <w:r w:rsidRPr="00343087">
        <w:t>elles estiment avoir subi du fait de la violation de leurs droits.</w:t>
      </w:r>
    </w:p>
    <w:p w:rsidRPr="00343087" w:rsidR="0071730F" w:rsidP="00343087" w:rsidRDefault="0071730F">
      <w:pPr>
        <w:pStyle w:val="JuH1"/>
      </w:pPr>
      <w:r w:rsidRPr="00343087">
        <w:t>Le Gouvernement</w:t>
      </w:r>
    </w:p>
    <w:p w:rsidRPr="00343087" w:rsidR="0071730F" w:rsidP="00343087" w:rsidRDefault="0071730F">
      <w:pPr>
        <w:pStyle w:val="JuPara"/>
        <w:rPr>
          <w:bCs/>
          <w:iCs/>
        </w:rPr>
      </w:pPr>
      <w:r w:rsidRPr="00343087">
        <w:fldChar w:fldCharType="begin"/>
      </w:r>
      <w:r w:rsidRPr="00343087">
        <w:instrText xml:space="preserve"> SEQ level0 \*arabic </w:instrText>
      </w:r>
      <w:r w:rsidRPr="00343087">
        <w:fldChar w:fldCharType="separate"/>
      </w:r>
      <w:r w:rsidRPr="00343087" w:rsidR="00343087">
        <w:rPr>
          <w:noProof/>
        </w:rPr>
        <w:t>14</w:t>
      </w:r>
      <w:r w:rsidRPr="00343087">
        <w:fldChar w:fldCharType="end"/>
      </w:r>
      <w:r w:rsidRPr="00343087">
        <w:t>.  Le Gouvernement indique dans ses observations du 18 septembre 2019 que le jugement rendu par le</w:t>
      </w:r>
      <w:r w:rsidRPr="00343087">
        <w:rPr>
          <w:bCs/>
          <w:iCs/>
        </w:rPr>
        <w:t xml:space="preserve"> tribunal de la ville de Tchekhov le 19 mars 2013 ordonnant la démolition n</w:t>
      </w:r>
      <w:r w:rsidRPr="00343087" w:rsidR="00343087">
        <w:rPr>
          <w:bCs/>
          <w:iCs/>
        </w:rPr>
        <w:t>’</w:t>
      </w:r>
      <w:r w:rsidRPr="00343087">
        <w:rPr>
          <w:bCs/>
          <w:iCs/>
        </w:rPr>
        <w:t>a pas été exécuté et que la destination des parcelles des requérantes – construction individuelle et production agricole personnelle – est restée inchangée. À l</w:t>
      </w:r>
      <w:r w:rsidRPr="00343087" w:rsidR="00343087">
        <w:rPr>
          <w:bCs/>
          <w:iCs/>
        </w:rPr>
        <w:t>’</w:t>
      </w:r>
      <w:r w:rsidRPr="00343087">
        <w:rPr>
          <w:bCs/>
          <w:iCs/>
        </w:rPr>
        <w:t>appui de ses allégations, il fournit deux comptes rendus d</w:t>
      </w:r>
      <w:r w:rsidRPr="00343087" w:rsidR="00343087">
        <w:rPr>
          <w:bCs/>
          <w:iCs/>
        </w:rPr>
        <w:t>’</w:t>
      </w:r>
      <w:r w:rsidRPr="00343087">
        <w:rPr>
          <w:bCs/>
          <w:iCs/>
        </w:rPr>
        <w:t>inspections réalisées le 18 juillet 2019 par les autorités municipales sur les parcelles des requérantes. Ces inspections avaient selon lui permis de constater la présence de différents immeubles sur les parcelles en question.</w:t>
      </w:r>
    </w:p>
    <w:p w:rsidRPr="00343087" w:rsidR="0071730F" w:rsidP="00343087" w:rsidRDefault="0071730F">
      <w:pPr>
        <w:pStyle w:val="JuPara"/>
        <w:rPr>
          <w:bCs/>
          <w:iCs/>
        </w:rPr>
      </w:pPr>
      <w:r w:rsidRPr="00343087">
        <w:rPr>
          <w:bCs/>
          <w:iCs/>
        </w:rPr>
        <w:fldChar w:fldCharType="begin"/>
      </w:r>
      <w:r w:rsidRPr="00343087">
        <w:rPr>
          <w:bCs/>
          <w:iCs/>
        </w:rPr>
        <w:instrText xml:space="preserve"> SEQ level0 \*arabic </w:instrText>
      </w:r>
      <w:r w:rsidRPr="00343087">
        <w:rPr>
          <w:bCs/>
          <w:iCs/>
        </w:rPr>
        <w:fldChar w:fldCharType="separate"/>
      </w:r>
      <w:r w:rsidRPr="00343087" w:rsidR="00343087">
        <w:rPr>
          <w:bCs/>
          <w:iCs/>
          <w:noProof/>
        </w:rPr>
        <w:t>15</w:t>
      </w:r>
      <w:r w:rsidRPr="00343087">
        <w:rPr>
          <w:bCs/>
          <w:iCs/>
        </w:rPr>
        <w:fldChar w:fldCharType="end"/>
      </w:r>
      <w:r w:rsidRPr="00343087">
        <w:rPr>
          <w:bCs/>
          <w:iCs/>
        </w:rPr>
        <w:t>.  Le Gouvernement conclut que les biens immobiliers des requérantes n</w:t>
      </w:r>
      <w:r w:rsidRPr="00343087" w:rsidR="00343087">
        <w:rPr>
          <w:bCs/>
          <w:iCs/>
        </w:rPr>
        <w:t>’</w:t>
      </w:r>
      <w:r w:rsidRPr="00343087">
        <w:rPr>
          <w:bCs/>
          <w:iCs/>
        </w:rPr>
        <w:t>ont subi aucune atteinte et que les intéressées peuvent continuer à en user. C</w:t>
      </w:r>
      <w:r w:rsidRPr="00343087" w:rsidR="00343087">
        <w:rPr>
          <w:bCs/>
          <w:iCs/>
        </w:rPr>
        <w:t>’</w:t>
      </w:r>
      <w:r w:rsidRPr="00343087">
        <w:rPr>
          <w:bCs/>
          <w:iCs/>
        </w:rPr>
        <w:t>est pourquoi il invite la Cour à rejeter les demandes de réparation d</w:t>
      </w:r>
      <w:r w:rsidRPr="00343087" w:rsidR="00343087">
        <w:rPr>
          <w:bCs/>
          <w:iCs/>
        </w:rPr>
        <w:t>’</w:t>
      </w:r>
      <w:r w:rsidRPr="00343087">
        <w:rPr>
          <w:bCs/>
          <w:iCs/>
        </w:rPr>
        <w:t>un préjudice matériel.</w:t>
      </w:r>
    </w:p>
    <w:p w:rsidRPr="00343087" w:rsidR="0071730F" w:rsidP="00343087" w:rsidRDefault="0071730F">
      <w:pPr>
        <w:pStyle w:val="JuPara"/>
        <w:rPr>
          <w:bCs/>
          <w:iCs/>
        </w:rPr>
      </w:pPr>
      <w:r w:rsidRPr="00343087">
        <w:rPr>
          <w:bCs/>
          <w:iCs/>
        </w:rPr>
        <w:fldChar w:fldCharType="begin"/>
      </w:r>
      <w:r w:rsidRPr="00343087">
        <w:rPr>
          <w:bCs/>
          <w:iCs/>
        </w:rPr>
        <w:instrText xml:space="preserve"> SEQ level0 \*arabic </w:instrText>
      </w:r>
      <w:r w:rsidRPr="00343087">
        <w:rPr>
          <w:bCs/>
          <w:iCs/>
        </w:rPr>
        <w:fldChar w:fldCharType="separate"/>
      </w:r>
      <w:r w:rsidRPr="00343087" w:rsidR="00343087">
        <w:rPr>
          <w:bCs/>
          <w:iCs/>
          <w:noProof/>
        </w:rPr>
        <w:t>16</w:t>
      </w:r>
      <w:r w:rsidRPr="00343087">
        <w:rPr>
          <w:bCs/>
          <w:iCs/>
        </w:rPr>
        <w:fldChar w:fldCharType="end"/>
      </w:r>
      <w:r w:rsidRPr="00343087">
        <w:rPr>
          <w:bCs/>
          <w:iCs/>
        </w:rPr>
        <w:t>.  Par ailleurs, il considère que les demandes formulées pour préjudice moral sont non-étayées.</w:t>
      </w:r>
    </w:p>
    <w:p w:rsidRPr="00343087" w:rsidR="0071730F" w:rsidP="00343087" w:rsidRDefault="0071730F">
      <w:pPr>
        <w:pStyle w:val="JuHA"/>
      </w:pPr>
      <w:r w:rsidRPr="00343087">
        <w:t>Le droit interne pertinent</w:t>
      </w:r>
    </w:p>
    <w:bookmarkStart w:name="p17" w:id="3"/>
    <w:p w:rsidRPr="00343087" w:rsidR="0071730F" w:rsidP="00343087" w:rsidRDefault="0071730F">
      <w:pPr>
        <w:pStyle w:val="JuPara"/>
      </w:pPr>
      <w:r w:rsidRPr="00343087">
        <w:fldChar w:fldCharType="begin"/>
      </w:r>
      <w:r w:rsidRPr="00343087">
        <w:instrText xml:space="preserve"> SEQ level0 \*arabic </w:instrText>
      </w:r>
      <w:r w:rsidRPr="00343087">
        <w:fldChar w:fldCharType="separate"/>
      </w:r>
      <w:r w:rsidRPr="00343087" w:rsidR="00343087">
        <w:rPr>
          <w:noProof/>
        </w:rPr>
        <w:t>17</w:t>
      </w:r>
      <w:r w:rsidRPr="00343087">
        <w:fldChar w:fldCharType="end"/>
      </w:r>
      <w:bookmarkEnd w:id="3"/>
      <w:r w:rsidRPr="00343087">
        <w:t>.  Selon l</w:t>
      </w:r>
      <w:r w:rsidRPr="00343087" w:rsidR="00343087">
        <w:t>’</w:t>
      </w:r>
      <w:r w:rsidRPr="00343087">
        <w:t>article 21 § 1 de la loi fédérale du 2 octobre 2007 n</w:t>
      </w:r>
      <w:r w:rsidRPr="00343087">
        <w:rPr>
          <w:vertAlign w:val="superscript"/>
        </w:rPr>
        <w:t>o</w:t>
      </w:r>
      <w:r w:rsidRPr="00343087">
        <w:t> 229</w:t>
      </w:r>
      <w:r w:rsidRPr="00343087">
        <w:noBreakHyphen/>
        <w:t>FZ relative aux procédures d</w:t>
      </w:r>
      <w:r w:rsidRPr="00343087" w:rsidR="00343087">
        <w:t>’</w:t>
      </w:r>
      <w:r w:rsidRPr="00343087">
        <w:t>exécution, les titres exécutoires délivrés sur le fondement de décisions de justice peuvent être présentés aux fins de l</w:t>
      </w:r>
      <w:r w:rsidRPr="00343087" w:rsidR="00343087">
        <w:t>’</w:t>
      </w:r>
      <w:r w:rsidRPr="00343087">
        <w:t>exécution dans le délai de trois ans à compter du jour où la décision de justice est devenue définitive.</w:t>
      </w:r>
    </w:p>
    <w:p w:rsidRPr="00343087" w:rsidR="0071730F" w:rsidP="00343087" w:rsidRDefault="0071730F">
      <w:pPr>
        <w:pStyle w:val="JuHA"/>
      </w:pPr>
      <w:r w:rsidRPr="00343087">
        <w:t>Appréciation de la Cour</w:t>
      </w:r>
    </w:p>
    <w:p w:rsidRPr="00343087" w:rsidR="0071730F" w:rsidP="00343087" w:rsidRDefault="0071730F">
      <w:pPr>
        <w:pStyle w:val="JuPara"/>
      </w:pPr>
      <w:r w:rsidRPr="00343087">
        <w:fldChar w:fldCharType="begin"/>
      </w:r>
      <w:r w:rsidRPr="00343087">
        <w:instrText xml:space="preserve"> SEQ level0 \*arabic </w:instrText>
      </w:r>
      <w:r w:rsidRPr="00343087">
        <w:fldChar w:fldCharType="separate"/>
      </w:r>
      <w:r w:rsidRPr="00343087" w:rsidR="00343087">
        <w:rPr>
          <w:noProof/>
        </w:rPr>
        <w:t>18</w:t>
      </w:r>
      <w:r w:rsidRPr="00343087">
        <w:fldChar w:fldCharType="end"/>
      </w:r>
      <w:r w:rsidRPr="00343087">
        <w:t>.  La Cour rappelle que les biens immobiliers des requérantes ont été qualifiés de « constructions illégales » et que leur démolition sans indemnisation a été ordonnée (paragraphes 5 et 32 de l</w:t>
      </w:r>
      <w:r w:rsidRPr="00343087" w:rsidR="00343087">
        <w:t>’</w:t>
      </w:r>
      <w:r w:rsidRPr="00343087">
        <w:t>arrêt au principal). Elle a constaté une violation de l</w:t>
      </w:r>
      <w:r w:rsidRPr="00343087" w:rsidR="00343087">
        <w:t>’</w:t>
      </w:r>
      <w:r w:rsidRPr="00343087">
        <w:t>article 1 du Protocole n</w:t>
      </w:r>
      <w:r w:rsidRPr="00343087">
        <w:rPr>
          <w:vertAlign w:val="superscript"/>
        </w:rPr>
        <w:t>o</w:t>
      </w:r>
      <w:r w:rsidRPr="00343087">
        <w:t xml:space="preserve"> 1 à la Convention dans le chef des requérantes du fait que les autorités n</w:t>
      </w:r>
      <w:r w:rsidRPr="00343087" w:rsidR="00343087">
        <w:t>’</w:t>
      </w:r>
      <w:r w:rsidRPr="00343087">
        <w:t>ont pas ménagé un juste équilibre entre les exigences de l</w:t>
      </w:r>
      <w:r w:rsidRPr="00343087" w:rsidR="00343087">
        <w:t>’</w:t>
      </w:r>
      <w:r w:rsidRPr="00343087">
        <w:t>intérêt public et la nécessité de protéger le droit de propriété (paragraphe 114 de l</w:t>
      </w:r>
      <w:r w:rsidRPr="00343087" w:rsidR="00343087">
        <w:t>’</w:t>
      </w:r>
      <w:r w:rsidRPr="00343087">
        <w:t>arrêt au principal).</w:t>
      </w:r>
    </w:p>
    <w:p w:rsidRPr="00343087" w:rsidR="0071730F" w:rsidP="00343087" w:rsidRDefault="0071730F">
      <w:pPr>
        <w:pStyle w:val="JuPara"/>
        <w:rPr>
          <w:i/>
          <w:lang w:val="pt-PT"/>
        </w:rPr>
      </w:pPr>
      <w:r w:rsidRPr="00343087">
        <w:fldChar w:fldCharType="begin"/>
      </w:r>
      <w:r w:rsidRPr="00343087">
        <w:instrText xml:space="preserve"> SEQ level0 \*arabic </w:instrText>
      </w:r>
      <w:r w:rsidRPr="00343087">
        <w:fldChar w:fldCharType="separate"/>
      </w:r>
      <w:r w:rsidRPr="00343087" w:rsidR="00343087">
        <w:rPr>
          <w:noProof/>
        </w:rPr>
        <w:t>19</w:t>
      </w:r>
      <w:r w:rsidRPr="00343087">
        <w:fldChar w:fldCharType="end"/>
      </w:r>
      <w:r w:rsidRPr="00343087">
        <w:t>.  Elle rappelle qu</w:t>
      </w:r>
      <w:r w:rsidRPr="00343087" w:rsidR="00343087">
        <w:t>’</w:t>
      </w:r>
      <w:r w:rsidRPr="00343087">
        <w:t xml:space="preserve">il doit y avoir un lien de causalité entre le dommage matériel allégué par le requérant et la violation de la Convention (voir, par exemple, </w:t>
      </w:r>
      <w:r w:rsidRPr="00343087">
        <w:rPr>
          <w:i/>
          <w:lang w:val="pt-PT"/>
        </w:rPr>
        <w:t>O</w:t>
      </w:r>
      <w:r w:rsidRPr="00343087" w:rsidR="00343087">
        <w:rPr>
          <w:i/>
          <w:lang w:val="pt-PT"/>
        </w:rPr>
        <w:t>’</w:t>
      </w:r>
      <w:r w:rsidRPr="00343087">
        <w:rPr>
          <w:i/>
          <w:lang w:val="pt-PT"/>
        </w:rPr>
        <w:t>Keeffe c. Irlande</w:t>
      </w:r>
      <w:r w:rsidRPr="00343087">
        <w:rPr>
          <w:lang w:val="pt-PT"/>
        </w:rPr>
        <w:t xml:space="preserve"> [GC]</w:t>
      </w:r>
      <w:r w:rsidRPr="00343087">
        <w:rPr>
          <w:snapToGrid w:val="0"/>
          <w:lang w:val="pt-PT"/>
        </w:rPr>
        <w:t>, n</w:t>
      </w:r>
      <w:r w:rsidRPr="00343087">
        <w:rPr>
          <w:snapToGrid w:val="0"/>
          <w:vertAlign w:val="superscript"/>
          <w:lang w:val="pt-PT"/>
        </w:rPr>
        <w:t>o</w:t>
      </w:r>
      <w:r w:rsidRPr="00343087">
        <w:rPr>
          <w:snapToGrid w:val="0"/>
          <w:lang w:val="pt-PT"/>
        </w:rPr>
        <w:t xml:space="preserve"> </w:t>
      </w:r>
      <w:r w:rsidRPr="00343087">
        <w:rPr>
          <w:lang w:val="pt-PT"/>
        </w:rPr>
        <w:t>35810/09</w:t>
      </w:r>
      <w:r w:rsidRPr="00343087">
        <w:rPr>
          <w:snapToGrid w:val="0"/>
          <w:lang w:val="pt-PT"/>
        </w:rPr>
        <w:t>, § 201, CEDH 2014 (extraits)</w:t>
      </w:r>
      <w:r w:rsidRPr="00343087">
        <w:t>).</w:t>
      </w:r>
      <w:r w:rsidRPr="00343087">
        <w:rPr>
          <w:i/>
          <w:lang w:val="pt-PT"/>
        </w:rPr>
        <w:t xml:space="preserve"> </w:t>
      </w:r>
      <w:r w:rsidRPr="00343087">
        <w:t>En l</w:t>
      </w:r>
      <w:r w:rsidRPr="00343087" w:rsidR="00343087">
        <w:t>’</w:t>
      </w:r>
      <w:r w:rsidRPr="00343087">
        <w:t>espèce, elle note que les immeubles des requérantes n</w:t>
      </w:r>
      <w:r w:rsidRPr="00343087" w:rsidR="00343087">
        <w:t>’</w:t>
      </w:r>
      <w:r w:rsidRPr="00343087">
        <w:t>ont pas été démolis, et qu</w:t>
      </w:r>
      <w:r w:rsidRPr="00343087" w:rsidR="00343087">
        <w:t>’</w:t>
      </w:r>
      <w:r w:rsidRPr="00343087">
        <w:t>il n</w:t>
      </w:r>
      <w:r w:rsidRPr="00343087" w:rsidR="00343087">
        <w:t>’</w:t>
      </w:r>
      <w:r w:rsidRPr="00343087">
        <w:t>a pas été prouvé que, après que le jugement du tribunal de Tchekhov ordonnant les démolitions est devenu définitif, les titres de propriété des intéressées ont été rayés du registre unifié des biens immobiliers, ou encore que celles-ci ont été empêchées en pratique de jouir de leurs biens. Ainsi, elle ne peut que constater l</w:t>
      </w:r>
      <w:r w:rsidRPr="00343087" w:rsidR="00343087">
        <w:t>’</w:t>
      </w:r>
      <w:r w:rsidRPr="00343087">
        <w:t>absence de tout préjudice matériel réel subi par les requérantes du fait de la violation constatée.</w:t>
      </w:r>
    </w:p>
    <w:p w:rsidRPr="00343087" w:rsidR="0071730F" w:rsidP="00343087" w:rsidRDefault="0071730F">
      <w:pPr>
        <w:pStyle w:val="JuPara"/>
      </w:pPr>
      <w:r w:rsidRPr="00343087">
        <w:fldChar w:fldCharType="begin"/>
      </w:r>
      <w:r w:rsidRPr="00343087">
        <w:instrText xml:space="preserve"> SEQ level0 \*arabic </w:instrText>
      </w:r>
      <w:r w:rsidRPr="00343087">
        <w:fldChar w:fldCharType="separate"/>
      </w:r>
      <w:r w:rsidRPr="00343087" w:rsidR="00343087">
        <w:rPr>
          <w:noProof/>
        </w:rPr>
        <w:t>20</w:t>
      </w:r>
      <w:r w:rsidRPr="00343087">
        <w:fldChar w:fldCharType="end"/>
      </w:r>
      <w:r w:rsidRPr="00343087">
        <w:t>.  En outre, compte tenu du fait que le délai de trois ans pour demander l</w:t>
      </w:r>
      <w:r w:rsidRPr="00343087" w:rsidR="00343087">
        <w:t>’</w:t>
      </w:r>
      <w:r w:rsidRPr="00343087">
        <w:t xml:space="preserve">exécution du jugement précité du 19 mars 2013 est expiré depuis longtemps (paragraphe </w:t>
      </w:r>
      <w:r w:rsidRPr="00343087" w:rsidR="00EE255D">
        <w:t>17</w:t>
      </w:r>
      <w:r w:rsidRPr="00343087">
        <w:t xml:space="preserve"> ci-dessus) et qu</w:t>
      </w:r>
      <w:r w:rsidRPr="00343087" w:rsidR="00343087">
        <w:t>’</w:t>
      </w:r>
      <w:r w:rsidRPr="00343087">
        <w:t>aucune tentative d</w:t>
      </w:r>
      <w:r w:rsidRPr="00343087" w:rsidR="00343087">
        <w:t>’</w:t>
      </w:r>
      <w:r w:rsidRPr="00343087">
        <w:t>exécution de celui-ci n</w:t>
      </w:r>
      <w:r w:rsidRPr="00343087" w:rsidR="00343087">
        <w:t>’</w:t>
      </w:r>
      <w:r w:rsidRPr="00343087">
        <w:t>a été alléguée, la Cour estime fortement improbable que ce jugement puisse être exécuté dans le futur.</w:t>
      </w:r>
    </w:p>
    <w:p w:rsidRPr="00343087" w:rsidR="0071730F" w:rsidP="00343087" w:rsidRDefault="0071730F">
      <w:pPr>
        <w:pStyle w:val="JuPara"/>
      </w:pPr>
      <w:r w:rsidRPr="00343087">
        <w:fldChar w:fldCharType="begin"/>
      </w:r>
      <w:r w:rsidRPr="00343087">
        <w:instrText xml:space="preserve"> SEQ level0 \*arabic </w:instrText>
      </w:r>
      <w:r w:rsidRPr="00343087">
        <w:fldChar w:fldCharType="separate"/>
      </w:r>
      <w:r w:rsidRPr="00343087" w:rsidR="00343087">
        <w:rPr>
          <w:noProof/>
        </w:rPr>
        <w:t>21</w:t>
      </w:r>
      <w:r w:rsidRPr="00343087">
        <w:fldChar w:fldCharType="end"/>
      </w:r>
      <w:r w:rsidRPr="00343087">
        <w:t>.  Eu égard à ce qui précède, la Cour rejette les demandes d</w:t>
      </w:r>
      <w:r w:rsidRPr="00343087" w:rsidR="00343087">
        <w:t>’</w:t>
      </w:r>
      <w:r w:rsidRPr="00343087">
        <w:t>indemnisation du préjudice matériel.</w:t>
      </w:r>
    </w:p>
    <w:p w:rsidRPr="00343087" w:rsidR="0071730F" w:rsidP="00343087" w:rsidRDefault="0071730F">
      <w:pPr>
        <w:pStyle w:val="JuPara"/>
      </w:pPr>
      <w:r w:rsidRPr="00343087">
        <w:fldChar w:fldCharType="begin"/>
      </w:r>
      <w:r w:rsidRPr="00343087">
        <w:instrText xml:space="preserve"> SEQ level0 \*arabic </w:instrText>
      </w:r>
      <w:r w:rsidRPr="00343087">
        <w:fldChar w:fldCharType="separate"/>
      </w:r>
      <w:r w:rsidRPr="00343087" w:rsidR="00343087">
        <w:rPr>
          <w:noProof/>
        </w:rPr>
        <w:t>22</w:t>
      </w:r>
      <w:r w:rsidRPr="00343087">
        <w:fldChar w:fldCharType="end"/>
      </w:r>
      <w:r w:rsidRPr="00343087">
        <w:t>.  En revanche, elle considère que les requérantes ont subi un préjudice moral certain du fait de la violation constatée. Estimant que les demandes formulées à ce titre sont excessives et statuant en équité, comme le veut l</w:t>
      </w:r>
      <w:r w:rsidRPr="00343087" w:rsidR="00343087">
        <w:t>’</w:t>
      </w:r>
      <w:r w:rsidRPr="00343087">
        <w:t>article 41 de la Convention, elle décide d</w:t>
      </w:r>
      <w:r w:rsidRPr="00343087" w:rsidR="00343087">
        <w:t>’</w:t>
      </w:r>
      <w:r w:rsidRPr="00343087">
        <w:t>allouer 2 000 EUR à chacune des requérantes pour dommage moral.</w:t>
      </w:r>
    </w:p>
    <w:p w:rsidRPr="00343087" w:rsidR="0071730F" w:rsidP="00343087" w:rsidRDefault="0071730F">
      <w:pPr>
        <w:pStyle w:val="JuPara"/>
      </w:pPr>
      <w:r w:rsidRPr="00343087">
        <w:fldChar w:fldCharType="begin"/>
      </w:r>
      <w:r w:rsidRPr="00343087">
        <w:instrText xml:space="preserve"> SEQ level0 \*arabic </w:instrText>
      </w:r>
      <w:r w:rsidRPr="00343087">
        <w:fldChar w:fldCharType="separate"/>
      </w:r>
      <w:r w:rsidRPr="00343087" w:rsidR="00343087">
        <w:rPr>
          <w:noProof/>
        </w:rPr>
        <w:t>23</w:t>
      </w:r>
      <w:r w:rsidRPr="00343087">
        <w:fldChar w:fldCharType="end"/>
      </w:r>
      <w:r w:rsidRPr="00343087">
        <w:t>.  La Cour juge approprié de calquer le taux des intérêts moratoires sur le taux d</w:t>
      </w:r>
      <w:r w:rsidRPr="00343087" w:rsidR="00343087">
        <w:t>’</w:t>
      </w:r>
      <w:r w:rsidRPr="00343087">
        <w:t>intérêt de la facilité de prêt marginal de la Banque centrale européenne majoré de trois points de pourcentage.</w:t>
      </w:r>
    </w:p>
    <w:p w:rsidRPr="00343087" w:rsidR="0071730F" w:rsidP="00343087" w:rsidRDefault="0071730F">
      <w:pPr>
        <w:pStyle w:val="JuHHead"/>
      </w:pPr>
      <w:r w:rsidRPr="00343087">
        <w:t>PAR CES MOTIFS, LA COUR, À L</w:t>
      </w:r>
      <w:r w:rsidRPr="00343087" w:rsidR="00343087">
        <w:t>’</w:t>
      </w:r>
      <w:r w:rsidRPr="00343087">
        <w:t>UNANIMITÉ,</w:t>
      </w:r>
    </w:p>
    <w:p w:rsidRPr="00343087" w:rsidR="0071730F" w:rsidP="00343087" w:rsidRDefault="0071730F">
      <w:pPr>
        <w:pStyle w:val="JuList"/>
      </w:pPr>
      <w:r w:rsidRPr="00343087">
        <w:rPr>
          <w:i/>
        </w:rPr>
        <w:t>Dit</w:t>
      </w:r>
    </w:p>
    <w:p w:rsidRPr="00343087" w:rsidR="0071730F" w:rsidP="00343087" w:rsidRDefault="0071730F">
      <w:pPr>
        <w:pStyle w:val="JuLista"/>
      </w:pPr>
      <w:r w:rsidRPr="00343087">
        <w:t>que l</w:t>
      </w:r>
      <w:r w:rsidRPr="00343087" w:rsidR="00343087">
        <w:t>’</w:t>
      </w:r>
      <w:r w:rsidRPr="00343087">
        <w:t>État défendeur doit verser aux requérantes pour dommage moral, dans les trois mois à compter du jour où l</w:t>
      </w:r>
      <w:r w:rsidRPr="00343087" w:rsidR="00343087">
        <w:t>’</w:t>
      </w:r>
      <w:r w:rsidRPr="00343087">
        <w:t>arrêt sera devenu définitif conformément à l</w:t>
      </w:r>
      <w:r w:rsidRPr="00343087" w:rsidR="00343087">
        <w:t>’</w:t>
      </w:r>
      <w:r w:rsidRPr="00343087">
        <w:t>article 44 § 2 de la Convention, les montants suivants, à convertir dans la monnaie de l</w:t>
      </w:r>
      <w:r w:rsidRPr="00343087" w:rsidR="00343087">
        <w:t>’</w:t>
      </w:r>
      <w:r w:rsidRPr="00343087">
        <w:t>État défendeur au taux applicable à la date du règlement :</w:t>
      </w:r>
    </w:p>
    <w:p w:rsidRPr="00343087" w:rsidR="0071730F" w:rsidP="00343087" w:rsidRDefault="0071730F">
      <w:pPr>
        <w:pStyle w:val="JuListi"/>
      </w:pPr>
      <w:r w:rsidRPr="00343087">
        <w:t>2 000 EUR (deux mille euros), plus tout montant pouvant être dû à titre d</w:t>
      </w:r>
      <w:r w:rsidRPr="00343087" w:rsidR="00343087">
        <w:t>’</w:t>
      </w:r>
      <w:r w:rsidRPr="00343087">
        <w:t>impôt sur cette somme, à M</w:t>
      </w:r>
      <w:r w:rsidRPr="00343087">
        <w:rPr>
          <w:vertAlign w:val="superscript"/>
        </w:rPr>
        <w:t>me</w:t>
      </w:r>
      <w:r w:rsidRPr="00343087">
        <w:t xml:space="preserve"> Kastornova (requête n</w:t>
      </w:r>
      <w:r w:rsidRPr="00343087">
        <w:rPr>
          <w:vertAlign w:val="superscript"/>
        </w:rPr>
        <w:t>o</w:t>
      </w:r>
      <w:r w:rsidRPr="00343087">
        <w:t xml:space="preserve"> 1153/14) ;</w:t>
      </w:r>
    </w:p>
    <w:p w:rsidRPr="00343087" w:rsidR="0071730F" w:rsidP="00343087" w:rsidRDefault="0071730F">
      <w:pPr>
        <w:pStyle w:val="JuListi"/>
      </w:pPr>
      <w:r w:rsidRPr="00343087">
        <w:t>2 000 EUR (deux mille euros), plus tout montant pouvant être dû à titre d</w:t>
      </w:r>
      <w:r w:rsidRPr="00343087" w:rsidR="00343087">
        <w:t>’</w:t>
      </w:r>
      <w:r w:rsidRPr="00343087">
        <w:t>impôt sur cette somme, à M</w:t>
      </w:r>
      <w:r w:rsidRPr="00343087">
        <w:rPr>
          <w:vertAlign w:val="superscript"/>
        </w:rPr>
        <w:t>me</w:t>
      </w:r>
      <w:r w:rsidRPr="00343087">
        <w:t xml:space="preserve"> Vdovina (requête n</w:t>
      </w:r>
      <w:r w:rsidRPr="00343087">
        <w:rPr>
          <w:vertAlign w:val="superscript"/>
        </w:rPr>
        <w:t>o </w:t>
      </w:r>
      <w:r w:rsidRPr="00343087">
        <w:t>2680/14) ;</w:t>
      </w:r>
    </w:p>
    <w:p w:rsidRPr="00343087" w:rsidR="0071730F" w:rsidP="00343087" w:rsidRDefault="0071730F">
      <w:pPr>
        <w:pStyle w:val="JuLista"/>
      </w:pPr>
      <w:r w:rsidRPr="00343087">
        <w:t>qu</w:t>
      </w:r>
      <w:r w:rsidRPr="00343087" w:rsidR="00343087">
        <w:t>’</w:t>
      </w:r>
      <w:r w:rsidRPr="00343087">
        <w:t>à compter de l</w:t>
      </w:r>
      <w:r w:rsidRPr="00343087" w:rsidR="00343087">
        <w:t>’</w:t>
      </w:r>
      <w:r w:rsidRPr="00343087">
        <w:t>expiration dudit délai et jusqu</w:t>
      </w:r>
      <w:r w:rsidRPr="00343087" w:rsidR="00343087">
        <w:t>’</w:t>
      </w:r>
      <w:r w:rsidRPr="00343087">
        <w:t>au versement, ces montants seront à majorer d</w:t>
      </w:r>
      <w:r w:rsidRPr="00343087" w:rsidR="00343087">
        <w:t>’</w:t>
      </w:r>
      <w:r w:rsidRPr="00343087">
        <w:t>un intérêt simple à un taux égal à celui de la facilité de prêt marginal de la Banque centrale européenne applicable pendant cette période, augmenté de trois points de pourcentage ;</w:t>
      </w:r>
    </w:p>
    <w:p w:rsidRPr="00343087" w:rsidR="00876F03" w:rsidP="00343087" w:rsidRDefault="0071730F">
      <w:pPr>
        <w:pStyle w:val="JuList"/>
      </w:pPr>
      <w:r w:rsidRPr="00343087">
        <w:rPr>
          <w:i/>
        </w:rPr>
        <w:t>Rejette</w:t>
      </w:r>
      <w:r w:rsidRPr="00343087">
        <w:t xml:space="preserve"> la demande de satisfaction équitable pour le surplus.</w:t>
      </w:r>
    </w:p>
    <w:p w:rsidRPr="00343087" w:rsidR="00893F30" w:rsidP="00343087" w:rsidRDefault="00893F30">
      <w:pPr>
        <w:pStyle w:val="JuParaLast"/>
      </w:pPr>
      <w:r w:rsidRPr="00343087">
        <w:t xml:space="preserve">Fait en français, puis communiqué par écrit le </w:t>
      </w:r>
      <w:r w:rsidRPr="00343087" w:rsidR="003D61E0">
        <w:t>17</w:t>
      </w:r>
      <w:r w:rsidRPr="00343087" w:rsidR="0071730F">
        <w:t xml:space="preserve"> mars 2020</w:t>
      </w:r>
      <w:r w:rsidRPr="00343087">
        <w:t>, en application de l</w:t>
      </w:r>
      <w:r w:rsidRPr="00343087" w:rsidR="00343087">
        <w:t>’</w:t>
      </w:r>
      <w:r w:rsidRPr="00343087">
        <w:t>article 77 §§ 2 et 3 du règlement.</w:t>
      </w:r>
    </w:p>
    <w:p w:rsidRPr="00343087" w:rsidR="00876F03" w:rsidP="00343087" w:rsidRDefault="0071730F">
      <w:pPr>
        <w:pStyle w:val="JuSigned"/>
        <w:rPr>
          <w:szCs w:val="24"/>
        </w:rPr>
      </w:pPr>
      <w:r w:rsidRPr="00343087">
        <w:tab/>
        <w:t>Stephen Phillips</w:t>
      </w:r>
      <w:r w:rsidRPr="00343087" w:rsidR="004344E6">
        <w:tab/>
      </w:r>
      <w:r w:rsidRPr="00343087" w:rsidR="000304DE">
        <w:rPr>
          <w:szCs w:val="24"/>
        </w:rPr>
        <w:t>Paul Lemmens</w:t>
      </w:r>
      <w:r w:rsidRPr="00343087" w:rsidR="004344E6">
        <w:br/>
      </w:r>
      <w:r w:rsidRPr="00343087" w:rsidR="004344E6">
        <w:tab/>
      </w:r>
      <w:r w:rsidRPr="00343087">
        <w:t>Greffier</w:t>
      </w:r>
      <w:r w:rsidRPr="00343087" w:rsidR="004344E6">
        <w:tab/>
      </w:r>
      <w:r w:rsidRPr="00343087">
        <w:t>Président</w:t>
      </w:r>
    </w:p>
    <w:p w:rsidRPr="00343087" w:rsidR="0016533F" w:rsidP="00343087" w:rsidRDefault="0016533F">
      <w:r w:rsidRPr="00343087">
        <w:br w:type="page"/>
      </w:r>
    </w:p>
    <w:p w:rsidRPr="00343087" w:rsidR="004F216F" w:rsidP="00343087" w:rsidRDefault="004F216F">
      <w:pPr>
        <w:pStyle w:val="JuHHead"/>
        <w:jc w:val="center"/>
      </w:pPr>
      <w:r w:rsidRPr="00343087">
        <w:rPr>
          <w:b/>
        </w:rPr>
        <w:t>ANNEXE</w:t>
      </w:r>
    </w:p>
    <w:tbl>
      <w:tblPr>
        <w:tblStyle w:val="ECHRListTable"/>
        <w:tblW w:w="8330" w:type="dxa"/>
        <w:jc w:val="center"/>
        <w:tblLayout w:type="fixed"/>
        <w:tblLook w:val="05E0" w:firstRow="1" w:lastRow="1" w:firstColumn="1" w:lastColumn="1" w:noHBand="0" w:noVBand="1"/>
      </w:tblPr>
      <w:tblGrid>
        <w:gridCol w:w="495"/>
        <w:gridCol w:w="1456"/>
        <w:gridCol w:w="1559"/>
        <w:gridCol w:w="2835"/>
        <w:gridCol w:w="1985"/>
      </w:tblGrid>
      <w:tr w:rsidRPr="00343087" w:rsidR="004F216F" w:rsidTr="004F216F">
        <w:trPr>
          <w:cnfStyle w:val="100000000000" w:firstRow="1" w:lastRow="0" w:firstColumn="0" w:lastColumn="0" w:oddVBand="0" w:evenVBand="0" w:oddHBand="0" w:evenHBand="0" w:firstRowFirstColumn="0" w:firstRowLastColumn="0" w:lastRowFirstColumn="0" w:lastRowLastColumn="0"/>
          <w:jc w:val="center"/>
        </w:trPr>
        <w:tc>
          <w:tcPr>
            <w:tcW w:w="495" w:type="dxa"/>
          </w:tcPr>
          <w:p w:rsidRPr="00343087" w:rsidR="004F216F" w:rsidP="00343087" w:rsidRDefault="004F216F">
            <w:pPr>
              <w:rPr>
                <w:rFonts w:ascii="Times New Roman" w:hAnsi="Times New Roman" w:eastAsia="Times New Roman" w:cs="Times New Roman"/>
                <w:color w:val="474747"/>
                <w:lang w:eastAsia="fr-FR"/>
              </w:rPr>
            </w:pPr>
            <w:r w:rsidRPr="00343087">
              <w:rPr>
                <w:rFonts w:ascii="Times New Roman" w:hAnsi="Times New Roman" w:eastAsia="Times New Roman" w:cs="Times New Roman"/>
                <w:color w:val="474747"/>
                <w:lang w:eastAsia="fr-FR"/>
              </w:rPr>
              <w:t>N</w:t>
            </w:r>
            <w:r w:rsidRPr="00343087">
              <w:rPr>
                <w:rFonts w:ascii="Times New Roman" w:hAnsi="Times New Roman" w:eastAsia="Times New Roman" w:cs="Times New Roman"/>
                <w:color w:val="474747"/>
                <w:vertAlign w:val="superscript"/>
                <w:lang w:eastAsia="fr-FR"/>
              </w:rPr>
              <w:t>o</w:t>
            </w:r>
          </w:p>
        </w:tc>
        <w:tc>
          <w:tcPr>
            <w:tcW w:w="1456" w:type="dxa"/>
          </w:tcPr>
          <w:p w:rsidRPr="00343087" w:rsidR="004F216F" w:rsidP="00343087" w:rsidRDefault="004F216F">
            <w:pPr>
              <w:rPr>
                <w:rFonts w:ascii="Times New Roman" w:hAnsi="Times New Roman" w:eastAsia="Times New Roman" w:cs="Times New Roman"/>
                <w:color w:val="474747"/>
                <w:lang w:eastAsia="fr-FR"/>
              </w:rPr>
            </w:pPr>
            <w:r w:rsidRPr="00343087">
              <w:rPr>
                <w:rFonts w:ascii="Times New Roman" w:hAnsi="Times New Roman" w:eastAsia="Times New Roman" w:cs="Times New Roman"/>
                <w:color w:val="474747"/>
                <w:lang w:eastAsia="fr-FR"/>
              </w:rPr>
              <w:t>Requête N</w:t>
            </w:r>
            <w:r w:rsidRPr="00343087">
              <w:rPr>
                <w:rFonts w:ascii="Times New Roman" w:hAnsi="Times New Roman" w:eastAsia="Times New Roman" w:cs="Times New Roman"/>
                <w:color w:val="474747"/>
                <w:vertAlign w:val="superscript"/>
                <w:lang w:eastAsia="fr-FR"/>
              </w:rPr>
              <w:t>o</w:t>
            </w:r>
          </w:p>
        </w:tc>
        <w:tc>
          <w:tcPr>
            <w:tcW w:w="1559" w:type="dxa"/>
          </w:tcPr>
          <w:p w:rsidRPr="00343087" w:rsidR="004F216F" w:rsidP="00343087" w:rsidRDefault="004F216F">
            <w:pPr>
              <w:rPr>
                <w:rFonts w:ascii="Times New Roman" w:hAnsi="Times New Roman" w:eastAsia="Times New Roman" w:cs="Times New Roman"/>
                <w:color w:val="474747"/>
                <w:lang w:eastAsia="fr-FR"/>
              </w:rPr>
            </w:pPr>
            <w:r w:rsidRPr="00343087">
              <w:rPr>
                <w:rFonts w:ascii="Times New Roman" w:hAnsi="Times New Roman" w:eastAsia="Times New Roman" w:cs="Times New Roman"/>
                <w:color w:val="474747"/>
                <w:lang w:eastAsia="fr-FR"/>
              </w:rPr>
              <w:t>Introduite le</w:t>
            </w:r>
          </w:p>
        </w:tc>
        <w:tc>
          <w:tcPr>
            <w:tcW w:w="2835" w:type="dxa"/>
          </w:tcPr>
          <w:p w:rsidRPr="00343087" w:rsidR="004F216F" w:rsidP="00343087" w:rsidRDefault="004F216F">
            <w:pPr>
              <w:rPr>
                <w:rFonts w:ascii="Times New Roman" w:hAnsi="Times New Roman" w:eastAsia="Times New Roman" w:cs="Times New Roman"/>
                <w:color w:val="474747"/>
                <w:lang w:eastAsia="fr-FR"/>
              </w:rPr>
            </w:pPr>
            <w:r w:rsidRPr="00343087">
              <w:rPr>
                <w:rFonts w:ascii="Times New Roman" w:hAnsi="Times New Roman" w:eastAsia="Times New Roman" w:cs="Times New Roman"/>
                <w:color w:val="474747"/>
                <w:lang w:eastAsia="fr-FR"/>
              </w:rPr>
              <w:t>Requérant</w:t>
            </w:r>
          </w:p>
          <w:p w:rsidRPr="00343087" w:rsidR="004F216F" w:rsidP="00343087" w:rsidRDefault="004F216F">
            <w:pPr>
              <w:rPr>
                <w:rFonts w:ascii="Times New Roman" w:hAnsi="Times New Roman" w:eastAsia="Times New Roman" w:cs="Times New Roman"/>
                <w:color w:val="474747"/>
                <w:lang w:eastAsia="fr-FR"/>
              </w:rPr>
            </w:pPr>
            <w:r w:rsidRPr="00343087">
              <w:rPr>
                <w:rFonts w:ascii="Times New Roman" w:hAnsi="Times New Roman" w:eastAsia="Times New Roman" w:cs="Times New Roman"/>
                <w:color w:val="474747"/>
                <w:lang w:eastAsia="fr-FR"/>
              </w:rPr>
              <w:t>Date de naissance</w:t>
            </w:r>
          </w:p>
          <w:p w:rsidRPr="00343087" w:rsidR="004F216F" w:rsidP="00343087" w:rsidRDefault="004F216F">
            <w:pPr>
              <w:rPr>
                <w:rFonts w:ascii="Times New Roman" w:hAnsi="Times New Roman" w:eastAsia="Times New Roman" w:cs="Times New Roman"/>
                <w:color w:val="474747"/>
                <w:lang w:eastAsia="fr-FR"/>
              </w:rPr>
            </w:pPr>
            <w:r w:rsidRPr="00343087">
              <w:rPr>
                <w:rFonts w:ascii="Times New Roman" w:hAnsi="Times New Roman" w:eastAsia="Times New Roman" w:cs="Times New Roman"/>
                <w:color w:val="474747"/>
                <w:lang w:eastAsia="fr-FR"/>
              </w:rPr>
              <w:t>Lieu de résidence</w:t>
            </w:r>
          </w:p>
        </w:tc>
        <w:tc>
          <w:tcPr>
            <w:tcW w:w="1985" w:type="dxa"/>
          </w:tcPr>
          <w:p w:rsidRPr="00343087" w:rsidR="004F216F" w:rsidP="00343087" w:rsidRDefault="004F216F">
            <w:pPr>
              <w:rPr>
                <w:rFonts w:ascii="Times New Roman" w:hAnsi="Times New Roman" w:eastAsia="Times New Roman" w:cs="Times New Roman"/>
                <w:color w:val="474747"/>
                <w:lang w:eastAsia="fr-FR"/>
              </w:rPr>
            </w:pPr>
            <w:r w:rsidRPr="00343087">
              <w:rPr>
                <w:rFonts w:ascii="Times New Roman" w:hAnsi="Times New Roman" w:eastAsia="Times New Roman" w:cs="Times New Roman"/>
                <w:color w:val="474747"/>
                <w:lang w:eastAsia="fr-FR"/>
              </w:rPr>
              <w:t>Représenté par</w:t>
            </w:r>
          </w:p>
        </w:tc>
      </w:tr>
      <w:tr w:rsidRPr="00343087" w:rsidR="004F216F" w:rsidTr="004F216F">
        <w:trPr>
          <w:jc w:val="center"/>
        </w:trPr>
        <w:tc>
          <w:tcPr>
            <w:tcW w:w="495" w:type="dxa"/>
          </w:tcPr>
          <w:p w:rsidRPr="00343087" w:rsidR="004F216F" w:rsidP="00343087" w:rsidRDefault="004F216F">
            <w:pPr>
              <w:numPr>
                <w:ilvl w:val="0"/>
                <w:numId w:val="19"/>
              </w:numPr>
              <w:tabs>
                <w:tab w:val="num" w:pos="283"/>
              </w:tabs>
              <w:ind w:left="0" w:firstLine="0"/>
              <w:contextualSpacing/>
              <w:jc w:val="both"/>
              <w:rPr>
                <w:rFonts w:ascii="Times New Roman" w:hAnsi="Times New Roman" w:eastAsia="Times New Roman" w:cs="Times New Roman"/>
                <w:lang w:eastAsia="fr-FR"/>
              </w:rPr>
            </w:pPr>
          </w:p>
        </w:tc>
        <w:tc>
          <w:tcPr>
            <w:tcW w:w="1456" w:type="dxa"/>
          </w:tcPr>
          <w:p w:rsidRPr="00343087" w:rsidR="004F216F" w:rsidP="00343087" w:rsidRDefault="004F216F">
            <w:pPr>
              <w:rPr>
                <w:rFonts w:ascii="Times New Roman" w:hAnsi="Times New Roman" w:eastAsia="Times New Roman" w:cs="Times New Roman"/>
                <w:lang w:eastAsia="fr-FR"/>
              </w:rPr>
            </w:pPr>
            <w:r w:rsidRPr="00343087">
              <w:rPr>
                <w:rFonts w:ascii="Times New Roman" w:hAnsi="Times New Roman" w:eastAsia="Times New Roman" w:cs="Times New Roman"/>
                <w:lang w:eastAsia="fr-FR"/>
              </w:rPr>
              <w:t>54490/10</w:t>
            </w:r>
          </w:p>
        </w:tc>
        <w:tc>
          <w:tcPr>
            <w:tcW w:w="1559" w:type="dxa"/>
          </w:tcPr>
          <w:p w:rsidRPr="00343087" w:rsidR="004F216F" w:rsidP="00343087" w:rsidRDefault="004F216F">
            <w:pPr>
              <w:rPr>
                <w:rFonts w:ascii="Times New Roman" w:hAnsi="Times New Roman" w:eastAsia="Times New Roman" w:cs="Times New Roman"/>
                <w:lang w:eastAsia="fr-FR"/>
              </w:rPr>
            </w:pPr>
            <w:r w:rsidRPr="00343087">
              <w:rPr>
                <w:rFonts w:ascii="Times New Roman" w:hAnsi="Times New Roman" w:eastAsia="Times New Roman" w:cs="Times New Roman"/>
                <w:lang w:eastAsia="fr-FR"/>
              </w:rPr>
              <w:t>30/07/2010</w:t>
            </w:r>
          </w:p>
        </w:tc>
        <w:tc>
          <w:tcPr>
            <w:tcW w:w="2835" w:type="dxa"/>
          </w:tcPr>
          <w:p w:rsidRPr="00343087" w:rsidR="004F216F" w:rsidP="00343087" w:rsidRDefault="004F216F">
            <w:pPr>
              <w:rPr>
                <w:rFonts w:ascii="Times New Roman" w:hAnsi="Times New Roman" w:eastAsia="Times New Roman" w:cs="Times New Roman"/>
                <w:b/>
                <w:lang w:eastAsia="fr-FR"/>
              </w:rPr>
            </w:pPr>
            <w:r w:rsidRPr="00343087">
              <w:rPr>
                <w:rFonts w:ascii="Times New Roman" w:hAnsi="Times New Roman" w:eastAsia="Times New Roman" w:cs="Times New Roman"/>
                <w:b/>
                <w:lang w:eastAsia="fr-FR"/>
              </w:rPr>
              <w:t>Viktor Aleksandrovich ZHIDOV</w:t>
            </w:r>
          </w:p>
          <w:p w:rsidRPr="00343087" w:rsidR="004F216F" w:rsidP="00343087" w:rsidRDefault="004F216F">
            <w:pPr>
              <w:rPr>
                <w:rFonts w:ascii="Times New Roman" w:hAnsi="Times New Roman" w:eastAsia="Times New Roman" w:cs="Times New Roman"/>
                <w:lang w:eastAsia="fr-FR"/>
              </w:rPr>
            </w:pPr>
            <w:r w:rsidRPr="00343087">
              <w:rPr>
                <w:rFonts w:ascii="Times New Roman" w:hAnsi="Times New Roman" w:eastAsia="Times New Roman" w:cs="Times New Roman"/>
                <w:lang w:eastAsia="fr-FR"/>
              </w:rPr>
              <w:t>20/10/1944</w:t>
            </w:r>
          </w:p>
          <w:p w:rsidRPr="00343087" w:rsidR="004F216F" w:rsidP="00343087" w:rsidRDefault="004F216F">
            <w:pPr>
              <w:rPr>
                <w:rFonts w:ascii="Times New Roman" w:hAnsi="Times New Roman" w:eastAsia="Times New Roman" w:cs="Times New Roman"/>
                <w:lang w:eastAsia="fr-FR"/>
              </w:rPr>
            </w:pPr>
            <w:r w:rsidRPr="00343087">
              <w:rPr>
                <w:rFonts w:ascii="Times New Roman" w:hAnsi="Times New Roman" w:eastAsia="Times New Roman" w:cs="Times New Roman"/>
                <w:lang w:eastAsia="fr-FR"/>
              </w:rPr>
              <w:t>Penza</w:t>
            </w:r>
          </w:p>
        </w:tc>
        <w:tc>
          <w:tcPr>
            <w:tcW w:w="1985" w:type="dxa"/>
          </w:tcPr>
          <w:p w:rsidRPr="00343087" w:rsidR="004F216F" w:rsidP="00343087" w:rsidRDefault="004F216F">
            <w:pPr>
              <w:rPr>
                <w:rFonts w:ascii="Times New Roman" w:hAnsi="Times New Roman" w:eastAsia="Times New Roman" w:cs="Times New Roman"/>
                <w:lang w:eastAsia="fr-FR"/>
              </w:rPr>
            </w:pPr>
            <w:r w:rsidRPr="00343087">
              <w:rPr>
                <w:rFonts w:ascii="Times New Roman" w:hAnsi="Times New Roman" w:eastAsia="Times New Roman" w:cs="Times New Roman"/>
                <w:lang w:eastAsia="fr-FR"/>
              </w:rPr>
              <w:t>Olga Valentinovna VYKHRISTYUK</w:t>
            </w:r>
          </w:p>
        </w:tc>
      </w:tr>
      <w:tr w:rsidRPr="00343087" w:rsidR="004F216F" w:rsidTr="004F216F">
        <w:trPr>
          <w:jc w:val="center"/>
        </w:trPr>
        <w:tc>
          <w:tcPr>
            <w:tcW w:w="495" w:type="dxa"/>
          </w:tcPr>
          <w:p w:rsidRPr="00343087" w:rsidR="004F216F" w:rsidP="00343087" w:rsidRDefault="004F216F">
            <w:pPr>
              <w:numPr>
                <w:ilvl w:val="0"/>
                <w:numId w:val="19"/>
              </w:numPr>
              <w:tabs>
                <w:tab w:val="num" w:pos="283"/>
              </w:tabs>
              <w:ind w:left="0" w:firstLine="0"/>
              <w:contextualSpacing/>
              <w:jc w:val="both"/>
              <w:rPr>
                <w:rFonts w:ascii="Times New Roman" w:hAnsi="Times New Roman" w:eastAsia="Times New Roman" w:cs="Times New Roman"/>
                <w:lang w:eastAsia="fr-FR"/>
              </w:rPr>
            </w:pPr>
          </w:p>
        </w:tc>
        <w:tc>
          <w:tcPr>
            <w:tcW w:w="1456" w:type="dxa"/>
          </w:tcPr>
          <w:p w:rsidRPr="00343087" w:rsidR="004F216F" w:rsidP="00343087" w:rsidRDefault="004F216F">
            <w:pPr>
              <w:rPr>
                <w:rFonts w:ascii="Times New Roman" w:hAnsi="Times New Roman" w:eastAsia="Times New Roman" w:cs="Times New Roman"/>
                <w:lang w:eastAsia="fr-FR"/>
              </w:rPr>
            </w:pPr>
            <w:r w:rsidRPr="00343087">
              <w:rPr>
                <w:rFonts w:ascii="Times New Roman" w:hAnsi="Times New Roman" w:eastAsia="Times New Roman" w:cs="Times New Roman"/>
                <w:lang w:eastAsia="fr-FR"/>
              </w:rPr>
              <w:t>1153/14</w:t>
            </w:r>
          </w:p>
        </w:tc>
        <w:tc>
          <w:tcPr>
            <w:tcW w:w="1559" w:type="dxa"/>
          </w:tcPr>
          <w:p w:rsidRPr="00343087" w:rsidR="004F216F" w:rsidP="00343087" w:rsidRDefault="004F216F">
            <w:pPr>
              <w:rPr>
                <w:rFonts w:ascii="Times New Roman" w:hAnsi="Times New Roman" w:eastAsia="Times New Roman" w:cs="Times New Roman"/>
                <w:lang w:eastAsia="fr-FR"/>
              </w:rPr>
            </w:pPr>
            <w:r w:rsidRPr="00343087">
              <w:rPr>
                <w:rFonts w:ascii="Times New Roman" w:hAnsi="Times New Roman" w:eastAsia="Times New Roman" w:cs="Times New Roman"/>
                <w:lang w:eastAsia="fr-FR"/>
              </w:rPr>
              <w:t>12/12/2013</w:t>
            </w:r>
          </w:p>
        </w:tc>
        <w:tc>
          <w:tcPr>
            <w:tcW w:w="2835" w:type="dxa"/>
          </w:tcPr>
          <w:p w:rsidRPr="00343087" w:rsidR="004F216F" w:rsidP="00343087" w:rsidRDefault="004F216F">
            <w:pPr>
              <w:rPr>
                <w:rFonts w:ascii="Times New Roman" w:hAnsi="Times New Roman" w:eastAsia="Times New Roman" w:cs="Times New Roman"/>
                <w:b/>
                <w:lang w:eastAsia="fr-FR"/>
              </w:rPr>
            </w:pPr>
            <w:r w:rsidRPr="00343087">
              <w:rPr>
                <w:rFonts w:ascii="Times New Roman" w:hAnsi="Times New Roman" w:eastAsia="Times New Roman" w:cs="Times New Roman"/>
                <w:b/>
                <w:lang w:eastAsia="fr-FR"/>
              </w:rPr>
              <w:t>Valentina Alekseyevna KASTORNOVA</w:t>
            </w:r>
          </w:p>
          <w:p w:rsidRPr="00343087" w:rsidR="004F216F" w:rsidP="00343087" w:rsidRDefault="004F216F">
            <w:pPr>
              <w:rPr>
                <w:rFonts w:ascii="Times New Roman" w:hAnsi="Times New Roman" w:eastAsia="Times New Roman" w:cs="Times New Roman"/>
                <w:lang w:eastAsia="fr-FR"/>
              </w:rPr>
            </w:pPr>
            <w:r w:rsidRPr="00343087">
              <w:rPr>
                <w:rFonts w:ascii="Times New Roman" w:hAnsi="Times New Roman" w:eastAsia="Times New Roman" w:cs="Times New Roman"/>
                <w:lang w:eastAsia="fr-FR"/>
              </w:rPr>
              <w:t>12/06/1947</w:t>
            </w:r>
          </w:p>
          <w:p w:rsidRPr="00343087" w:rsidR="004F216F" w:rsidP="00343087" w:rsidRDefault="004F216F">
            <w:pPr>
              <w:rPr>
                <w:rFonts w:ascii="Times New Roman" w:hAnsi="Times New Roman" w:eastAsia="Times New Roman" w:cs="Times New Roman"/>
                <w:lang w:eastAsia="fr-FR"/>
              </w:rPr>
            </w:pPr>
            <w:r w:rsidRPr="00343087">
              <w:rPr>
                <w:rFonts w:ascii="Times New Roman" w:hAnsi="Times New Roman" w:eastAsia="Times New Roman" w:cs="Times New Roman"/>
                <w:lang w:eastAsia="fr-FR"/>
              </w:rPr>
              <w:t>Orel</w:t>
            </w:r>
          </w:p>
        </w:tc>
        <w:tc>
          <w:tcPr>
            <w:tcW w:w="1985" w:type="dxa"/>
          </w:tcPr>
          <w:p w:rsidRPr="00343087" w:rsidR="004F216F" w:rsidP="00343087" w:rsidRDefault="004F216F">
            <w:pPr>
              <w:rPr>
                <w:rFonts w:ascii="Times New Roman" w:hAnsi="Times New Roman" w:eastAsia="Times New Roman" w:cs="Times New Roman"/>
                <w:lang w:eastAsia="fr-FR"/>
              </w:rPr>
            </w:pPr>
            <w:r w:rsidRPr="00343087">
              <w:rPr>
                <w:rFonts w:ascii="Times New Roman" w:hAnsi="Times New Roman" w:eastAsia="Times New Roman" w:cs="Times New Roman"/>
                <w:lang w:eastAsia="fr-FR"/>
              </w:rPr>
              <w:t>Sergey Aleksandrovich KNYAZKIN</w:t>
            </w:r>
          </w:p>
        </w:tc>
      </w:tr>
      <w:tr w:rsidRPr="00343087" w:rsidR="004F216F" w:rsidTr="004F216F">
        <w:trPr>
          <w:jc w:val="center"/>
        </w:trPr>
        <w:tc>
          <w:tcPr>
            <w:tcW w:w="495" w:type="dxa"/>
          </w:tcPr>
          <w:p w:rsidRPr="00343087" w:rsidR="004F216F" w:rsidP="00343087" w:rsidRDefault="004F216F">
            <w:pPr>
              <w:numPr>
                <w:ilvl w:val="0"/>
                <w:numId w:val="19"/>
              </w:numPr>
              <w:tabs>
                <w:tab w:val="num" w:pos="283"/>
              </w:tabs>
              <w:ind w:left="0" w:firstLine="0"/>
              <w:contextualSpacing/>
              <w:jc w:val="both"/>
              <w:rPr>
                <w:rFonts w:ascii="Times New Roman" w:hAnsi="Times New Roman" w:eastAsia="Times New Roman" w:cs="Times New Roman"/>
                <w:lang w:eastAsia="fr-FR"/>
              </w:rPr>
            </w:pPr>
          </w:p>
        </w:tc>
        <w:tc>
          <w:tcPr>
            <w:tcW w:w="1456" w:type="dxa"/>
          </w:tcPr>
          <w:p w:rsidRPr="00343087" w:rsidR="004F216F" w:rsidP="00343087" w:rsidRDefault="004F216F">
            <w:pPr>
              <w:rPr>
                <w:rFonts w:ascii="Times New Roman" w:hAnsi="Times New Roman" w:eastAsia="Times New Roman" w:cs="Times New Roman"/>
                <w:lang w:eastAsia="fr-FR"/>
              </w:rPr>
            </w:pPr>
            <w:r w:rsidRPr="00343087">
              <w:rPr>
                <w:rFonts w:ascii="Times New Roman" w:hAnsi="Times New Roman" w:eastAsia="Times New Roman" w:cs="Times New Roman"/>
                <w:lang w:eastAsia="fr-FR"/>
              </w:rPr>
              <w:t>2680/14</w:t>
            </w:r>
          </w:p>
        </w:tc>
        <w:tc>
          <w:tcPr>
            <w:tcW w:w="1559" w:type="dxa"/>
          </w:tcPr>
          <w:p w:rsidRPr="00343087" w:rsidR="004F216F" w:rsidP="00343087" w:rsidRDefault="004F216F">
            <w:pPr>
              <w:rPr>
                <w:rFonts w:ascii="Times New Roman" w:hAnsi="Times New Roman" w:eastAsia="Times New Roman" w:cs="Times New Roman"/>
                <w:lang w:eastAsia="fr-FR"/>
              </w:rPr>
            </w:pPr>
            <w:r w:rsidRPr="00343087">
              <w:rPr>
                <w:rFonts w:ascii="Times New Roman" w:hAnsi="Times New Roman" w:eastAsia="Times New Roman" w:cs="Times New Roman"/>
                <w:lang w:eastAsia="fr-FR"/>
              </w:rPr>
              <w:t>28/12/2013</w:t>
            </w:r>
          </w:p>
        </w:tc>
        <w:tc>
          <w:tcPr>
            <w:tcW w:w="2835" w:type="dxa"/>
          </w:tcPr>
          <w:p w:rsidRPr="00343087" w:rsidR="004F216F" w:rsidP="00343087" w:rsidRDefault="004F216F">
            <w:pPr>
              <w:rPr>
                <w:rFonts w:ascii="Times New Roman" w:hAnsi="Times New Roman" w:eastAsia="Times New Roman" w:cs="Times New Roman"/>
                <w:b/>
                <w:lang w:eastAsia="fr-FR"/>
              </w:rPr>
            </w:pPr>
            <w:r w:rsidRPr="00343087">
              <w:rPr>
                <w:rFonts w:ascii="Times New Roman" w:hAnsi="Times New Roman" w:eastAsia="Times New Roman" w:cs="Times New Roman"/>
                <w:b/>
                <w:lang w:eastAsia="fr-FR"/>
              </w:rPr>
              <w:t>Yevdokiya Mikhaylovna VDOVINA</w:t>
            </w:r>
          </w:p>
          <w:p w:rsidRPr="00343087" w:rsidR="004F216F" w:rsidP="00343087" w:rsidRDefault="004F216F">
            <w:pPr>
              <w:rPr>
                <w:rFonts w:ascii="Times New Roman" w:hAnsi="Times New Roman" w:eastAsia="Times New Roman" w:cs="Times New Roman"/>
                <w:lang w:eastAsia="fr-FR"/>
              </w:rPr>
            </w:pPr>
            <w:r w:rsidRPr="00343087">
              <w:rPr>
                <w:rFonts w:ascii="Times New Roman" w:hAnsi="Times New Roman" w:eastAsia="Times New Roman" w:cs="Times New Roman"/>
                <w:lang w:eastAsia="fr-FR"/>
              </w:rPr>
              <w:t>11/03/1960</w:t>
            </w:r>
          </w:p>
          <w:p w:rsidRPr="00343087" w:rsidR="004F216F" w:rsidP="00343087" w:rsidRDefault="004F216F">
            <w:pPr>
              <w:rPr>
                <w:rFonts w:ascii="Times New Roman" w:hAnsi="Times New Roman" w:eastAsia="Times New Roman" w:cs="Times New Roman"/>
                <w:lang w:eastAsia="fr-FR"/>
              </w:rPr>
            </w:pPr>
            <w:r w:rsidRPr="00343087">
              <w:rPr>
                <w:rFonts w:ascii="Times New Roman" w:hAnsi="Times New Roman" w:eastAsia="Times New Roman" w:cs="Times New Roman"/>
                <w:lang w:eastAsia="fr-FR"/>
              </w:rPr>
              <w:t>Tchekhov</w:t>
            </w:r>
          </w:p>
          <w:p w:rsidRPr="00343087" w:rsidR="004F216F" w:rsidP="00343087" w:rsidRDefault="004F216F">
            <w:pPr>
              <w:rPr>
                <w:rFonts w:ascii="Times New Roman" w:hAnsi="Times New Roman" w:eastAsia="Times New Roman" w:cs="Times New Roman"/>
                <w:sz w:val="10"/>
                <w:szCs w:val="10"/>
                <w:lang w:eastAsia="fr-FR"/>
              </w:rPr>
            </w:pPr>
          </w:p>
          <w:p w:rsidRPr="00343087" w:rsidR="004F216F" w:rsidP="00343087" w:rsidRDefault="004F216F">
            <w:pPr>
              <w:rPr>
                <w:rFonts w:ascii="Times New Roman" w:hAnsi="Times New Roman" w:eastAsia="Times New Roman" w:cs="Times New Roman"/>
                <w:b/>
                <w:lang w:eastAsia="fr-FR"/>
              </w:rPr>
            </w:pPr>
            <w:r w:rsidRPr="00343087">
              <w:rPr>
                <w:rFonts w:ascii="Times New Roman" w:hAnsi="Times New Roman" w:eastAsia="Times New Roman" w:cs="Times New Roman"/>
                <w:b/>
                <w:lang w:eastAsia="fr-FR"/>
              </w:rPr>
              <w:t>Vladimir Viktorovich VDOVIN</w:t>
            </w:r>
          </w:p>
          <w:p w:rsidRPr="00343087" w:rsidR="004F216F" w:rsidP="00343087" w:rsidRDefault="004F216F">
            <w:pPr>
              <w:rPr>
                <w:rFonts w:ascii="Times New Roman" w:hAnsi="Times New Roman" w:eastAsia="Times New Roman" w:cs="Times New Roman"/>
                <w:lang w:eastAsia="fr-FR"/>
              </w:rPr>
            </w:pPr>
            <w:r w:rsidRPr="00343087">
              <w:rPr>
                <w:rFonts w:ascii="Times New Roman" w:hAnsi="Times New Roman" w:eastAsia="Times New Roman" w:cs="Times New Roman"/>
                <w:lang w:eastAsia="fr-FR"/>
              </w:rPr>
              <w:t>05/08/1959</w:t>
            </w:r>
          </w:p>
          <w:p w:rsidRPr="00343087" w:rsidR="004F216F" w:rsidP="00343087" w:rsidRDefault="004F216F">
            <w:pPr>
              <w:rPr>
                <w:rFonts w:ascii="Times New Roman" w:hAnsi="Times New Roman" w:eastAsia="Times New Roman" w:cs="Times New Roman"/>
                <w:lang w:eastAsia="fr-FR"/>
              </w:rPr>
            </w:pPr>
            <w:r w:rsidRPr="00343087">
              <w:rPr>
                <w:rFonts w:ascii="Times New Roman" w:hAnsi="Times New Roman" w:eastAsia="Times New Roman" w:cs="Times New Roman"/>
                <w:lang w:eastAsia="fr-FR"/>
              </w:rPr>
              <w:t>Tchekhov</w:t>
            </w:r>
          </w:p>
        </w:tc>
        <w:tc>
          <w:tcPr>
            <w:tcW w:w="1985" w:type="dxa"/>
          </w:tcPr>
          <w:p w:rsidRPr="00343087" w:rsidR="004F216F" w:rsidP="00343087" w:rsidRDefault="004F216F">
            <w:pPr>
              <w:rPr>
                <w:rFonts w:ascii="Times New Roman" w:hAnsi="Times New Roman" w:eastAsia="Times New Roman" w:cs="Times New Roman"/>
                <w:lang w:eastAsia="fr-FR"/>
              </w:rPr>
            </w:pPr>
            <w:r w:rsidRPr="00343087">
              <w:rPr>
                <w:rFonts w:ascii="Times New Roman" w:hAnsi="Times New Roman" w:eastAsia="Times New Roman" w:cs="Times New Roman"/>
                <w:lang w:eastAsia="fr-FR"/>
              </w:rPr>
              <w:t>Sergey Aleksandrovich KNYAZKIN</w:t>
            </w:r>
          </w:p>
        </w:tc>
      </w:tr>
      <w:tr w:rsidRPr="00343087" w:rsidR="004F216F" w:rsidTr="004F216F">
        <w:trPr>
          <w:jc w:val="center"/>
        </w:trPr>
        <w:tc>
          <w:tcPr>
            <w:tcW w:w="495" w:type="dxa"/>
          </w:tcPr>
          <w:p w:rsidRPr="00343087" w:rsidR="004F216F" w:rsidP="00343087" w:rsidRDefault="004F216F">
            <w:pPr>
              <w:numPr>
                <w:ilvl w:val="0"/>
                <w:numId w:val="19"/>
              </w:numPr>
              <w:tabs>
                <w:tab w:val="num" w:pos="283"/>
              </w:tabs>
              <w:ind w:left="0" w:firstLine="0"/>
              <w:contextualSpacing/>
              <w:jc w:val="both"/>
              <w:rPr>
                <w:rFonts w:ascii="Times New Roman" w:hAnsi="Times New Roman" w:eastAsia="Times New Roman" w:cs="Times New Roman"/>
                <w:lang w:eastAsia="fr-FR"/>
              </w:rPr>
            </w:pPr>
          </w:p>
        </w:tc>
        <w:tc>
          <w:tcPr>
            <w:tcW w:w="1456" w:type="dxa"/>
          </w:tcPr>
          <w:p w:rsidRPr="00343087" w:rsidR="004F216F" w:rsidP="00343087" w:rsidRDefault="004F216F">
            <w:pPr>
              <w:rPr>
                <w:rFonts w:ascii="Times New Roman" w:hAnsi="Times New Roman" w:eastAsia="Times New Roman" w:cs="Times New Roman"/>
                <w:lang w:eastAsia="fr-FR"/>
              </w:rPr>
            </w:pPr>
            <w:r w:rsidRPr="00343087">
              <w:rPr>
                <w:rFonts w:ascii="Times New Roman" w:hAnsi="Times New Roman" w:eastAsia="Times New Roman" w:cs="Times New Roman"/>
                <w:lang w:eastAsia="fr-FR"/>
              </w:rPr>
              <w:t>31636/14</w:t>
            </w:r>
          </w:p>
        </w:tc>
        <w:tc>
          <w:tcPr>
            <w:tcW w:w="1559" w:type="dxa"/>
          </w:tcPr>
          <w:p w:rsidRPr="00343087" w:rsidR="004F216F" w:rsidP="00343087" w:rsidRDefault="004F216F">
            <w:pPr>
              <w:rPr>
                <w:rFonts w:ascii="Times New Roman" w:hAnsi="Times New Roman" w:eastAsia="Times New Roman" w:cs="Times New Roman"/>
                <w:lang w:eastAsia="fr-FR"/>
              </w:rPr>
            </w:pPr>
            <w:r w:rsidRPr="00343087">
              <w:rPr>
                <w:rFonts w:ascii="Times New Roman" w:hAnsi="Times New Roman" w:eastAsia="Times New Roman" w:cs="Times New Roman"/>
                <w:lang w:eastAsia="fr-FR"/>
              </w:rPr>
              <w:t>14/04/2014</w:t>
            </w:r>
          </w:p>
        </w:tc>
        <w:tc>
          <w:tcPr>
            <w:tcW w:w="2835" w:type="dxa"/>
          </w:tcPr>
          <w:p w:rsidRPr="00343087" w:rsidR="004F216F" w:rsidP="00343087" w:rsidRDefault="004F216F">
            <w:pPr>
              <w:rPr>
                <w:rFonts w:ascii="Times New Roman" w:hAnsi="Times New Roman" w:eastAsia="Times New Roman" w:cs="Times New Roman"/>
                <w:b/>
                <w:lang w:eastAsia="fr-FR"/>
              </w:rPr>
            </w:pPr>
            <w:r w:rsidRPr="00343087">
              <w:rPr>
                <w:rFonts w:ascii="Times New Roman" w:hAnsi="Times New Roman" w:eastAsia="Times New Roman" w:cs="Times New Roman"/>
                <w:b/>
                <w:lang w:eastAsia="fr-FR"/>
              </w:rPr>
              <w:t>Lyudmila Viktorovna KOSENKO</w:t>
            </w:r>
          </w:p>
          <w:p w:rsidRPr="00343087" w:rsidR="004F216F" w:rsidP="00343087" w:rsidRDefault="004F216F">
            <w:pPr>
              <w:rPr>
                <w:rFonts w:ascii="Times New Roman" w:hAnsi="Times New Roman" w:eastAsia="Times New Roman" w:cs="Times New Roman"/>
                <w:lang w:eastAsia="fr-FR"/>
              </w:rPr>
            </w:pPr>
            <w:r w:rsidRPr="00343087">
              <w:rPr>
                <w:rFonts w:ascii="Times New Roman" w:hAnsi="Times New Roman" w:eastAsia="Times New Roman" w:cs="Times New Roman"/>
                <w:lang w:eastAsia="fr-FR"/>
              </w:rPr>
              <w:t>25/03/1961</w:t>
            </w:r>
          </w:p>
          <w:p w:rsidRPr="00343087" w:rsidR="004F216F" w:rsidP="00343087" w:rsidRDefault="004F216F">
            <w:pPr>
              <w:rPr>
                <w:rFonts w:ascii="Times New Roman" w:hAnsi="Times New Roman" w:eastAsia="Times New Roman" w:cs="Times New Roman"/>
                <w:lang w:eastAsia="fr-FR"/>
              </w:rPr>
            </w:pPr>
            <w:r w:rsidRPr="00343087">
              <w:rPr>
                <w:rFonts w:ascii="Times New Roman" w:hAnsi="Times New Roman" w:eastAsia="Times New Roman" w:cs="Times New Roman"/>
                <w:lang w:eastAsia="fr-FR"/>
              </w:rPr>
              <w:t>Tcheliabinsk</w:t>
            </w:r>
          </w:p>
          <w:p w:rsidRPr="00343087" w:rsidR="004F216F" w:rsidP="00343087" w:rsidRDefault="004F216F">
            <w:pPr>
              <w:jc w:val="center"/>
              <w:rPr>
                <w:rFonts w:ascii="Times New Roman" w:hAnsi="Times New Roman" w:eastAsia="Times New Roman" w:cs="Times New Roman"/>
                <w:sz w:val="10"/>
                <w:szCs w:val="10"/>
                <w:lang w:eastAsia="fr-FR"/>
              </w:rPr>
            </w:pPr>
          </w:p>
          <w:p w:rsidRPr="00343087" w:rsidR="004F216F" w:rsidP="00343087" w:rsidRDefault="004F216F">
            <w:pPr>
              <w:rPr>
                <w:rFonts w:ascii="Times New Roman" w:hAnsi="Times New Roman" w:eastAsia="Times New Roman" w:cs="Times New Roman"/>
                <w:b/>
                <w:lang w:eastAsia="fr-FR"/>
              </w:rPr>
            </w:pPr>
            <w:r w:rsidRPr="00343087">
              <w:rPr>
                <w:rFonts w:ascii="Times New Roman" w:hAnsi="Times New Roman" w:eastAsia="Times New Roman" w:cs="Times New Roman"/>
                <w:b/>
                <w:lang w:eastAsia="fr-FR"/>
              </w:rPr>
              <w:t>Yuliya Anatolyevna TIKHONOVA</w:t>
            </w:r>
          </w:p>
          <w:p w:rsidRPr="00343087" w:rsidR="004F216F" w:rsidP="00343087" w:rsidRDefault="004F216F">
            <w:pPr>
              <w:rPr>
                <w:rFonts w:ascii="Times New Roman" w:hAnsi="Times New Roman" w:eastAsia="Times New Roman" w:cs="Times New Roman"/>
                <w:lang w:eastAsia="fr-FR"/>
              </w:rPr>
            </w:pPr>
            <w:r w:rsidRPr="00343087">
              <w:rPr>
                <w:rFonts w:ascii="Times New Roman" w:hAnsi="Times New Roman" w:eastAsia="Times New Roman" w:cs="Times New Roman"/>
                <w:lang w:eastAsia="fr-FR"/>
              </w:rPr>
              <w:t>22/09/1984</w:t>
            </w:r>
          </w:p>
          <w:p w:rsidRPr="00343087" w:rsidR="004F216F" w:rsidP="00343087" w:rsidRDefault="004F216F">
            <w:pPr>
              <w:rPr>
                <w:rFonts w:ascii="Times New Roman" w:hAnsi="Times New Roman" w:eastAsia="Times New Roman" w:cs="Times New Roman"/>
                <w:lang w:eastAsia="fr-FR"/>
              </w:rPr>
            </w:pPr>
            <w:r w:rsidRPr="00343087">
              <w:rPr>
                <w:rFonts w:ascii="Times New Roman" w:hAnsi="Times New Roman" w:eastAsia="Times New Roman" w:cs="Times New Roman"/>
                <w:lang w:eastAsia="fr-FR"/>
              </w:rPr>
              <w:t>Tcheliabinsk</w:t>
            </w:r>
          </w:p>
        </w:tc>
        <w:tc>
          <w:tcPr>
            <w:tcW w:w="1985" w:type="dxa"/>
          </w:tcPr>
          <w:p w:rsidRPr="00343087" w:rsidR="004F216F" w:rsidP="00343087" w:rsidRDefault="004F216F">
            <w:pPr>
              <w:rPr>
                <w:rFonts w:ascii="Times New Roman" w:hAnsi="Times New Roman" w:eastAsia="Times New Roman" w:cs="Times New Roman"/>
                <w:lang w:eastAsia="fr-FR"/>
              </w:rPr>
            </w:pPr>
            <w:r w:rsidRPr="00343087">
              <w:rPr>
                <w:rFonts w:ascii="Times New Roman" w:hAnsi="Times New Roman" w:eastAsia="Times New Roman" w:cs="Times New Roman"/>
                <w:lang w:eastAsia="fr-FR"/>
              </w:rPr>
              <w:t>Aleksandr Petrovich TSELYKH</w:t>
            </w:r>
            <w:bookmarkStart w:name="TableEnd" w:id="4"/>
            <w:bookmarkEnd w:id="4"/>
          </w:p>
        </w:tc>
      </w:tr>
    </w:tbl>
    <w:p w:rsidRPr="00343087" w:rsidR="00876F03" w:rsidP="00343087" w:rsidRDefault="00876F03"/>
    <w:sectPr w:rsidRPr="00343087" w:rsidR="00876F03">
      <w:headerReference w:type="even" r:id="rId10"/>
      <w:headerReference w:type="default" r:id="rId11"/>
      <w:footerReference w:type="default" r:id="rId12"/>
      <w:footnotePr>
        <w:numRestart w:val="eachSect"/>
      </w:footnotePr>
      <w:pgSz w:w="11906" w:h="16838" w:code="9"/>
      <w:pgMar w:top="2274" w:right="2274" w:bottom="2274" w:left="2274" w:header="1701"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730F" w:rsidRPr="009020E3" w:rsidRDefault="0071730F" w:rsidP="00516B59">
      <w:r w:rsidRPr="009020E3">
        <w:separator/>
      </w:r>
    </w:p>
  </w:endnote>
  <w:endnote w:type="continuationSeparator" w:id="0">
    <w:p w:rsidR="0071730F" w:rsidRPr="009020E3" w:rsidRDefault="0071730F" w:rsidP="00516B59">
      <w:r w:rsidRPr="009020E3">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730F" w:rsidRPr="00150BFA" w:rsidRDefault="0071730F" w:rsidP="0020718E">
    <w:pPr>
      <w:jc w:val="center"/>
    </w:pPr>
    <w:r>
      <w:rPr>
        <w:noProof/>
        <w:lang w:val="en-US" w:eastAsia="ja-JP"/>
      </w:rPr>
      <w:drawing>
        <wp:inline distT="0" distB="0" distL="0" distR="0" wp14:anchorId="435E703D" wp14:editId="19049E58">
          <wp:extent cx="771525" cy="619125"/>
          <wp:effectExtent l="0" t="0" r="9525" b="9525"/>
          <wp:docPr id="3" name="Picture 3"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rsidR="00F22D5C" w:rsidRPr="009020E3" w:rsidRDefault="003A40A1" w:rsidP="00F27D13">
    <w:pPr>
      <w:pStyle w:val="Footer0"/>
      <w:jc w:val="center"/>
      <w:rPr>
        <w:sz w:val="4"/>
        <w:szCs w:val="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D5C" w:rsidRPr="00D01935" w:rsidRDefault="0071730F" w:rsidP="00662882">
    <w:pPr>
      <w:pStyle w:val="JuHeader"/>
    </w:pPr>
    <w:r>
      <w:fldChar w:fldCharType="begin"/>
    </w:r>
    <w:r>
      <w:instrText xml:space="preserve"> PAGE </w:instrText>
    </w:r>
    <w:r>
      <w:fldChar w:fldCharType="separate"/>
    </w:r>
    <w:r w:rsidR="00343087">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730F" w:rsidRPr="009020E3" w:rsidRDefault="0071730F" w:rsidP="00516B59">
      <w:r w:rsidRPr="009020E3">
        <w:separator/>
      </w:r>
    </w:p>
  </w:footnote>
  <w:footnote w:type="continuationSeparator" w:id="0">
    <w:p w:rsidR="0071730F" w:rsidRPr="009020E3" w:rsidRDefault="0071730F" w:rsidP="00516B59">
      <w:r w:rsidRPr="009020E3">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730F" w:rsidRPr="00A45145" w:rsidRDefault="0071730F" w:rsidP="00A45145">
    <w:pPr>
      <w:jc w:val="center"/>
    </w:pPr>
    <w:r>
      <w:rPr>
        <w:noProof/>
        <w:lang w:val="en-US" w:eastAsia="ja-JP"/>
      </w:rPr>
      <w:drawing>
        <wp:inline distT="0" distB="0" distL="0" distR="0" wp14:anchorId="7E0E6B14" wp14:editId="0A2EE045">
          <wp:extent cx="2962275" cy="1219200"/>
          <wp:effectExtent l="0" t="0" r="9525" b="0"/>
          <wp:docPr id="8" name="Picture 8"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F22D5C" w:rsidRPr="009020E3" w:rsidRDefault="003A40A1" w:rsidP="009840A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D5C" w:rsidRPr="0071730F" w:rsidRDefault="0071730F" w:rsidP="00A21624">
    <w:pPr>
      <w:pStyle w:val="JuHeader"/>
    </w:pPr>
    <w:r>
      <w:rPr>
        <w:rStyle w:val="PageNumber"/>
        <w:lang w:val="en-US"/>
      </w:rPr>
      <w:fldChar w:fldCharType="begin"/>
    </w:r>
    <w:r w:rsidRPr="0071730F">
      <w:rPr>
        <w:rStyle w:val="PageNumber"/>
      </w:rPr>
      <w:instrText xml:space="preserve"> PAGE </w:instrText>
    </w:r>
    <w:r>
      <w:rPr>
        <w:rStyle w:val="PageNumber"/>
        <w:lang w:val="en-US"/>
      </w:rPr>
      <w:fldChar w:fldCharType="separate"/>
    </w:r>
    <w:r w:rsidRPr="0071730F">
      <w:rPr>
        <w:rStyle w:val="PageNumber"/>
        <w:noProof/>
      </w:rPr>
      <w:t>5</w:t>
    </w:r>
    <w:r>
      <w:rPr>
        <w:rStyle w:val="PageNumber"/>
        <w:lang w:val="en-US"/>
      </w:rPr>
      <w:fldChar w:fldCharType="end"/>
    </w:r>
    <w:r w:rsidR="007971FF" w:rsidRPr="0071730F">
      <w:tab/>
    </w:r>
    <w:r w:rsidR="00A21624" w:rsidRPr="0071730F">
      <w:t>ARRÊT</w:t>
    </w:r>
    <w:r w:rsidR="00256F45" w:rsidRPr="0071730F">
      <w:t xml:space="preserve"> </w:t>
    </w:r>
    <w:r w:rsidRPr="0071730F">
      <w:t>KASTORNOVA c. RUSSIE</w:t>
    </w:r>
    <w:r w:rsidRPr="0071730F">
      <w:rPr>
        <w:noProof/>
      </w:rPr>
      <w:t xml:space="preserve"> (SATISFACTION ÉQUITABLE)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D5C" w:rsidRPr="00662882" w:rsidRDefault="00256F45" w:rsidP="00662882">
    <w:pPr>
      <w:pStyle w:val="JuHeader"/>
    </w:pPr>
    <w:r w:rsidRPr="0071730F">
      <w:t>ARRÊT</w:t>
    </w:r>
    <w:r w:rsidR="00162967" w:rsidRPr="0071730F">
      <w:t xml:space="preserve"> </w:t>
    </w:r>
    <w:r w:rsidR="0016533F">
      <w:t>ZHIDOV ET AUTRES</w:t>
    </w:r>
    <w:r w:rsidR="0071730F" w:rsidRPr="0071730F">
      <w:t xml:space="preserve"> c. RUSSIE</w:t>
    </w:r>
    <w:r w:rsidR="007971FF" w:rsidRPr="0071730F">
      <w:t xml:space="preserve"> </w:t>
    </w:r>
    <w:r w:rsidR="0071730F" w:rsidRPr="0071730F">
      <w:t>(SATISFACTION ÉQUITABLE)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D67019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3283F3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F369A7C"/>
    <w:lvl w:ilvl="0">
      <w:start w:val="1"/>
      <w:numFmt w:val="decimal"/>
      <w:pStyle w:val="ListNumber3"/>
      <w:lvlText w:val="%1."/>
      <w:lvlJc w:val="left"/>
      <w:pPr>
        <w:tabs>
          <w:tab w:val="num" w:pos="926"/>
        </w:tabs>
        <w:ind w:left="926" w:hanging="360"/>
      </w:pPr>
    </w:lvl>
  </w:abstractNum>
  <w:abstractNum w:abstractNumId="3">
    <w:nsid w:val="FFFFFF7F"/>
    <w:multiLevelType w:val="singleLevel"/>
    <w:tmpl w:val="3346880A"/>
    <w:lvl w:ilvl="0">
      <w:start w:val="1"/>
      <w:numFmt w:val="decimal"/>
      <w:pStyle w:val="ListNumber2"/>
      <w:lvlText w:val="%1."/>
      <w:lvlJc w:val="left"/>
      <w:pPr>
        <w:tabs>
          <w:tab w:val="num" w:pos="643"/>
        </w:tabs>
        <w:ind w:left="643" w:hanging="360"/>
      </w:pPr>
    </w:lvl>
  </w:abstractNum>
  <w:abstractNum w:abstractNumId="4">
    <w:nsid w:val="FFFFFF80"/>
    <w:multiLevelType w:val="singleLevel"/>
    <w:tmpl w:val="552A83E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85AC83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7486FE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A528BA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66C20B0"/>
    <w:lvl w:ilvl="0">
      <w:start w:val="1"/>
      <w:numFmt w:val="decimal"/>
      <w:pStyle w:val="ListNumber"/>
      <w:lvlText w:val="%1."/>
      <w:lvlJc w:val="left"/>
      <w:pPr>
        <w:tabs>
          <w:tab w:val="num" w:pos="360"/>
        </w:tabs>
        <w:ind w:left="360" w:hanging="360"/>
      </w:pPr>
    </w:lvl>
  </w:abstractNum>
  <w:abstractNum w:abstractNumId="9">
    <w:nsid w:val="1AA96CEA"/>
    <w:multiLevelType w:val="multilevel"/>
    <w:tmpl w:val="040C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nsid w:val="1D27094A"/>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7D5546B"/>
    <w:multiLevelType w:val="multilevel"/>
    <w:tmpl w:val="BD4225D2"/>
    <w:styleLink w:val="ECHRA1StyleList"/>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lowerRoman"/>
      <w:lvlText w:val="%3."/>
      <w:lvlJc w:val="left"/>
      <w:pPr>
        <w:tabs>
          <w:tab w:val="num" w:pos="1191"/>
        </w:tabs>
        <w:ind w:left="1191" w:hanging="39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285E6A40"/>
    <w:multiLevelType w:val="multilevel"/>
    <w:tmpl w:val="3704F6F0"/>
    <w:lvl w:ilvl="0">
      <w:start w:val="1"/>
      <w:numFmt w:val="decimal"/>
      <w:pStyle w:val="JuList"/>
      <w:lvlText w:val="%1."/>
      <w:lvlJc w:val="left"/>
      <w:pPr>
        <w:tabs>
          <w:tab w:val="num" w:pos="340"/>
        </w:tabs>
        <w:ind w:left="340" w:hanging="340"/>
      </w:pPr>
      <w:rPr>
        <w:rFonts w:hint="default"/>
      </w:rPr>
    </w:lvl>
    <w:lvl w:ilvl="1">
      <w:start w:val="1"/>
      <w:numFmt w:val="lowerLetter"/>
      <w:pStyle w:val="JuLista"/>
      <w:lvlText w:val="%2)"/>
      <w:lvlJc w:val="left"/>
      <w:pPr>
        <w:tabs>
          <w:tab w:val="num" w:pos="680"/>
        </w:tabs>
        <w:ind w:left="680" w:hanging="340"/>
      </w:pPr>
      <w:rPr>
        <w:rFonts w:hint="default"/>
      </w:rPr>
    </w:lvl>
    <w:lvl w:ilvl="2">
      <w:start w:val="1"/>
      <w:numFmt w:val="lowerRoman"/>
      <w:pStyle w:val="JuListi"/>
      <w:lvlText w:val="%3."/>
      <w:lvlJc w:val="left"/>
      <w:pPr>
        <w:tabs>
          <w:tab w:val="num" w:pos="1134"/>
        </w:tabs>
        <w:ind w:left="1134" w:hanging="45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none"/>
      <w:lvlText w:val=""/>
      <w:lvlJc w:val="left"/>
      <w:pPr>
        <w:ind w:left="2517" w:hanging="345"/>
      </w:pPr>
      <w:rPr>
        <w:rFonts w:ascii="Symbol" w:hAnsi="Symbol" w:hint="default"/>
        <w:sz w:val="2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40B939E1"/>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4989571C"/>
    <w:multiLevelType w:val="multilevel"/>
    <w:tmpl w:val="F842BC8C"/>
    <w:styleLink w:val="ECHRA1StyleBulletedSquare"/>
    <w:lvl w:ilvl="0">
      <w:start w:val="1"/>
      <w:numFmt w:val="bullet"/>
      <w:lvlText w:val=""/>
      <w:lvlJc w:val="left"/>
      <w:pPr>
        <w:tabs>
          <w:tab w:val="num" w:pos="851"/>
        </w:tabs>
        <w:ind w:left="851" w:hanging="284"/>
      </w:pPr>
      <w:rPr>
        <w:rFonts w:ascii="Wingdings" w:hAnsi="Wingdings" w:hint="default"/>
        <w:color w:val="0072BC" w:themeColor="background1"/>
      </w:rPr>
    </w:lvl>
    <w:lvl w:ilvl="1">
      <w:start w:val="1"/>
      <w:numFmt w:val="bullet"/>
      <w:lvlText w:val=""/>
      <w:lvlJc w:val="left"/>
      <w:pPr>
        <w:tabs>
          <w:tab w:val="num" w:pos="1134"/>
        </w:tabs>
        <w:ind w:left="1135" w:hanging="284"/>
      </w:pPr>
      <w:rPr>
        <w:rFonts w:ascii="Wingdings" w:hAnsi="Wingdings" w:hint="default"/>
        <w:color w:val="0072BC" w:themeColor="background1"/>
      </w:rPr>
    </w:lvl>
    <w:lvl w:ilvl="2">
      <w:start w:val="1"/>
      <w:numFmt w:val="bullet"/>
      <w:lvlText w:val=""/>
      <w:lvlJc w:val="left"/>
      <w:pPr>
        <w:tabs>
          <w:tab w:val="num" w:pos="1418"/>
        </w:tabs>
        <w:ind w:left="1419" w:hanging="284"/>
      </w:pPr>
      <w:rPr>
        <w:rFonts w:ascii="Wingdings" w:hAnsi="Wingdings" w:hint="default"/>
        <w:color w:val="7F7F7F" w:themeColor="text1" w:themeTint="80"/>
      </w:rPr>
    </w:lvl>
    <w:lvl w:ilvl="3">
      <w:start w:val="1"/>
      <w:numFmt w:val="bullet"/>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15">
    <w:nsid w:val="5032512D"/>
    <w:multiLevelType w:val="multilevel"/>
    <w:tmpl w:val="9B34AC6C"/>
    <w:styleLink w:val="ECHRA1StyleNumberedList"/>
    <w:lvl w:ilvl="0">
      <w:start w:val="1"/>
      <w:numFmt w:val="decimal"/>
      <w:lvlText w:val="%1."/>
      <w:lvlJc w:val="left"/>
      <w:pPr>
        <w:tabs>
          <w:tab w:val="num" w:pos="964"/>
        </w:tabs>
        <w:ind w:left="964" w:hanging="397"/>
      </w:pPr>
      <w:rPr>
        <w:rFonts w:hint="default"/>
      </w:rPr>
    </w:lvl>
    <w:lvl w:ilvl="1">
      <w:start w:val="1"/>
      <w:numFmt w:val="lowerLetter"/>
      <w:lvlText w:val="%2."/>
      <w:lvlJc w:val="left"/>
      <w:pPr>
        <w:tabs>
          <w:tab w:val="num" w:pos="1361"/>
        </w:tabs>
        <w:ind w:left="1361" w:hanging="397"/>
      </w:pPr>
      <w:rPr>
        <w:rFonts w:hint="default"/>
      </w:rPr>
    </w:lvl>
    <w:lvl w:ilvl="2">
      <w:start w:val="1"/>
      <w:numFmt w:val="lowerRoman"/>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6">
    <w:nsid w:val="56B9429C"/>
    <w:multiLevelType w:val="multilevel"/>
    <w:tmpl w:val="4CD28D7E"/>
    <w:lvl w:ilvl="0">
      <w:start w:val="1"/>
      <w:numFmt w:val="none"/>
      <w:pStyle w:val="JuHHead"/>
      <w:suff w:val="nothing"/>
      <w:lvlText w:val=""/>
      <w:lvlJc w:val="left"/>
      <w:pPr>
        <w:ind w:left="0" w:firstLine="0"/>
      </w:pPr>
      <w:rPr>
        <w:rFonts w:hint="default"/>
      </w:rPr>
    </w:lvl>
    <w:lvl w:ilvl="1">
      <w:start w:val="1"/>
      <w:numFmt w:val="upperRoman"/>
      <w:pStyle w:val="JuHIRoman"/>
      <w:suff w:val="space"/>
      <w:lvlText w:val="%2."/>
      <w:lvlJc w:val="left"/>
      <w:pPr>
        <w:ind w:left="357" w:hanging="357"/>
      </w:pPr>
      <w:rPr>
        <w:rFonts w:hint="default"/>
        <w:sz w:val="24"/>
      </w:rPr>
    </w:lvl>
    <w:lvl w:ilvl="2">
      <w:start w:val="1"/>
      <w:numFmt w:val="upperLetter"/>
      <w:pStyle w:val="JuHA"/>
      <w:lvlText w:val="%3."/>
      <w:lvlJc w:val="left"/>
      <w:pPr>
        <w:ind w:left="584" w:hanging="352"/>
      </w:pPr>
      <w:rPr>
        <w:rFonts w:hint="default"/>
      </w:rPr>
    </w:lvl>
    <w:lvl w:ilvl="3">
      <w:start w:val="1"/>
      <w:numFmt w:val="decimal"/>
      <w:pStyle w:val="JuH1"/>
      <w:lvlText w:val="%4."/>
      <w:lvlJc w:val="left"/>
      <w:pPr>
        <w:ind w:left="731" w:hanging="300"/>
      </w:pPr>
      <w:rPr>
        <w:rFonts w:hint="default"/>
      </w:rPr>
    </w:lvl>
    <w:lvl w:ilvl="4">
      <w:start w:val="1"/>
      <w:numFmt w:val="lowerLetter"/>
      <w:pStyle w:val="JuHa0"/>
      <w:lvlText w:val="%5)"/>
      <w:lvlJc w:val="left"/>
      <w:pPr>
        <w:ind w:left="975" w:hanging="340"/>
      </w:pPr>
      <w:rPr>
        <w:rFonts w:hint="default"/>
      </w:rPr>
    </w:lvl>
    <w:lvl w:ilvl="5">
      <w:start w:val="1"/>
      <w:numFmt w:val="lowerRoman"/>
      <w:pStyle w:val="JuHi"/>
      <w:suff w:val="space"/>
      <w:lvlText w:val="%6."/>
      <w:lvlJc w:val="left"/>
      <w:pPr>
        <w:ind w:left="1191" w:hanging="358"/>
      </w:pPr>
      <w:rPr>
        <w:rFonts w:hint="default"/>
      </w:rPr>
    </w:lvl>
    <w:lvl w:ilvl="6">
      <w:start w:val="1"/>
      <w:numFmt w:val="lowerLetter"/>
      <w:pStyle w:val="JuHalpha"/>
      <w:lvlText w:val="%7)"/>
      <w:lvlJc w:val="left"/>
      <w:pPr>
        <w:ind w:left="1372" w:hanging="334"/>
      </w:pPr>
      <w:rPr>
        <w:rFonts w:ascii="Symbol" w:hAnsi="Symbol" w:hint="default"/>
        <w:sz w:val="20"/>
      </w:rPr>
    </w:lvl>
    <w:lvl w:ilvl="7">
      <w:start w:val="1"/>
      <w:numFmt w:val="bullet"/>
      <w:pStyle w:val="JuH"/>
      <w:lvlText w:val="‒"/>
      <w:lvlJc w:val="left"/>
      <w:pPr>
        <w:ind w:left="1304" w:hanging="68"/>
      </w:pPr>
      <w:rPr>
        <w:rFonts w:ascii="Calibri" w:hAnsi="Calibri" w:hint="default"/>
        <w:color w:val="auto"/>
      </w:rPr>
    </w:lvl>
    <w:lvl w:ilvl="8">
      <w:start w:val="1"/>
      <w:numFmt w:val="none"/>
      <w:lvlText w:val="%9"/>
      <w:lvlJc w:val="right"/>
      <w:pPr>
        <w:ind w:left="7313" w:hanging="180"/>
      </w:pPr>
      <w:rPr>
        <w:rFonts w:hint="default"/>
      </w:rPr>
    </w:lvl>
  </w:abstractNum>
  <w:abstractNum w:abstractNumId="17">
    <w:nsid w:val="57D558CA"/>
    <w:multiLevelType w:val="hybridMultilevel"/>
    <w:tmpl w:val="F39C55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7FD1241"/>
    <w:multiLevelType w:val="hybridMultilevel"/>
    <w:tmpl w:val="F6D86CC2"/>
    <w:lvl w:ilvl="0" w:tplc="E4205412">
      <w:start w:val="1"/>
      <w:numFmt w:val="bullet"/>
      <w:pStyle w:val="ListBullet"/>
      <w:lvlText w:val=""/>
      <w:lvlJc w:val="left"/>
      <w:pPr>
        <w:tabs>
          <w:tab w:val="num" w:pos="851"/>
        </w:tabs>
        <w:ind w:left="568" w:firstLine="0"/>
      </w:pPr>
      <w:rPr>
        <w:rFonts w:ascii="Wingdings" w:hAnsi="Wingdings" w:hint="default"/>
        <w:color w:val="808080"/>
        <w:sz w:val="16"/>
      </w:rPr>
    </w:lvl>
    <w:lvl w:ilvl="1" w:tplc="08090003">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num w:numId="1">
    <w:abstractNumId w:val="16"/>
  </w:num>
  <w:num w:numId="2">
    <w:abstractNumId w:val="12"/>
  </w:num>
  <w:num w:numId="3">
    <w:abstractNumId w:val="13"/>
  </w:num>
  <w:num w:numId="4">
    <w:abstractNumId w:val="10"/>
  </w:num>
  <w:num w:numId="5">
    <w:abstractNumId w:val="9"/>
  </w:num>
  <w:num w:numId="6">
    <w:abstractNumId w:val="14"/>
  </w:num>
  <w:num w:numId="7">
    <w:abstractNumId w:val="11"/>
  </w:num>
  <w:num w:numId="8">
    <w:abstractNumId w:val="15"/>
  </w:num>
  <w:num w:numId="9">
    <w:abstractNumId w:val="18"/>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removePersonalInformatio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drawingGridHorizontalSpacing w:val="110"/>
  <w:displayHorizontalDrawingGridEvery w:val="2"/>
  <w:displayVerticalDrawingGridEvery w:val="2"/>
  <w:characterSpacingControl w:val="doNotCompress"/>
  <w:hdrShapeDefaults>
    <o:shapedefaults v:ext="edit" spidmax="12289"/>
  </w:hdrShapeDefaults>
  <w:footnotePr>
    <w:numRestart w:val="eachSect"/>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licationsApp" w:val="2"/>
    <w:docVar w:name="EMM" w:val="0"/>
    <w:docVar w:name="NBEMMDOC" w:val="0"/>
  </w:docVars>
  <w:rsids>
    <w:rsidRoot w:val="0071730F"/>
    <w:rsid w:val="000041F8"/>
    <w:rsid w:val="000042A8"/>
    <w:rsid w:val="00004308"/>
    <w:rsid w:val="00005BF0"/>
    <w:rsid w:val="00007154"/>
    <w:rsid w:val="000103AE"/>
    <w:rsid w:val="00011D69"/>
    <w:rsid w:val="00012AD3"/>
    <w:rsid w:val="00015C2D"/>
    <w:rsid w:val="00015F00"/>
    <w:rsid w:val="00022C1D"/>
    <w:rsid w:val="000304DE"/>
    <w:rsid w:val="00034987"/>
    <w:rsid w:val="00051015"/>
    <w:rsid w:val="000602DF"/>
    <w:rsid w:val="00061B05"/>
    <w:rsid w:val="000632D5"/>
    <w:rsid w:val="000644EE"/>
    <w:rsid w:val="00080ECE"/>
    <w:rsid w:val="0009057B"/>
    <w:rsid w:val="000925AD"/>
    <w:rsid w:val="000A24EB"/>
    <w:rsid w:val="000B5D17"/>
    <w:rsid w:val="000B6923"/>
    <w:rsid w:val="000C5F3C"/>
    <w:rsid w:val="000C6DCC"/>
    <w:rsid w:val="000D04C2"/>
    <w:rsid w:val="000D47AA"/>
    <w:rsid w:val="000D721F"/>
    <w:rsid w:val="000E069B"/>
    <w:rsid w:val="000E0E82"/>
    <w:rsid w:val="000E1DC5"/>
    <w:rsid w:val="000E223F"/>
    <w:rsid w:val="000E4AC8"/>
    <w:rsid w:val="000E7D45"/>
    <w:rsid w:val="000F19D8"/>
    <w:rsid w:val="000F7851"/>
    <w:rsid w:val="00104E23"/>
    <w:rsid w:val="00111B0C"/>
    <w:rsid w:val="00117CD2"/>
    <w:rsid w:val="00120D6C"/>
    <w:rsid w:val="001257EC"/>
    <w:rsid w:val="00133D33"/>
    <w:rsid w:val="00134D64"/>
    <w:rsid w:val="00135A30"/>
    <w:rsid w:val="0013612C"/>
    <w:rsid w:val="00137FF6"/>
    <w:rsid w:val="00141650"/>
    <w:rsid w:val="001625AD"/>
    <w:rsid w:val="00162967"/>
    <w:rsid w:val="00162A12"/>
    <w:rsid w:val="0016533F"/>
    <w:rsid w:val="00166530"/>
    <w:rsid w:val="00181508"/>
    <w:rsid w:val="001832BD"/>
    <w:rsid w:val="001943B5"/>
    <w:rsid w:val="00194C5B"/>
    <w:rsid w:val="00195134"/>
    <w:rsid w:val="001A145B"/>
    <w:rsid w:val="001A674C"/>
    <w:rsid w:val="001B3B24"/>
    <w:rsid w:val="001C0F98"/>
    <w:rsid w:val="001C2A42"/>
    <w:rsid w:val="001D63ED"/>
    <w:rsid w:val="001D7348"/>
    <w:rsid w:val="001E035B"/>
    <w:rsid w:val="001E0961"/>
    <w:rsid w:val="001E3EAE"/>
    <w:rsid w:val="001E6F32"/>
    <w:rsid w:val="001F2145"/>
    <w:rsid w:val="001F39F4"/>
    <w:rsid w:val="001F6262"/>
    <w:rsid w:val="001F67B0"/>
    <w:rsid w:val="001F7B3D"/>
    <w:rsid w:val="00204F24"/>
    <w:rsid w:val="00205F9F"/>
    <w:rsid w:val="00210338"/>
    <w:rsid w:val="002115FC"/>
    <w:rsid w:val="00212184"/>
    <w:rsid w:val="0021423C"/>
    <w:rsid w:val="00230D00"/>
    <w:rsid w:val="00231364"/>
    <w:rsid w:val="00231DF7"/>
    <w:rsid w:val="00231FD1"/>
    <w:rsid w:val="002339E0"/>
    <w:rsid w:val="00233CF8"/>
    <w:rsid w:val="0023575D"/>
    <w:rsid w:val="00237148"/>
    <w:rsid w:val="0024222D"/>
    <w:rsid w:val="00244B0E"/>
    <w:rsid w:val="00244F6C"/>
    <w:rsid w:val="002532C5"/>
    <w:rsid w:val="002546AE"/>
    <w:rsid w:val="00256F45"/>
    <w:rsid w:val="00260C03"/>
    <w:rsid w:val="0026540E"/>
    <w:rsid w:val="00275123"/>
    <w:rsid w:val="00282240"/>
    <w:rsid w:val="002948AD"/>
    <w:rsid w:val="0029739C"/>
    <w:rsid w:val="002A01CC"/>
    <w:rsid w:val="002A61B1"/>
    <w:rsid w:val="002A663C"/>
    <w:rsid w:val="002B444B"/>
    <w:rsid w:val="002B5887"/>
    <w:rsid w:val="002B7E83"/>
    <w:rsid w:val="002C0E27"/>
    <w:rsid w:val="002C3040"/>
    <w:rsid w:val="002D022D"/>
    <w:rsid w:val="002D24BB"/>
    <w:rsid w:val="002F29AA"/>
    <w:rsid w:val="002F2AF7"/>
    <w:rsid w:val="002F7E1C"/>
    <w:rsid w:val="00301A75"/>
    <w:rsid w:val="00302F70"/>
    <w:rsid w:val="0030336F"/>
    <w:rsid w:val="0030375E"/>
    <w:rsid w:val="0030660C"/>
    <w:rsid w:val="00312A30"/>
    <w:rsid w:val="00316323"/>
    <w:rsid w:val="00320F72"/>
    <w:rsid w:val="0032463E"/>
    <w:rsid w:val="00326224"/>
    <w:rsid w:val="00337EE4"/>
    <w:rsid w:val="00340FFD"/>
    <w:rsid w:val="00343087"/>
    <w:rsid w:val="003506B1"/>
    <w:rsid w:val="00356AC7"/>
    <w:rsid w:val="003609FA"/>
    <w:rsid w:val="00361D45"/>
    <w:rsid w:val="00367B4F"/>
    <w:rsid w:val="003710C8"/>
    <w:rsid w:val="003750BE"/>
    <w:rsid w:val="00387B9D"/>
    <w:rsid w:val="0039364F"/>
    <w:rsid w:val="00396686"/>
    <w:rsid w:val="0039778E"/>
    <w:rsid w:val="003A37B8"/>
    <w:rsid w:val="003B4941"/>
    <w:rsid w:val="003B6A2E"/>
    <w:rsid w:val="003C5714"/>
    <w:rsid w:val="003C6B9F"/>
    <w:rsid w:val="003C6E2A"/>
    <w:rsid w:val="003D0299"/>
    <w:rsid w:val="003D32BE"/>
    <w:rsid w:val="003D61E0"/>
    <w:rsid w:val="003E3FE3"/>
    <w:rsid w:val="003E6D80"/>
    <w:rsid w:val="003E7A9C"/>
    <w:rsid w:val="003F05FA"/>
    <w:rsid w:val="003F244A"/>
    <w:rsid w:val="003F30B8"/>
    <w:rsid w:val="003F4C45"/>
    <w:rsid w:val="003F5F7B"/>
    <w:rsid w:val="003F7D64"/>
    <w:rsid w:val="00401F7D"/>
    <w:rsid w:val="0041177B"/>
    <w:rsid w:val="00414300"/>
    <w:rsid w:val="00425C67"/>
    <w:rsid w:val="00427E7A"/>
    <w:rsid w:val="00431C07"/>
    <w:rsid w:val="004344E6"/>
    <w:rsid w:val="00436C49"/>
    <w:rsid w:val="00445366"/>
    <w:rsid w:val="00447F5B"/>
    <w:rsid w:val="00450E14"/>
    <w:rsid w:val="00456549"/>
    <w:rsid w:val="004604A0"/>
    <w:rsid w:val="00461DB0"/>
    <w:rsid w:val="00463926"/>
    <w:rsid w:val="00464C9A"/>
    <w:rsid w:val="00474F3D"/>
    <w:rsid w:val="00477E3A"/>
    <w:rsid w:val="00483E5F"/>
    <w:rsid w:val="00485FF9"/>
    <w:rsid w:val="004907F0"/>
    <w:rsid w:val="0049140B"/>
    <w:rsid w:val="004923A5"/>
    <w:rsid w:val="00496197"/>
    <w:rsid w:val="00496BFB"/>
    <w:rsid w:val="004A15C7"/>
    <w:rsid w:val="004B013B"/>
    <w:rsid w:val="004B112B"/>
    <w:rsid w:val="004C01E4"/>
    <w:rsid w:val="004C086C"/>
    <w:rsid w:val="004C1A3F"/>
    <w:rsid w:val="004C1F56"/>
    <w:rsid w:val="004C27BC"/>
    <w:rsid w:val="004D15F3"/>
    <w:rsid w:val="004D5311"/>
    <w:rsid w:val="004D5DCC"/>
    <w:rsid w:val="004E22F1"/>
    <w:rsid w:val="004F10AF"/>
    <w:rsid w:val="004F11A4"/>
    <w:rsid w:val="004F216F"/>
    <w:rsid w:val="004F2389"/>
    <w:rsid w:val="004F304D"/>
    <w:rsid w:val="004F61BE"/>
    <w:rsid w:val="004F66B1"/>
    <w:rsid w:val="00511C07"/>
    <w:rsid w:val="00516B59"/>
    <w:rsid w:val="005173A6"/>
    <w:rsid w:val="00520BAA"/>
    <w:rsid w:val="00522ABA"/>
    <w:rsid w:val="00525208"/>
    <w:rsid w:val="005257A5"/>
    <w:rsid w:val="005264C0"/>
    <w:rsid w:val="00526A8A"/>
    <w:rsid w:val="00531DF2"/>
    <w:rsid w:val="005442EE"/>
    <w:rsid w:val="00547353"/>
    <w:rsid w:val="005474E7"/>
    <w:rsid w:val="005512A3"/>
    <w:rsid w:val="005578CE"/>
    <w:rsid w:val="00562781"/>
    <w:rsid w:val="00566E2B"/>
    <w:rsid w:val="0057271C"/>
    <w:rsid w:val="00572845"/>
    <w:rsid w:val="00576986"/>
    <w:rsid w:val="00592772"/>
    <w:rsid w:val="00592C8D"/>
    <w:rsid w:val="0059574A"/>
    <w:rsid w:val="005A1B9B"/>
    <w:rsid w:val="005A6751"/>
    <w:rsid w:val="005B092E"/>
    <w:rsid w:val="005B152C"/>
    <w:rsid w:val="005B1EE0"/>
    <w:rsid w:val="005B2B24"/>
    <w:rsid w:val="005B4425"/>
    <w:rsid w:val="005B4B94"/>
    <w:rsid w:val="005C353F"/>
    <w:rsid w:val="005C3EE8"/>
    <w:rsid w:val="005D34F9"/>
    <w:rsid w:val="005D4190"/>
    <w:rsid w:val="005D67A3"/>
    <w:rsid w:val="005E2988"/>
    <w:rsid w:val="005E3085"/>
    <w:rsid w:val="005F51E1"/>
    <w:rsid w:val="00611C80"/>
    <w:rsid w:val="00613B21"/>
    <w:rsid w:val="00620692"/>
    <w:rsid w:val="006242CA"/>
    <w:rsid w:val="00627507"/>
    <w:rsid w:val="00633717"/>
    <w:rsid w:val="006344E1"/>
    <w:rsid w:val="006361FD"/>
    <w:rsid w:val="006545C4"/>
    <w:rsid w:val="00661971"/>
    <w:rsid w:val="00661CE8"/>
    <w:rsid w:val="006623D9"/>
    <w:rsid w:val="00662882"/>
    <w:rsid w:val="0066550C"/>
    <w:rsid w:val="006716F2"/>
    <w:rsid w:val="00682BF2"/>
    <w:rsid w:val="006859CE"/>
    <w:rsid w:val="00691270"/>
    <w:rsid w:val="00694BA8"/>
    <w:rsid w:val="006A037C"/>
    <w:rsid w:val="006A36F4"/>
    <w:rsid w:val="006A406F"/>
    <w:rsid w:val="006A5D3A"/>
    <w:rsid w:val="006C23D4"/>
    <w:rsid w:val="006C475E"/>
    <w:rsid w:val="006C7BB0"/>
    <w:rsid w:val="006D3237"/>
    <w:rsid w:val="006E2E37"/>
    <w:rsid w:val="006E3CF1"/>
    <w:rsid w:val="006E7E80"/>
    <w:rsid w:val="006F48CA"/>
    <w:rsid w:val="006F64DD"/>
    <w:rsid w:val="00715127"/>
    <w:rsid w:val="00715E8E"/>
    <w:rsid w:val="007172B0"/>
    <w:rsid w:val="0071730F"/>
    <w:rsid w:val="00723580"/>
    <w:rsid w:val="00723755"/>
    <w:rsid w:val="00724AE2"/>
    <w:rsid w:val="0073136C"/>
    <w:rsid w:val="00731F0F"/>
    <w:rsid w:val="00733250"/>
    <w:rsid w:val="00735951"/>
    <w:rsid w:val="00741404"/>
    <w:rsid w:val="007449E5"/>
    <w:rsid w:val="00747FF0"/>
    <w:rsid w:val="00753A75"/>
    <w:rsid w:val="007612E2"/>
    <w:rsid w:val="00764D4E"/>
    <w:rsid w:val="00765A1F"/>
    <w:rsid w:val="00775B6D"/>
    <w:rsid w:val="00776D68"/>
    <w:rsid w:val="007850EE"/>
    <w:rsid w:val="00785B95"/>
    <w:rsid w:val="00790AAD"/>
    <w:rsid w:val="00790E96"/>
    <w:rsid w:val="00793366"/>
    <w:rsid w:val="007971FF"/>
    <w:rsid w:val="007A4070"/>
    <w:rsid w:val="007A716F"/>
    <w:rsid w:val="007B270A"/>
    <w:rsid w:val="007C0695"/>
    <w:rsid w:val="007C419A"/>
    <w:rsid w:val="007C4CC8"/>
    <w:rsid w:val="007C5426"/>
    <w:rsid w:val="007C5798"/>
    <w:rsid w:val="007D4832"/>
    <w:rsid w:val="007E21B2"/>
    <w:rsid w:val="007E2C4E"/>
    <w:rsid w:val="007F1905"/>
    <w:rsid w:val="00801300"/>
    <w:rsid w:val="00802C64"/>
    <w:rsid w:val="0080523A"/>
    <w:rsid w:val="00805E52"/>
    <w:rsid w:val="008061D0"/>
    <w:rsid w:val="00810B38"/>
    <w:rsid w:val="008204C7"/>
    <w:rsid w:val="00820992"/>
    <w:rsid w:val="00823602"/>
    <w:rsid w:val="008255F5"/>
    <w:rsid w:val="0083014E"/>
    <w:rsid w:val="0083214A"/>
    <w:rsid w:val="00834220"/>
    <w:rsid w:val="00845723"/>
    <w:rsid w:val="00851EF9"/>
    <w:rsid w:val="008577FD"/>
    <w:rsid w:val="00860B03"/>
    <w:rsid w:val="0086497A"/>
    <w:rsid w:val="008713A1"/>
    <w:rsid w:val="00873D9C"/>
    <w:rsid w:val="008748BE"/>
    <w:rsid w:val="008754AB"/>
    <w:rsid w:val="00876A02"/>
    <w:rsid w:val="00876F03"/>
    <w:rsid w:val="0088060C"/>
    <w:rsid w:val="00891107"/>
    <w:rsid w:val="00893576"/>
    <w:rsid w:val="00893E73"/>
    <w:rsid w:val="00893F30"/>
    <w:rsid w:val="00895F5B"/>
    <w:rsid w:val="008B02DC"/>
    <w:rsid w:val="008B2698"/>
    <w:rsid w:val="008B57CE"/>
    <w:rsid w:val="008C26DE"/>
    <w:rsid w:val="008D2225"/>
    <w:rsid w:val="008D4752"/>
    <w:rsid w:val="008E271C"/>
    <w:rsid w:val="008E418E"/>
    <w:rsid w:val="008E5BC6"/>
    <w:rsid w:val="008E6A25"/>
    <w:rsid w:val="008E7A1B"/>
    <w:rsid w:val="008F5193"/>
    <w:rsid w:val="009013A7"/>
    <w:rsid w:val="009017FB"/>
    <w:rsid w:val="009017FC"/>
    <w:rsid w:val="009020E3"/>
    <w:rsid w:val="0090506B"/>
    <w:rsid w:val="009050C9"/>
    <w:rsid w:val="009066FC"/>
    <w:rsid w:val="009140A3"/>
    <w:rsid w:val="009144A2"/>
    <w:rsid w:val="0091510C"/>
    <w:rsid w:val="009259AC"/>
    <w:rsid w:val="00926F38"/>
    <w:rsid w:val="00934301"/>
    <w:rsid w:val="00936CD1"/>
    <w:rsid w:val="009375A5"/>
    <w:rsid w:val="00941747"/>
    <w:rsid w:val="00941EFB"/>
    <w:rsid w:val="00947AFB"/>
    <w:rsid w:val="00951D7D"/>
    <w:rsid w:val="009630C7"/>
    <w:rsid w:val="00972B55"/>
    <w:rsid w:val="009743B7"/>
    <w:rsid w:val="00975039"/>
    <w:rsid w:val="00977227"/>
    <w:rsid w:val="0098228B"/>
    <w:rsid w:val="009828DA"/>
    <w:rsid w:val="00985BAB"/>
    <w:rsid w:val="009B1B5F"/>
    <w:rsid w:val="009B6673"/>
    <w:rsid w:val="009C191B"/>
    <w:rsid w:val="009C2BD6"/>
    <w:rsid w:val="009D2F52"/>
    <w:rsid w:val="009E16D2"/>
    <w:rsid w:val="009E1F32"/>
    <w:rsid w:val="009E776C"/>
    <w:rsid w:val="00A132AD"/>
    <w:rsid w:val="00A1726E"/>
    <w:rsid w:val="00A204CF"/>
    <w:rsid w:val="00A21624"/>
    <w:rsid w:val="00A23D49"/>
    <w:rsid w:val="00A27004"/>
    <w:rsid w:val="00A30C29"/>
    <w:rsid w:val="00A34DD6"/>
    <w:rsid w:val="00A36819"/>
    <w:rsid w:val="00A36989"/>
    <w:rsid w:val="00A43628"/>
    <w:rsid w:val="00A43AA3"/>
    <w:rsid w:val="00A4783F"/>
    <w:rsid w:val="00A54192"/>
    <w:rsid w:val="00A6035E"/>
    <w:rsid w:val="00A6144C"/>
    <w:rsid w:val="00A66617"/>
    <w:rsid w:val="00A671F8"/>
    <w:rsid w:val="00A673A4"/>
    <w:rsid w:val="00A724AE"/>
    <w:rsid w:val="00A73329"/>
    <w:rsid w:val="00A75785"/>
    <w:rsid w:val="00A82359"/>
    <w:rsid w:val="00A865D2"/>
    <w:rsid w:val="00A94C20"/>
    <w:rsid w:val="00AA227F"/>
    <w:rsid w:val="00AA3BC7"/>
    <w:rsid w:val="00AA754A"/>
    <w:rsid w:val="00AB099E"/>
    <w:rsid w:val="00AB4328"/>
    <w:rsid w:val="00AB5628"/>
    <w:rsid w:val="00AC00C2"/>
    <w:rsid w:val="00AC5872"/>
    <w:rsid w:val="00AE0A2E"/>
    <w:rsid w:val="00AE354C"/>
    <w:rsid w:val="00AF4B07"/>
    <w:rsid w:val="00AF6186"/>
    <w:rsid w:val="00AF7A3A"/>
    <w:rsid w:val="00B009F4"/>
    <w:rsid w:val="00B160DB"/>
    <w:rsid w:val="00B20836"/>
    <w:rsid w:val="00B235BB"/>
    <w:rsid w:val="00B25320"/>
    <w:rsid w:val="00B25D3B"/>
    <w:rsid w:val="00B27A44"/>
    <w:rsid w:val="00B30BBF"/>
    <w:rsid w:val="00B33C03"/>
    <w:rsid w:val="00B44E56"/>
    <w:rsid w:val="00B46543"/>
    <w:rsid w:val="00B47D33"/>
    <w:rsid w:val="00B52BE0"/>
    <w:rsid w:val="00B54133"/>
    <w:rsid w:val="00B701ED"/>
    <w:rsid w:val="00B751F4"/>
    <w:rsid w:val="00B8086C"/>
    <w:rsid w:val="00B840F7"/>
    <w:rsid w:val="00B861B4"/>
    <w:rsid w:val="00B86DFE"/>
    <w:rsid w:val="00B90990"/>
    <w:rsid w:val="00B922FF"/>
    <w:rsid w:val="00B9281E"/>
    <w:rsid w:val="00B93925"/>
    <w:rsid w:val="00B95187"/>
    <w:rsid w:val="00BA2D55"/>
    <w:rsid w:val="00BA71B1"/>
    <w:rsid w:val="00BB0637"/>
    <w:rsid w:val="00BB345F"/>
    <w:rsid w:val="00BB68EA"/>
    <w:rsid w:val="00BC1C27"/>
    <w:rsid w:val="00BC1F03"/>
    <w:rsid w:val="00BC6BBF"/>
    <w:rsid w:val="00BD1572"/>
    <w:rsid w:val="00BE14E3"/>
    <w:rsid w:val="00BE3774"/>
    <w:rsid w:val="00BE41E5"/>
    <w:rsid w:val="00BF4109"/>
    <w:rsid w:val="00BF4CC3"/>
    <w:rsid w:val="00C00E59"/>
    <w:rsid w:val="00C02BE1"/>
    <w:rsid w:val="00C054C7"/>
    <w:rsid w:val="00C057B5"/>
    <w:rsid w:val="00C22687"/>
    <w:rsid w:val="00C25983"/>
    <w:rsid w:val="00C32E4D"/>
    <w:rsid w:val="00C333A0"/>
    <w:rsid w:val="00C36408"/>
    <w:rsid w:val="00C36A81"/>
    <w:rsid w:val="00C41974"/>
    <w:rsid w:val="00C45616"/>
    <w:rsid w:val="00C53F4A"/>
    <w:rsid w:val="00C54125"/>
    <w:rsid w:val="00C55B54"/>
    <w:rsid w:val="00C6098E"/>
    <w:rsid w:val="00C6152C"/>
    <w:rsid w:val="00C74810"/>
    <w:rsid w:val="00C81ACF"/>
    <w:rsid w:val="00C90D68"/>
    <w:rsid w:val="00C939FE"/>
    <w:rsid w:val="00CA4BDA"/>
    <w:rsid w:val="00CA7C61"/>
    <w:rsid w:val="00CB1F66"/>
    <w:rsid w:val="00CB2951"/>
    <w:rsid w:val="00CD282B"/>
    <w:rsid w:val="00CD4C35"/>
    <w:rsid w:val="00CD7369"/>
    <w:rsid w:val="00CE0B0E"/>
    <w:rsid w:val="00CE3831"/>
    <w:rsid w:val="00D00ABB"/>
    <w:rsid w:val="00D02781"/>
    <w:rsid w:val="00D02EEC"/>
    <w:rsid w:val="00D03551"/>
    <w:rsid w:val="00D06A63"/>
    <w:rsid w:val="00D07E0E"/>
    <w:rsid w:val="00D11478"/>
    <w:rsid w:val="00D15ED0"/>
    <w:rsid w:val="00D21B3E"/>
    <w:rsid w:val="00D21C26"/>
    <w:rsid w:val="00D21FED"/>
    <w:rsid w:val="00D24251"/>
    <w:rsid w:val="00D343E2"/>
    <w:rsid w:val="00D361A2"/>
    <w:rsid w:val="00D44C2E"/>
    <w:rsid w:val="00D45414"/>
    <w:rsid w:val="00D54FF1"/>
    <w:rsid w:val="00D566BD"/>
    <w:rsid w:val="00D57A4D"/>
    <w:rsid w:val="00D60AA7"/>
    <w:rsid w:val="00D62A67"/>
    <w:rsid w:val="00D6435F"/>
    <w:rsid w:val="00D75E28"/>
    <w:rsid w:val="00D772C2"/>
    <w:rsid w:val="00D8008E"/>
    <w:rsid w:val="00D82C45"/>
    <w:rsid w:val="00D908A8"/>
    <w:rsid w:val="00D977B6"/>
    <w:rsid w:val="00DA3634"/>
    <w:rsid w:val="00DA4A31"/>
    <w:rsid w:val="00DA7B04"/>
    <w:rsid w:val="00DB36C2"/>
    <w:rsid w:val="00DB5CBD"/>
    <w:rsid w:val="00DC169B"/>
    <w:rsid w:val="00DC2AB9"/>
    <w:rsid w:val="00DC63F0"/>
    <w:rsid w:val="00DD5382"/>
    <w:rsid w:val="00DD6EE5"/>
    <w:rsid w:val="00DE2362"/>
    <w:rsid w:val="00DE386C"/>
    <w:rsid w:val="00DE4D35"/>
    <w:rsid w:val="00DF098B"/>
    <w:rsid w:val="00DF11C4"/>
    <w:rsid w:val="00DF210C"/>
    <w:rsid w:val="00DF4B6A"/>
    <w:rsid w:val="00E02C09"/>
    <w:rsid w:val="00E04D59"/>
    <w:rsid w:val="00E07DA1"/>
    <w:rsid w:val="00E123CB"/>
    <w:rsid w:val="00E20E13"/>
    <w:rsid w:val="00E21DBC"/>
    <w:rsid w:val="00E275D7"/>
    <w:rsid w:val="00E27873"/>
    <w:rsid w:val="00E27DBE"/>
    <w:rsid w:val="00E32AB1"/>
    <w:rsid w:val="00E36C71"/>
    <w:rsid w:val="00E40404"/>
    <w:rsid w:val="00E459C6"/>
    <w:rsid w:val="00E47589"/>
    <w:rsid w:val="00E64915"/>
    <w:rsid w:val="00E661D4"/>
    <w:rsid w:val="00E70091"/>
    <w:rsid w:val="00E720F5"/>
    <w:rsid w:val="00E76D47"/>
    <w:rsid w:val="00E849F7"/>
    <w:rsid w:val="00E90302"/>
    <w:rsid w:val="00E97396"/>
    <w:rsid w:val="00EA185E"/>
    <w:rsid w:val="00EA592A"/>
    <w:rsid w:val="00EB14E4"/>
    <w:rsid w:val="00EB182B"/>
    <w:rsid w:val="00EB32A5"/>
    <w:rsid w:val="00EB34ED"/>
    <w:rsid w:val="00EB4A37"/>
    <w:rsid w:val="00EB7BE0"/>
    <w:rsid w:val="00EC315E"/>
    <w:rsid w:val="00EC58D1"/>
    <w:rsid w:val="00ED077C"/>
    <w:rsid w:val="00ED1190"/>
    <w:rsid w:val="00ED6544"/>
    <w:rsid w:val="00EE0277"/>
    <w:rsid w:val="00EE255D"/>
    <w:rsid w:val="00EE3E00"/>
    <w:rsid w:val="00EE5DD2"/>
    <w:rsid w:val="00F00A79"/>
    <w:rsid w:val="00F00E86"/>
    <w:rsid w:val="00F07C1E"/>
    <w:rsid w:val="00F105DB"/>
    <w:rsid w:val="00F132BC"/>
    <w:rsid w:val="00F13D80"/>
    <w:rsid w:val="00F16AAA"/>
    <w:rsid w:val="00F21161"/>
    <w:rsid w:val="00F218EF"/>
    <w:rsid w:val="00F21BC7"/>
    <w:rsid w:val="00F266A2"/>
    <w:rsid w:val="00F27D13"/>
    <w:rsid w:val="00F32269"/>
    <w:rsid w:val="00F56A6F"/>
    <w:rsid w:val="00F5709C"/>
    <w:rsid w:val="00F626DA"/>
    <w:rsid w:val="00F64EF1"/>
    <w:rsid w:val="00F659F3"/>
    <w:rsid w:val="00F83589"/>
    <w:rsid w:val="00F8765F"/>
    <w:rsid w:val="00F90767"/>
    <w:rsid w:val="00F9588E"/>
    <w:rsid w:val="00FA685B"/>
    <w:rsid w:val="00FB0C01"/>
    <w:rsid w:val="00FC18F2"/>
    <w:rsid w:val="00FC39E5"/>
    <w:rsid w:val="00FC3A78"/>
    <w:rsid w:val="00FD1005"/>
    <w:rsid w:val="00FD61AA"/>
    <w:rsid w:val="00FD6C75"/>
    <w:rsid w:val="00FD7649"/>
    <w:rsid w:val="00FE71B3"/>
    <w:rsid w:val="00FF42C5"/>
    <w:rsid w:val="00FF5AD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0" w:unhideWhenUsed="1"/>
    <w:lsdException w:name="header" w:semiHidden="1" w:uiPriority="57" w:unhideWhenUsed="1"/>
    <w:lsdException w:name="footer" w:semiHidden="1" w:uiPriority="57"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rsid w:val="00662882"/>
    <w:rPr>
      <w:rFonts w:eastAsiaTheme="minorEastAsia"/>
      <w:sz w:val="24"/>
      <w:lang w:val="fr-FR"/>
    </w:rPr>
  </w:style>
  <w:style w:type="paragraph" w:styleId="Heading1">
    <w:name w:val="heading 1"/>
    <w:basedOn w:val="Normal"/>
    <w:next w:val="Normal"/>
    <w:link w:val="Heading1Char"/>
    <w:uiPriority w:val="99"/>
    <w:semiHidden/>
    <w:rsid w:val="00D21C26"/>
    <w:pPr>
      <w:spacing w:before="480"/>
      <w:contextualSpacing/>
      <w:outlineLvl w:val="0"/>
    </w:pPr>
    <w:rPr>
      <w:rFonts w:asciiTheme="majorHAnsi" w:eastAsiaTheme="majorEastAsia" w:hAnsiTheme="majorHAnsi" w:cstheme="majorBidi"/>
      <w:b/>
      <w:bCs/>
      <w:color w:val="333333"/>
      <w:sz w:val="28"/>
      <w:szCs w:val="28"/>
    </w:rPr>
  </w:style>
  <w:style w:type="paragraph" w:styleId="Heading2">
    <w:name w:val="heading 2"/>
    <w:basedOn w:val="Normal"/>
    <w:next w:val="Normal"/>
    <w:link w:val="Heading2Char"/>
    <w:uiPriority w:val="99"/>
    <w:semiHidden/>
    <w:rsid w:val="00D21C26"/>
    <w:pPr>
      <w:spacing w:before="200"/>
      <w:outlineLvl w:val="1"/>
    </w:pPr>
    <w:rPr>
      <w:rFonts w:asciiTheme="majorHAnsi" w:eastAsiaTheme="majorEastAsia" w:hAnsiTheme="majorHAnsi" w:cstheme="majorBidi"/>
      <w:b/>
      <w:bCs/>
      <w:color w:val="4D4D4D"/>
      <w:sz w:val="26"/>
      <w:szCs w:val="26"/>
    </w:rPr>
  </w:style>
  <w:style w:type="paragraph" w:styleId="Heading3">
    <w:name w:val="heading 3"/>
    <w:basedOn w:val="Normal"/>
    <w:next w:val="Normal"/>
    <w:link w:val="Heading3Char"/>
    <w:uiPriority w:val="99"/>
    <w:semiHidden/>
    <w:rsid w:val="00D21C26"/>
    <w:pPr>
      <w:spacing w:before="200" w:line="271" w:lineRule="auto"/>
      <w:outlineLvl w:val="2"/>
    </w:pPr>
    <w:rPr>
      <w:rFonts w:asciiTheme="majorHAnsi" w:eastAsiaTheme="majorEastAsia" w:hAnsiTheme="majorHAnsi" w:cstheme="majorBidi"/>
      <w:b/>
      <w:bCs/>
      <w:color w:val="5F5F5F"/>
    </w:rPr>
  </w:style>
  <w:style w:type="paragraph" w:styleId="Heading4">
    <w:name w:val="heading 4"/>
    <w:basedOn w:val="Normal"/>
    <w:next w:val="Normal"/>
    <w:link w:val="Heading4Char"/>
    <w:uiPriority w:val="99"/>
    <w:semiHidden/>
    <w:rsid w:val="00D21C26"/>
    <w:pPr>
      <w:spacing w:before="200"/>
      <w:outlineLvl w:val="3"/>
    </w:pPr>
    <w:rPr>
      <w:rFonts w:asciiTheme="majorHAnsi" w:eastAsiaTheme="majorEastAsia" w:hAnsiTheme="majorHAnsi" w:cstheme="majorBidi"/>
      <w:b/>
      <w:bCs/>
      <w:i/>
      <w:iCs/>
      <w:color w:val="777777"/>
    </w:rPr>
  </w:style>
  <w:style w:type="paragraph" w:styleId="Heading5">
    <w:name w:val="heading 5"/>
    <w:basedOn w:val="Normal"/>
    <w:next w:val="Normal"/>
    <w:link w:val="Heading5Char"/>
    <w:uiPriority w:val="99"/>
    <w:semiHidden/>
    <w:qFormat/>
    <w:rsid w:val="00D21C26"/>
    <w:pPr>
      <w:spacing w:before="200"/>
      <w:outlineLvl w:val="4"/>
    </w:pPr>
    <w:rPr>
      <w:rFonts w:asciiTheme="majorHAnsi" w:eastAsiaTheme="majorEastAsia" w:hAnsiTheme="majorHAnsi" w:cstheme="majorBidi"/>
      <w:b/>
      <w:bCs/>
      <w:color w:val="808080"/>
    </w:rPr>
  </w:style>
  <w:style w:type="paragraph" w:styleId="Heading6">
    <w:name w:val="heading 6"/>
    <w:basedOn w:val="Normal"/>
    <w:next w:val="Normal"/>
    <w:link w:val="Heading6Char"/>
    <w:uiPriority w:val="99"/>
    <w:semiHidden/>
    <w:rsid w:val="00D21C26"/>
    <w:pPr>
      <w:spacing w:line="271" w:lineRule="auto"/>
      <w:outlineLvl w:val="5"/>
    </w:pPr>
    <w:rPr>
      <w:rFonts w:asciiTheme="majorHAnsi" w:eastAsiaTheme="majorEastAsia" w:hAnsiTheme="majorHAnsi" w:cstheme="majorBidi"/>
      <w:b/>
      <w:bCs/>
      <w:i/>
      <w:iCs/>
      <w:color w:val="7F7F7F" w:themeColor="text1" w:themeTint="80"/>
      <w:lang w:bidi="en-US"/>
    </w:rPr>
  </w:style>
  <w:style w:type="paragraph" w:styleId="Heading7">
    <w:name w:val="heading 7"/>
    <w:basedOn w:val="Normal"/>
    <w:next w:val="Normal"/>
    <w:link w:val="Heading7Char"/>
    <w:uiPriority w:val="99"/>
    <w:semiHidden/>
    <w:qFormat/>
    <w:rsid w:val="00D21C26"/>
    <w:pPr>
      <w:outlineLvl w:val="6"/>
    </w:pPr>
    <w:rPr>
      <w:rFonts w:asciiTheme="majorHAnsi" w:eastAsiaTheme="majorEastAsia" w:hAnsiTheme="majorHAnsi" w:cstheme="majorBidi"/>
      <w:i/>
      <w:iCs/>
      <w:lang w:bidi="en-US"/>
    </w:rPr>
  </w:style>
  <w:style w:type="paragraph" w:styleId="Heading8">
    <w:name w:val="heading 8"/>
    <w:basedOn w:val="Normal"/>
    <w:next w:val="Normal"/>
    <w:link w:val="Heading8Char"/>
    <w:uiPriority w:val="99"/>
    <w:semiHidden/>
    <w:qFormat/>
    <w:rsid w:val="00D21C26"/>
    <w:pPr>
      <w:outlineLvl w:val="7"/>
    </w:pPr>
    <w:rPr>
      <w:rFonts w:asciiTheme="majorHAnsi" w:eastAsiaTheme="majorEastAsia" w:hAnsiTheme="majorHAnsi" w:cstheme="majorBidi"/>
      <w:sz w:val="20"/>
      <w:szCs w:val="20"/>
      <w:lang w:bidi="en-US"/>
    </w:rPr>
  </w:style>
  <w:style w:type="paragraph" w:styleId="Heading9">
    <w:name w:val="heading 9"/>
    <w:basedOn w:val="Normal"/>
    <w:next w:val="Normal"/>
    <w:link w:val="Heading9Char"/>
    <w:uiPriority w:val="99"/>
    <w:semiHidden/>
    <w:qFormat/>
    <w:rsid w:val="00D21C26"/>
    <w:pPr>
      <w:outlineLvl w:val="8"/>
    </w:pPr>
    <w:rPr>
      <w:rFonts w:asciiTheme="majorHAnsi" w:eastAsiaTheme="majorEastAsia" w:hAnsiTheme="majorHAnsi" w:cstheme="majorBidi"/>
      <w:i/>
      <w:iCs/>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D21C26"/>
    <w:rPr>
      <w:rFonts w:ascii="Tahoma" w:hAnsi="Tahoma" w:cs="Tahoma"/>
      <w:sz w:val="16"/>
      <w:szCs w:val="16"/>
    </w:rPr>
  </w:style>
  <w:style w:type="character" w:customStyle="1" w:styleId="BalloonTextChar">
    <w:name w:val="Balloon Text Char"/>
    <w:basedOn w:val="DefaultParagraphFont"/>
    <w:link w:val="BalloonText"/>
    <w:uiPriority w:val="99"/>
    <w:semiHidden/>
    <w:rsid w:val="00D21C26"/>
    <w:rPr>
      <w:rFonts w:ascii="Tahoma" w:eastAsiaTheme="minorEastAsia" w:hAnsi="Tahoma" w:cs="Tahoma"/>
      <w:sz w:val="16"/>
      <w:szCs w:val="16"/>
      <w:lang w:val="fr-FR"/>
    </w:rPr>
  </w:style>
  <w:style w:type="character" w:styleId="BookTitle">
    <w:name w:val="Book Title"/>
    <w:uiPriority w:val="99"/>
    <w:semiHidden/>
    <w:qFormat/>
    <w:rsid w:val="00D21C26"/>
    <w:rPr>
      <w:i/>
      <w:iCs/>
      <w:smallCaps/>
      <w:spacing w:val="5"/>
    </w:rPr>
  </w:style>
  <w:style w:type="paragraph" w:customStyle="1" w:styleId="JuHeader">
    <w:name w:val="Ju_Header"/>
    <w:aliases w:val="_Header"/>
    <w:basedOn w:val="Header"/>
    <w:uiPriority w:val="29"/>
    <w:qFormat/>
    <w:rsid w:val="00662882"/>
    <w:pPr>
      <w:tabs>
        <w:tab w:val="clear" w:pos="4536"/>
        <w:tab w:val="clear" w:pos="9072"/>
      </w:tabs>
      <w:jc w:val="center"/>
    </w:pPr>
    <w:rPr>
      <w:sz w:val="18"/>
      <w:szCs w:val="24"/>
    </w:rPr>
  </w:style>
  <w:style w:type="paragraph" w:customStyle="1" w:styleId="DecList">
    <w:name w:val="Dec_List"/>
    <w:aliases w:val="_List"/>
    <w:basedOn w:val="JuList"/>
    <w:uiPriority w:val="22"/>
    <w:rsid w:val="00361D45"/>
    <w:pPr>
      <w:numPr>
        <w:numId w:val="0"/>
      </w:numPr>
      <w:ind w:left="284"/>
    </w:pPr>
  </w:style>
  <w:style w:type="character" w:styleId="Strong">
    <w:name w:val="Strong"/>
    <w:uiPriority w:val="99"/>
    <w:semiHidden/>
    <w:qFormat/>
    <w:rsid w:val="00D21C26"/>
    <w:rPr>
      <w:b/>
      <w:bCs/>
    </w:rPr>
  </w:style>
  <w:style w:type="paragraph" w:styleId="NoSpacing">
    <w:name w:val="No Spacing"/>
    <w:basedOn w:val="Normal"/>
    <w:link w:val="NoSpacingChar"/>
    <w:semiHidden/>
    <w:qFormat/>
    <w:rsid w:val="00D21C26"/>
  </w:style>
  <w:style w:type="character" w:customStyle="1" w:styleId="NoSpacingChar">
    <w:name w:val="No Spacing Char"/>
    <w:basedOn w:val="DefaultParagraphFont"/>
    <w:link w:val="NoSpacing"/>
    <w:semiHidden/>
    <w:rsid w:val="00D21C26"/>
    <w:rPr>
      <w:rFonts w:eastAsiaTheme="minorEastAsia"/>
      <w:sz w:val="24"/>
      <w:lang w:val="fr-FR"/>
    </w:rPr>
  </w:style>
  <w:style w:type="paragraph" w:customStyle="1" w:styleId="JuQuot">
    <w:name w:val="Ju_Quot"/>
    <w:aliases w:val="_Quote"/>
    <w:basedOn w:val="NormalJustified"/>
    <w:uiPriority w:val="21"/>
    <w:qFormat/>
    <w:rsid w:val="00D21C26"/>
    <w:pPr>
      <w:spacing w:before="120" w:after="120"/>
      <w:ind w:left="425" w:firstLine="142"/>
    </w:pPr>
    <w:rPr>
      <w:sz w:val="20"/>
    </w:rPr>
  </w:style>
  <w:style w:type="paragraph" w:customStyle="1" w:styleId="JuList">
    <w:name w:val="Ju_List"/>
    <w:aliases w:val="_List_1"/>
    <w:basedOn w:val="NormalJustified"/>
    <w:uiPriority w:val="23"/>
    <w:qFormat/>
    <w:rsid w:val="00D21C26"/>
    <w:pPr>
      <w:numPr>
        <w:numId w:val="2"/>
      </w:numPr>
      <w:spacing w:before="280" w:after="60"/>
    </w:pPr>
    <w:rPr>
      <w:rFonts w:eastAsiaTheme="minorHAnsi"/>
    </w:rPr>
  </w:style>
  <w:style w:type="paragraph" w:customStyle="1" w:styleId="JuLista">
    <w:name w:val="Ju_List_a"/>
    <w:aliases w:val="_List_2"/>
    <w:basedOn w:val="NormalJustified"/>
    <w:uiPriority w:val="23"/>
    <w:rsid w:val="00D21C26"/>
    <w:pPr>
      <w:numPr>
        <w:ilvl w:val="1"/>
        <w:numId w:val="2"/>
      </w:numPr>
    </w:pPr>
  </w:style>
  <w:style w:type="paragraph" w:customStyle="1" w:styleId="JuListi">
    <w:name w:val="Ju_List_i"/>
    <w:aliases w:val="_List_3"/>
    <w:basedOn w:val="NormalJustified"/>
    <w:uiPriority w:val="23"/>
    <w:rsid w:val="00D21C26"/>
    <w:pPr>
      <w:numPr>
        <w:ilvl w:val="2"/>
        <w:numId w:val="2"/>
      </w:numPr>
    </w:pPr>
  </w:style>
  <w:style w:type="paragraph" w:customStyle="1" w:styleId="DecHTitle">
    <w:name w:val="Dec_H_Title"/>
    <w:aliases w:val="_Title_1"/>
    <w:basedOn w:val="JuPara"/>
    <w:next w:val="JuPara"/>
    <w:uiPriority w:val="35"/>
    <w:qFormat/>
    <w:rsid w:val="00D21C26"/>
    <w:pPr>
      <w:keepNext/>
      <w:keepLines/>
      <w:spacing w:after="240"/>
      <w:ind w:firstLine="0"/>
      <w:jc w:val="center"/>
      <w:outlineLvl w:val="0"/>
    </w:pPr>
    <w:rPr>
      <w:rFonts w:asciiTheme="majorHAnsi" w:hAnsiTheme="majorHAnsi"/>
      <w:sz w:val="28"/>
    </w:rPr>
  </w:style>
  <w:style w:type="paragraph" w:customStyle="1" w:styleId="JuHArticle">
    <w:name w:val="Ju_H_Article"/>
    <w:aliases w:val="_Title_Quote"/>
    <w:basedOn w:val="Normal"/>
    <w:next w:val="JuQuot"/>
    <w:uiPriority w:val="20"/>
    <w:qFormat/>
    <w:rsid w:val="00D21C26"/>
    <w:pPr>
      <w:keepNext/>
      <w:spacing w:before="100" w:beforeAutospacing="1" w:after="120"/>
      <w:contextualSpacing/>
      <w:jc w:val="center"/>
    </w:pPr>
    <w:rPr>
      <w:rFonts w:eastAsiaTheme="minorHAnsi"/>
      <w:b/>
      <w:sz w:val="20"/>
    </w:rPr>
  </w:style>
  <w:style w:type="paragraph" w:customStyle="1" w:styleId="Title4">
    <w:name w:val="_Title_4"/>
    <w:basedOn w:val="JuPara"/>
    <w:next w:val="JuPara"/>
    <w:uiPriority w:val="35"/>
    <w:qFormat/>
    <w:rsid w:val="00D21C26"/>
    <w:pPr>
      <w:keepNext/>
      <w:keepLines/>
      <w:tabs>
        <w:tab w:val="right" w:pos="7938"/>
      </w:tabs>
      <w:ind w:firstLine="0"/>
      <w:jc w:val="center"/>
    </w:pPr>
    <w:rPr>
      <w:rFonts w:eastAsiaTheme="minorHAnsi"/>
      <w:i/>
    </w:rPr>
  </w:style>
  <w:style w:type="numbering" w:customStyle="1" w:styleId="ECHRA1StyleBulletedSquare">
    <w:name w:val="ECHR_A1_Style_Bulleted_Square"/>
    <w:basedOn w:val="NoList"/>
    <w:rsid w:val="00D21C26"/>
    <w:pPr>
      <w:numPr>
        <w:numId w:val="6"/>
      </w:numPr>
    </w:pPr>
  </w:style>
  <w:style w:type="paragraph" w:customStyle="1" w:styleId="JuHHead">
    <w:name w:val="Ju_H_Head"/>
    <w:aliases w:val="_Head_1,ECHR_Title_1"/>
    <w:basedOn w:val="Normal"/>
    <w:next w:val="JuPara"/>
    <w:uiPriority w:val="18"/>
    <w:qFormat/>
    <w:rsid w:val="00D21C26"/>
    <w:pPr>
      <w:keepNext/>
      <w:keepLines/>
      <w:numPr>
        <w:numId w:val="1"/>
      </w:numPr>
      <w:spacing w:before="100" w:beforeAutospacing="1" w:after="240"/>
      <w:jc w:val="both"/>
      <w:outlineLvl w:val="0"/>
    </w:pPr>
    <w:rPr>
      <w:caps/>
      <w:sz w:val="28"/>
    </w:rPr>
  </w:style>
  <w:style w:type="numbering" w:customStyle="1" w:styleId="ECHRA1StyleList">
    <w:name w:val="ECHR_A1_Style_List"/>
    <w:basedOn w:val="NoList"/>
    <w:uiPriority w:val="99"/>
    <w:rsid w:val="00D21C26"/>
    <w:pPr>
      <w:numPr>
        <w:numId w:val="7"/>
      </w:numPr>
    </w:pPr>
  </w:style>
  <w:style w:type="paragraph" w:customStyle="1" w:styleId="JuSigned">
    <w:name w:val="Ju_Signed"/>
    <w:aliases w:val="_Signature"/>
    <w:basedOn w:val="Normal"/>
    <w:next w:val="JuPara"/>
    <w:uiPriority w:val="30"/>
    <w:qFormat/>
    <w:rsid w:val="00D21C26"/>
    <w:pPr>
      <w:tabs>
        <w:tab w:val="center" w:pos="851"/>
        <w:tab w:val="center" w:pos="6407"/>
      </w:tabs>
      <w:spacing w:before="720"/>
    </w:pPr>
  </w:style>
  <w:style w:type="paragraph" w:styleId="Title">
    <w:name w:val="Title"/>
    <w:basedOn w:val="Normal"/>
    <w:next w:val="Normal"/>
    <w:link w:val="TitleChar"/>
    <w:uiPriority w:val="99"/>
    <w:semiHidden/>
    <w:qFormat/>
    <w:rsid w:val="00D21C26"/>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leChar">
    <w:name w:val="Title Char"/>
    <w:basedOn w:val="DefaultParagraphFont"/>
    <w:link w:val="Title"/>
    <w:uiPriority w:val="99"/>
    <w:semiHidden/>
    <w:rsid w:val="00D21C26"/>
    <w:rPr>
      <w:rFonts w:asciiTheme="majorHAnsi" w:eastAsiaTheme="majorEastAsia" w:hAnsiTheme="majorHAnsi" w:cstheme="majorBidi"/>
      <w:spacing w:val="5"/>
      <w:sz w:val="52"/>
      <w:szCs w:val="52"/>
      <w:lang w:val="fr-FR" w:bidi="en-US"/>
    </w:rPr>
  </w:style>
  <w:style w:type="numbering" w:customStyle="1" w:styleId="ECHRA1StyleNumberedList">
    <w:name w:val="ECHR_A1_Style_Numbered_List"/>
    <w:basedOn w:val="NoList"/>
    <w:rsid w:val="00D21C26"/>
    <w:pPr>
      <w:numPr>
        <w:numId w:val="8"/>
      </w:numPr>
    </w:pPr>
  </w:style>
  <w:style w:type="table" w:customStyle="1" w:styleId="ECHRTable2019">
    <w:name w:val="ECHR_Table_2019"/>
    <w:basedOn w:val="TableNormal"/>
    <w:uiPriority w:val="99"/>
    <w:rsid w:val="00D21C26"/>
    <w:tblPr>
      <w:tblStyleRowBandSize w:val="1"/>
      <w:tblStyleColBandSize w:val="1"/>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blStylePr w:type="firstRow">
      <w:rPr>
        <w:rFonts w:asciiTheme="majorHAnsi" w:hAnsiTheme="majorHAnsi"/>
        <w:b/>
        <w:i w:val="0"/>
        <w:color w:val="F8F8F8" w:themeColor="background2"/>
        <w:sz w:val="22"/>
      </w:rPr>
      <w:tblPr/>
      <w:trPr>
        <w:tblHeader/>
      </w:tr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F8F8F8" w:themeColor="background2"/>
          <w:tl2br w:val="nil"/>
          <w:tr2bl w:val="nil"/>
        </w:tcBorders>
        <w:shd w:val="clear" w:color="auto" w:fill="5F5F5F" w:themeFill="accent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band2Horz">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single" w:sz="4" w:space="0" w:color="0072BC" w:themeColor="accent1"/>
          <w:insideV w:val="single" w:sz="4" w:space="0" w:color="0072BC" w:themeColor="accent1"/>
          <w:tl2br w:val="nil"/>
          <w:tr2bl w:val="nil"/>
        </w:tcBorders>
        <w:shd w:val="clear" w:color="auto" w:fill="E8E8E8" w:themeFill="text2" w:themeFillTint="66"/>
      </w:tcPr>
    </w:tblStylePr>
  </w:style>
  <w:style w:type="paragraph" w:customStyle="1" w:styleId="Footer">
    <w:name w:val="_Footer"/>
    <w:aliases w:val="Footer_"/>
    <w:basedOn w:val="Footer0"/>
    <w:uiPriority w:val="57"/>
    <w:semiHidden/>
    <w:rsid w:val="00D21C26"/>
    <w:rPr>
      <w:sz w:val="8"/>
    </w:rPr>
  </w:style>
  <w:style w:type="paragraph" w:customStyle="1" w:styleId="JuCourt">
    <w:name w:val="Ju_Court"/>
    <w:basedOn w:val="Normal"/>
    <w:next w:val="Normal"/>
    <w:uiPriority w:val="31"/>
    <w:qFormat/>
    <w:rsid w:val="00D21C26"/>
    <w:pPr>
      <w:tabs>
        <w:tab w:val="left" w:pos="907"/>
        <w:tab w:val="left" w:pos="1701"/>
        <w:tab w:val="right" w:pos="7371"/>
      </w:tabs>
      <w:spacing w:before="240"/>
      <w:ind w:left="397" w:hanging="397"/>
    </w:pPr>
    <w:rPr>
      <w:lang w:bidi="en-US"/>
    </w:rPr>
  </w:style>
  <w:style w:type="paragraph" w:customStyle="1" w:styleId="JuInitialled">
    <w:name w:val="Ju_Initialled"/>
    <w:aliases w:val="_Right"/>
    <w:basedOn w:val="Normal"/>
    <w:uiPriority w:val="30"/>
    <w:qFormat/>
    <w:rsid w:val="00D21C26"/>
    <w:pPr>
      <w:tabs>
        <w:tab w:val="center" w:pos="6407"/>
      </w:tabs>
      <w:spacing w:before="720"/>
      <w:jc w:val="right"/>
    </w:pPr>
  </w:style>
  <w:style w:type="paragraph" w:customStyle="1" w:styleId="JuHIRoman">
    <w:name w:val="Ju_H_I_Roman"/>
    <w:aliases w:val="_Head_2"/>
    <w:basedOn w:val="Normal"/>
    <w:next w:val="JuPara"/>
    <w:uiPriority w:val="19"/>
    <w:qFormat/>
    <w:rsid w:val="00D21C26"/>
    <w:pPr>
      <w:keepNext/>
      <w:keepLines/>
      <w:numPr>
        <w:ilvl w:val="1"/>
        <w:numId w:val="1"/>
      </w:numPr>
      <w:spacing w:before="100" w:beforeAutospacing="1" w:after="240"/>
      <w:jc w:val="both"/>
      <w:outlineLvl w:val="1"/>
    </w:pPr>
    <w:rPr>
      <w:caps/>
    </w:rPr>
  </w:style>
  <w:style w:type="paragraph" w:customStyle="1" w:styleId="JuHA">
    <w:name w:val="Ju_H_A"/>
    <w:aliases w:val="_Head_3"/>
    <w:basedOn w:val="Normal"/>
    <w:next w:val="JuPara"/>
    <w:uiPriority w:val="19"/>
    <w:qFormat/>
    <w:rsid w:val="00D21C26"/>
    <w:pPr>
      <w:keepNext/>
      <w:keepLines/>
      <w:numPr>
        <w:ilvl w:val="2"/>
        <w:numId w:val="1"/>
      </w:numPr>
      <w:spacing w:before="100" w:beforeAutospacing="1" w:after="240"/>
      <w:jc w:val="both"/>
      <w:outlineLvl w:val="2"/>
    </w:pPr>
    <w:rPr>
      <w:b/>
    </w:rPr>
  </w:style>
  <w:style w:type="paragraph" w:customStyle="1" w:styleId="JuH1">
    <w:name w:val="Ju_H_1."/>
    <w:aliases w:val="_Head_4"/>
    <w:basedOn w:val="Normal"/>
    <w:next w:val="JuPara"/>
    <w:uiPriority w:val="19"/>
    <w:rsid w:val="00D21C26"/>
    <w:pPr>
      <w:keepNext/>
      <w:keepLines/>
      <w:numPr>
        <w:ilvl w:val="3"/>
        <w:numId w:val="1"/>
      </w:numPr>
      <w:spacing w:before="100" w:beforeAutospacing="1" w:after="120"/>
      <w:jc w:val="both"/>
      <w:outlineLvl w:val="3"/>
    </w:pPr>
    <w:rPr>
      <w:i/>
    </w:rPr>
  </w:style>
  <w:style w:type="paragraph" w:styleId="Header">
    <w:name w:val="header"/>
    <w:basedOn w:val="Normal"/>
    <w:link w:val="HeaderChar"/>
    <w:uiPriority w:val="57"/>
    <w:semiHidden/>
    <w:rsid w:val="00D21C26"/>
    <w:pPr>
      <w:tabs>
        <w:tab w:val="center" w:pos="4536"/>
        <w:tab w:val="right" w:pos="9072"/>
      </w:tabs>
    </w:pPr>
    <w:rPr>
      <w:rFonts w:eastAsiaTheme="minorHAnsi"/>
    </w:rPr>
  </w:style>
  <w:style w:type="character" w:customStyle="1" w:styleId="HeaderChar">
    <w:name w:val="Header Char"/>
    <w:basedOn w:val="DefaultParagraphFont"/>
    <w:link w:val="Header"/>
    <w:uiPriority w:val="57"/>
    <w:semiHidden/>
    <w:rsid w:val="00D21C26"/>
    <w:rPr>
      <w:sz w:val="24"/>
      <w:lang w:val="fr-FR"/>
    </w:rPr>
  </w:style>
  <w:style w:type="character" w:customStyle="1" w:styleId="Heading1Char">
    <w:name w:val="Heading 1 Char"/>
    <w:basedOn w:val="DefaultParagraphFont"/>
    <w:link w:val="Heading1"/>
    <w:uiPriority w:val="99"/>
    <w:semiHidden/>
    <w:rsid w:val="00D21C26"/>
    <w:rPr>
      <w:rFonts w:asciiTheme="majorHAnsi" w:eastAsiaTheme="majorEastAsia" w:hAnsiTheme="majorHAnsi" w:cstheme="majorBidi"/>
      <w:b/>
      <w:bCs/>
      <w:color w:val="333333"/>
      <w:sz w:val="28"/>
      <w:szCs w:val="28"/>
      <w:lang w:val="fr-FR"/>
    </w:rPr>
  </w:style>
  <w:style w:type="paragraph" w:customStyle="1" w:styleId="JuHa0">
    <w:name w:val="Ju_H_a"/>
    <w:aliases w:val="_Head_5"/>
    <w:basedOn w:val="Normal"/>
    <w:next w:val="JuPara"/>
    <w:uiPriority w:val="19"/>
    <w:rsid w:val="00D21C26"/>
    <w:pPr>
      <w:keepNext/>
      <w:keepLines/>
      <w:numPr>
        <w:ilvl w:val="4"/>
        <w:numId w:val="1"/>
      </w:numPr>
      <w:spacing w:before="100" w:beforeAutospacing="1" w:after="120"/>
      <w:jc w:val="both"/>
      <w:outlineLvl w:val="4"/>
    </w:pPr>
    <w:rPr>
      <w:b/>
      <w:sz w:val="20"/>
    </w:rPr>
  </w:style>
  <w:style w:type="paragraph" w:customStyle="1" w:styleId="JuHi">
    <w:name w:val="Ju_H_i"/>
    <w:aliases w:val="_Head_6"/>
    <w:basedOn w:val="Normal"/>
    <w:next w:val="JuPara"/>
    <w:uiPriority w:val="19"/>
    <w:rsid w:val="00D21C26"/>
    <w:pPr>
      <w:keepNext/>
      <w:keepLines/>
      <w:numPr>
        <w:ilvl w:val="5"/>
        <w:numId w:val="1"/>
      </w:numPr>
      <w:spacing w:before="100" w:beforeAutospacing="1" w:after="120"/>
      <w:jc w:val="both"/>
      <w:outlineLvl w:val="5"/>
    </w:pPr>
    <w:rPr>
      <w:i/>
      <w:sz w:val="20"/>
    </w:rPr>
  </w:style>
  <w:style w:type="character" w:customStyle="1" w:styleId="Heading2Char">
    <w:name w:val="Heading 2 Char"/>
    <w:basedOn w:val="DefaultParagraphFont"/>
    <w:link w:val="Heading2"/>
    <w:uiPriority w:val="99"/>
    <w:semiHidden/>
    <w:rsid w:val="00D21C26"/>
    <w:rPr>
      <w:rFonts w:asciiTheme="majorHAnsi" w:eastAsiaTheme="majorEastAsia" w:hAnsiTheme="majorHAnsi" w:cstheme="majorBidi"/>
      <w:b/>
      <w:bCs/>
      <w:color w:val="4D4D4D"/>
      <w:sz w:val="26"/>
      <w:szCs w:val="26"/>
      <w:lang w:val="fr-FR"/>
    </w:rPr>
  </w:style>
  <w:style w:type="paragraph" w:customStyle="1" w:styleId="JuHalpha">
    <w:name w:val="Ju_H_alpha"/>
    <w:aliases w:val="_Head_7"/>
    <w:basedOn w:val="Normal"/>
    <w:next w:val="JuPara"/>
    <w:uiPriority w:val="19"/>
    <w:rsid w:val="00D21C26"/>
    <w:pPr>
      <w:keepNext/>
      <w:keepLines/>
      <w:numPr>
        <w:ilvl w:val="6"/>
        <w:numId w:val="1"/>
      </w:numPr>
      <w:spacing w:before="100" w:beforeAutospacing="1" w:after="120"/>
      <w:jc w:val="both"/>
      <w:outlineLvl w:val="6"/>
    </w:pPr>
    <w:rPr>
      <w:sz w:val="20"/>
    </w:rPr>
  </w:style>
  <w:style w:type="paragraph" w:customStyle="1" w:styleId="JuH">
    <w:name w:val="Ju_H_–"/>
    <w:aliases w:val="_Head_8"/>
    <w:basedOn w:val="Normal"/>
    <w:next w:val="JuPara"/>
    <w:uiPriority w:val="19"/>
    <w:rsid w:val="00D21C26"/>
    <w:pPr>
      <w:keepNext/>
      <w:keepLines/>
      <w:numPr>
        <w:ilvl w:val="7"/>
        <w:numId w:val="1"/>
      </w:numPr>
      <w:spacing w:before="100" w:beforeAutospacing="1" w:after="120"/>
      <w:jc w:val="both"/>
      <w:outlineLvl w:val="7"/>
    </w:pPr>
    <w:rPr>
      <w:i/>
      <w:sz w:val="20"/>
    </w:rPr>
  </w:style>
  <w:style w:type="character" w:customStyle="1" w:styleId="Heading3Char">
    <w:name w:val="Heading 3 Char"/>
    <w:basedOn w:val="DefaultParagraphFont"/>
    <w:link w:val="Heading3"/>
    <w:uiPriority w:val="99"/>
    <w:semiHidden/>
    <w:rsid w:val="00D21C26"/>
    <w:rPr>
      <w:rFonts w:asciiTheme="majorHAnsi" w:eastAsiaTheme="majorEastAsia" w:hAnsiTheme="majorHAnsi" w:cstheme="majorBidi"/>
      <w:b/>
      <w:bCs/>
      <w:color w:val="5F5F5F"/>
      <w:sz w:val="24"/>
      <w:lang w:val="fr-FR"/>
    </w:rPr>
  </w:style>
  <w:style w:type="paragraph" w:customStyle="1" w:styleId="JuParaLast">
    <w:name w:val="Ju_Para_Last"/>
    <w:aliases w:val="_Para_Spaced"/>
    <w:basedOn w:val="NormalJustified"/>
    <w:uiPriority w:val="9"/>
    <w:qFormat/>
    <w:rsid w:val="00D21C26"/>
    <w:pPr>
      <w:keepNext/>
      <w:keepLines/>
      <w:spacing w:before="240" w:after="240"/>
      <w:ind w:firstLine="284"/>
    </w:pPr>
    <w:rPr>
      <w:rFonts w:eastAsiaTheme="minorHAnsi"/>
    </w:rPr>
  </w:style>
  <w:style w:type="paragraph" w:customStyle="1" w:styleId="JuJudges">
    <w:name w:val="Ju_Judges"/>
    <w:basedOn w:val="Normal"/>
    <w:uiPriority w:val="28"/>
    <w:qFormat/>
    <w:rsid w:val="00D21C26"/>
    <w:pPr>
      <w:tabs>
        <w:tab w:val="left" w:pos="567"/>
        <w:tab w:val="left" w:pos="1134"/>
      </w:tabs>
    </w:pPr>
  </w:style>
  <w:style w:type="character" w:customStyle="1" w:styleId="Heading4Char">
    <w:name w:val="Heading 4 Char"/>
    <w:basedOn w:val="DefaultParagraphFont"/>
    <w:link w:val="Heading4"/>
    <w:uiPriority w:val="99"/>
    <w:semiHidden/>
    <w:rsid w:val="00D21C26"/>
    <w:rPr>
      <w:rFonts w:asciiTheme="majorHAnsi" w:eastAsiaTheme="majorEastAsia" w:hAnsiTheme="majorHAnsi" w:cstheme="majorBidi"/>
      <w:b/>
      <w:bCs/>
      <w:i/>
      <w:iCs/>
      <w:color w:val="777777"/>
      <w:sz w:val="24"/>
      <w:lang w:val="fr-FR"/>
    </w:rPr>
  </w:style>
  <w:style w:type="character" w:customStyle="1" w:styleId="JuITMark">
    <w:name w:val="Ju_ITMark"/>
    <w:basedOn w:val="DefaultParagraphFont"/>
    <w:uiPriority w:val="38"/>
    <w:semiHidden/>
    <w:qFormat/>
    <w:rsid w:val="00D21C26"/>
    <w:rPr>
      <w:vanish w:val="0"/>
      <w:color w:val="auto"/>
      <w:sz w:val="14"/>
      <w:bdr w:val="none" w:sz="0" w:space="0" w:color="auto"/>
      <w:shd w:val="clear" w:color="auto" w:fill="BEE5FF" w:themeFill="background1" w:themeFillTint="33"/>
    </w:rPr>
  </w:style>
  <w:style w:type="character" w:customStyle="1" w:styleId="Heading5Char">
    <w:name w:val="Heading 5 Char"/>
    <w:basedOn w:val="DefaultParagraphFont"/>
    <w:link w:val="Heading5"/>
    <w:uiPriority w:val="99"/>
    <w:semiHidden/>
    <w:rsid w:val="00D21C26"/>
    <w:rPr>
      <w:rFonts w:asciiTheme="majorHAnsi" w:eastAsiaTheme="majorEastAsia" w:hAnsiTheme="majorHAnsi" w:cstheme="majorBidi"/>
      <w:b/>
      <w:bCs/>
      <w:color w:val="808080"/>
      <w:sz w:val="24"/>
      <w:lang w:val="fr-FR"/>
    </w:rPr>
  </w:style>
  <w:style w:type="character" w:customStyle="1" w:styleId="JUNAMES">
    <w:name w:val="JU_NAMES"/>
    <w:uiPriority w:val="34"/>
    <w:qFormat/>
    <w:rsid w:val="00D21C26"/>
    <w:rPr>
      <w:caps w:val="0"/>
      <w:smallCaps/>
    </w:rPr>
  </w:style>
  <w:style w:type="paragraph" w:customStyle="1" w:styleId="NormalJustified">
    <w:name w:val="Normal_Justified"/>
    <w:basedOn w:val="Normal"/>
    <w:semiHidden/>
    <w:rsid w:val="00D21C26"/>
    <w:pPr>
      <w:jc w:val="both"/>
    </w:pPr>
  </w:style>
  <w:style w:type="character" w:styleId="SubtleEmphasis">
    <w:name w:val="Subtle Emphasis"/>
    <w:uiPriority w:val="99"/>
    <w:semiHidden/>
    <w:qFormat/>
    <w:rsid w:val="00D21C26"/>
    <w:rPr>
      <w:i/>
      <w:iCs/>
    </w:rPr>
  </w:style>
  <w:style w:type="table" w:customStyle="1" w:styleId="ECHRTable">
    <w:name w:val="ECHR_Table"/>
    <w:basedOn w:val="TableNormal"/>
    <w:rsid w:val="00860B03"/>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leNormal"/>
    <w:rsid w:val="00D21C26"/>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character" w:styleId="Emphasis">
    <w:name w:val="Emphasis"/>
    <w:uiPriority w:val="99"/>
    <w:semiHidden/>
    <w:qFormat/>
    <w:rsid w:val="00D21C26"/>
    <w:rPr>
      <w:b/>
      <w:bCs/>
      <w:i/>
      <w:iCs/>
      <w:spacing w:val="10"/>
      <w:bdr w:val="none" w:sz="0" w:space="0" w:color="auto"/>
      <w:shd w:val="clear" w:color="auto" w:fill="auto"/>
    </w:rPr>
  </w:style>
  <w:style w:type="paragraph" w:styleId="Footer0">
    <w:name w:val="footer"/>
    <w:basedOn w:val="Normal"/>
    <w:link w:val="FooterChar"/>
    <w:uiPriority w:val="57"/>
    <w:semiHidden/>
    <w:rsid w:val="00D21C26"/>
    <w:pPr>
      <w:tabs>
        <w:tab w:val="center" w:pos="4536"/>
        <w:tab w:val="right" w:pos="9696"/>
      </w:tabs>
      <w:ind w:left="-680" w:right="-680"/>
    </w:pPr>
    <w:rPr>
      <w:rFonts w:eastAsiaTheme="minorHAnsi"/>
    </w:rPr>
  </w:style>
  <w:style w:type="character" w:customStyle="1" w:styleId="FooterChar">
    <w:name w:val="Footer Char"/>
    <w:basedOn w:val="DefaultParagraphFont"/>
    <w:link w:val="Footer0"/>
    <w:uiPriority w:val="57"/>
    <w:semiHidden/>
    <w:rsid w:val="00D21C26"/>
    <w:rPr>
      <w:sz w:val="24"/>
      <w:lang w:val="fr-FR"/>
    </w:rPr>
  </w:style>
  <w:style w:type="character" w:styleId="FootnoteReference">
    <w:name w:val="footnote reference"/>
    <w:basedOn w:val="DefaultParagraphFont"/>
    <w:uiPriority w:val="99"/>
    <w:semiHidden/>
    <w:rsid w:val="00D21C26"/>
    <w:rPr>
      <w:vertAlign w:val="superscript"/>
    </w:rPr>
  </w:style>
  <w:style w:type="paragraph" w:styleId="FootnoteText">
    <w:name w:val="footnote text"/>
    <w:basedOn w:val="Normal"/>
    <w:link w:val="FootnoteTextChar"/>
    <w:uiPriority w:val="99"/>
    <w:semiHidden/>
    <w:rsid w:val="00D21C26"/>
    <w:rPr>
      <w:sz w:val="20"/>
      <w:szCs w:val="20"/>
    </w:rPr>
  </w:style>
  <w:style w:type="character" w:customStyle="1" w:styleId="FootnoteTextChar">
    <w:name w:val="Footnote Text Char"/>
    <w:basedOn w:val="DefaultParagraphFont"/>
    <w:link w:val="FootnoteText"/>
    <w:uiPriority w:val="99"/>
    <w:semiHidden/>
    <w:rsid w:val="00D21C26"/>
    <w:rPr>
      <w:rFonts w:eastAsiaTheme="minorEastAsia"/>
      <w:sz w:val="20"/>
      <w:szCs w:val="20"/>
      <w:lang w:val="fr-FR"/>
    </w:rPr>
  </w:style>
  <w:style w:type="character" w:customStyle="1" w:styleId="Heading6Char">
    <w:name w:val="Heading 6 Char"/>
    <w:basedOn w:val="DefaultParagraphFont"/>
    <w:link w:val="Heading6"/>
    <w:uiPriority w:val="99"/>
    <w:semiHidden/>
    <w:rsid w:val="00D21C26"/>
    <w:rPr>
      <w:rFonts w:asciiTheme="majorHAnsi" w:eastAsiaTheme="majorEastAsia" w:hAnsiTheme="majorHAnsi" w:cstheme="majorBidi"/>
      <w:b/>
      <w:bCs/>
      <w:i/>
      <w:iCs/>
      <w:color w:val="7F7F7F" w:themeColor="text1" w:themeTint="80"/>
      <w:sz w:val="24"/>
      <w:lang w:val="fr-FR" w:bidi="en-US"/>
    </w:rPr>
  </w:style>
  <w:style w:type="character" w:customStyle="1" w:styleId="Heading7Char">
    <w:name w:val="Heading 7 Char"/>
    <w:basedOn w:val="DefaultParagraphFont"/>
    <w:link w:val="Heading7"/>
    <w:uiPriority w:val="99"/>
    <w:semiHidden/>
    <w:rsid w:val="00D21C26"/>
    <w:rPr>
      <w:rFonts w:asciiTheme="majorHAnsi" w:eastAsiaTheme="majorEastAsia" w:hAnsiTheme="majorHAnsi" w:cstheme="majorBidi"/>
      <w:i/>
      <w:iCs/>
      <w:sz w:val="24"/>
      <w:lang w:val="fr-FR" w:bidi="en-US"/>
    </w:rPr>
  </w:style>
  <w:style w:type="character" w:customStyle="1" w:styleId="Heading8Char">
    <w:name w:val="Heading 8 Char"/>
    <w:basedOn w:val="DefaultParagraphFont"/>
    <w:link w:val="Heading8"/>
    <w:uiPriority w:val="99"/>
    <w:semiHidden/>
    <w:rsid w:val="00D21C26"/>
    <w:rPr>
      <w:rFonts w:asciiTheme="majorHAnsi" w:eastAsiaTheme="majorEastAsia" w:hAnsiTheme="majorHAnsi" w:cstheme="majorBidi"/>
      <w:sz w:val="20"/>
      <w:szCs w:val="20"/>
      <w:lang w:val="fr-FR" w:bidi="en-US"/>
    </w:rPr>
  </w:style>
  <w:style w:type="character" w:customStyle="1" w:styleId="Heading9Char">
    <w:name w:val="Heading 9 Char"/>
    <w:basedOn w:val="DefaultParagraphFont"/>
    <w:link w:val="Heading9"/>
    <w:uiPriority w:val="99"/>
    <w:semiHidden/>
    <w:rsid w:val="00D21C26"/>
    <w:rPr>
      <w:rFonts w:asciiTheme="majorHAnsi" w:eastAsiaTheme="majorEastAsia" w:hAnsiTheme="majorHAnsi" w:cstheme="majorBidi"/>
      <w:i/>
      <w:iCs/>
      <w:spacing w:val="5"/>
      <w:sz w:val="20"/>
      <w:szCs w:val="20"/>
      <w:lang w:val="fr-FR" w:bidi="en-US"/>
    </w:rPr>
  </w:style>
  <w:style w:type="character" w:styleId="Hyperlink">
    <w:name w:val="Hyperlink"/>
    <w:basedOn w:val="DefaultParagraphFont"/>
    <w:uiPriority w:val="99"/>
    <w:semiHidden/>
    <w:rsid w:val="00D21C26"/>
    <w:rPr>
      <w:color w:val="0072BC" w:themeColor="hyperlink"/>
      <w:u w:val="single"/>
    </w:rPr>
  </w:style>
  <w:style w:type="character" w:styleId="IntenseEmphasis">
    <w:name w:val="Intense Emphasis"/>
    <w:uiPriority w:val="99"/>
    <w:semiHidden/>
    <w:qFormat/>
    <w:rsid w:val="00D21C26"/>
    <w:rPr>
      <w:b/>
      <w:bCs/>
    </w:rPr>
  </w:style>
  <w:style w:type="paragraph" w:styleId="IntenseQuote">
    <w:name w:val="Intense Quote"/>
    <w:basedOn w:val="Normal"/>
    <w:next w:val="Normal"/>
    <w:link w:val="IntenseQuoteChar"/>
    <w:uiPriority w:val="99"/>
    <w:semiHidden/>
    <w:qFormat/>
    <w:rsid w:val="00D21C26"/>
    <w:pPr>
      <w:pBdr>
        <w:bottom w:val="single" w:sz="4" w:space="1" w:color="auto"/>
      </w:pBdr>
      <w:spacing w:before="200" w:after="280"/>
      <w:ind w:left="1008" w:right="1152"/>
    </w:pPr>
    <w:rPr>
      <w:b/>
      <w:bCs/>
      <w:i/>
      <w:iCs/>
      <w:lang w:bidi="en-US"/>
    </w:rPr>
  </w:style>
  <w:style w:type="character" w:customStyle="1" w:styleId="IntenseQuoteChar">
    <w:name w:val="Intense Quote Char"/>
    <w:basedOn w:val="DefaultParagraphFont"/>
    <w:link w:val="IntenseQuote"/>
    <w:uiPriority w:val="99"/>
    <w:semiHidden/>
    <w:rsid w:val="00D21C26"/>
    <w:rPr>
      <w:rFonts w:eastAsiaTheme="minorEastAsia"/>
      <w:b/>
      <w:bCs/>
      <w:i/>
      <w:iCs/>
      <w:sz w:val="24"/>
      <w:lang w:val="fr-FR" w:bidi="en-US"/>
    </w:rPr>
  </w:style>
  <w:style w:type="character" w:styleId="IntenseReference">
    <w:name w:val="Intense Reference"/>
    <w:uiPriority w:val="99"/>
    <w:semiHidden/>
    <w:qFormat/>
    <w:rsid w:val="00D21C26"/>
    <w:rPr>
      <w:smallCaps/>
      <w:spacing w:val="5"/>
      <w:u w:val="single"/>
    </w:rPr>
  </w:style>
  <w:style w:type="paragraph" w:styleId="ListParagraph">
    <w:name w:val="List Paragraph"/>
    <w:basedOn w:val="Normal"/>
    <w:uiPriority w:val="99"/>
    <w:semiHidden/>
    <w:qFormat/>
    <w:rsid w:val="00D21C26"/>
    <w:pPr>
      <w:ind w:left="720"/>
      <w:contextualSpacing/>
    </w:pPr>
  </w:style>
  <w:style w:type="table" w:customStyle="1" w:styleId="LtrTableAddress">
    <w:name w:val="Ltr_Table_Address"/>
    <w:basedOn w:val="TableNormal"/>
    <w:uiPriority w:val="99"/>
    <w:rsid w:val="001E6F32"/>
    <w:tblPr>
      <w:tblInd w:w="5103" w:type="dxa"/>
    </w:tblPr>
  </w:style>
  <w:style w:type="paragraph" w:styleId="Quote">
    <w:name w:val="Quote"/>
    <w:basedOn w:val="Normal"/>
    <w:next w:val="Normal"/>
    <w:link w:val="QuoteChar"/>
    <w:uiPriority w:val="99"/>
    <w:semiHidden/>
    <w:qFormat/>
    <w:rsid w:val="00D21C26"/>
    <w:pPr>
      <w:spacing w:before="200"/>
      <w:ind w:left="360" w:right="360"/>
    </w:pPr>
    <w:rPr>
      <w:i/>
      <w:iCs/>
      <w:lang w:bidi="en-US"/>
    </w:rPr>
  </w:style>
  <w:style w:type="character" w:customStyle="1" w:styleId="QuoteChar">
    <w:name w:val="Quote Char"/>
    <w:basedOn w:val="DefaultParagraphFont"/>
    <w:link w:val="Quote"/>
    <w:uiPriority w:val="99"/>
    <w:semiHidden/>
    <w:rsid w:val="00D21C26"/>
    <w:rPr>
      <w:rFonts w:eastAsiaTheme="minorEastAsia"/>
      <w:i/>
      <w:iCs/>
      <w:sz w:val="24"/>
      <w:lang w:val="fr-FR" w:bidi="en-US"/>
    </w:rPr>
  </w:style>
  <w:style w:type="character" w:styleId="SubtleReference">
    <w:name w:val="Subtle Reference"/>
    <w:uiPriority w:val="99"/>
    <w:semiHidden/>
    <w:qFormat/>
    <w:rsid w:val="00D21C26"/>
    <w:rPr>
      <w:smallCaps/>
    </w:rPr>
  </w:style>
  <w:style w:type="table" w:styleId="TableGrid">
    <w:name w:val="Table Grid"/>
    <w:basedOn w:val="TableNormal"/>
    <w:uiPriority w:val="59"/>
    <w:semiHidden/>
    <w:rsid w:val="00D21C26"/>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99"/>
    <w:semiHidden/>
    <w:rsid w:val="00D21C26"/>
    <w:pPr>
      <w:keepNext/>
      <w:tabs>
        <w:tab w:val="right" w:leader="dot" w:pos="7371"/>
      </w:tabs>
      <w:spacing w:before="160" w:after="60" w:line="240" w:lineRule="exact"/>
      <w:ind w:left="340" w:right="567" w:hanging="340"/>
    </w:pPr>
    <w:rPr>
      <w:b/>
      <w:sz w:val="22"/>
    </w:rPr>
  </w:style>
  <w:style w:type="paragraph" w:styleId="TOC2">
    <w:name w:val="toc 2"/>
    <w:basedOn w:val="Normal"/>
    <w:next w:val="Normal"/>
    <w:autoRedefine/>
    <w:uiPriority w:val="99"/>
    <w:semiHidden/>
    <w:rsid w:val="00D21C26"/>
    <w:pPr>
      <w:keepNext/>
      <w:tabs>
        <w:tab w:val="right" w:leader="dot" w:pos="7371"/>
      </w:tabs>
      <w:spacing w:after="60" w:line="240" w:lineRule="exact"/>
      <w:ind w:left="680" w:right="567" w:hanging="340"/>
    </w:pPr>
    <w:rPr>
      <w:sz w:val="22"/>
    </w:rPr>
  </w:style>
  <w:style w:type="paragraph" w:styleId="TOC3">
    <w:name w:val="toc 3"/>
    <w:basedOn w:val="Normal"/>
    <w:next w:val="Normal"/>
    <w:autoRedefine/>
    <w:uiPriority w:val="99"/>
    <w:semiHidden/>
    <w:rsid w:val="00D21C26"/>
    <w:pPr>
      <w:keepNext/>
      <w:tabs>
        <w:tab w:val="right" w:leader="dot" w:pos="7371"/>
      </w:tabs>
      <w:spacing w:after="60" w:line="240" w:lineRule="exact"/>
      <w:ind w:left="1020" w:right="567" w:hanging="340"/>
    </w:pPr>
    <w:rPr>
      <w:sz w:val="20"/>
    </w:rPr>
  </w:style>
  <w:style w:type="paragraph" w:styleId="TOC4">
    <w:name w:val="toc 4"/>
    <w:basedOn w:val="Normal"/>
    <w:next w:val="Normal"/>
    <w:autoRedefine/>
    <w:uiPriority w:val="99"/>
    <w:semiHidden/>
    <w:rsid w:val="00D21C26"/>
    <w:pPr>
      <w:tabs>
        <w:tab w:val="right" w:leader="dot" w:pos="7371"/>
      </w:tabs>
      <w:spacing w:after="60" w:line="240" w:lineRule="exact"/>
      <w:ind w:left="1361" w:right="567" w:hanging="340"/>
    </w:pPr>
    <w:rPr>
      <w:sz w:val="20"/>
    </w:rPr>
  </w:style>
  <w:style w:type="paragraph" w:styleId="TOC5">
    <w:name w:val="toc 5"/>
    <w:basedOn w:val="Normal"/>
    <w:next w:val="Normal"/>
    <w:autoRedefine/>
    <w:uiPriority w:val="99"/>
    <w:semiHidden/>
    <w:rsid w:val="00D21C26"/>
    <w:pPr>
      <w:tabs>
        <w:tab w:val="right" w:leader="dot" w:pos="7371"/>
      </w:tabs>
      <w:spacing w:after="60" w:line="240" w:lineRule="exact"/>
      <w:ind w:left="1701" w:right="567" w:hanging="340"/>
    </w:pPr>
    <w:rPr>
      <w:sz w:val="20"/>
    </w:rPr>
  </w:style>
  <w:style w:type="paragraph" w:styleId="TOCHeading">
    <w:name w:val="TOC Heading"/>
    <w:basedOn w:val="Normal"/>
    <w:next w:val="Normal"/>
    <w:uiPriority w:val="99"/>
    <w:semiHidden/>
    <w:qFormat/>
    <w:rsid w:val="00D21C26"/>
    <w:pPr>
      <w:keepNext/>
      <w:keepLines/>
      <w:spacing w:before="240"/>
      <w:contextualSpacing/>
      <w:jc w:val="center"/>
    </w:pPr>
    <w:rPr>
      <w:rFonts w:asciiTheme="majorHAnsi" w:eastAsiaTheme="minorHAnsi" w:hAnsiTheme="majorHAnsi"/>
      <w:b/>
      <w:color w:val="474747" w:themeColor="accent3" w:themeShade="BF"/>
      <w:sz w:val="28"/>
    </w:rPr>
  </w:style>
  <w:style w:type="table" w:customStyle="1" w:styleId="UGTable">
    <w:name w:val="UG_Table"/>
    <w:basedOn w:val="TableNormal"/>
    <w:uiPriority w:val="99"/>
    <w:rsid w:val="00801300"/>
    <w:rPr>
      <w:rFonts w:eastAsiaTheme="minorEastAsia"/>
      <w:sz w:val="20"/>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TableNormal"/>
    <w:uiPriority w:val="99"/>
    <w:rsid w:val="00801300"/>
    <w:rPr>
      <w:rFonts w:eastAsiaTheme="minorEastAsia"/>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TableNormal"/>
    <w:uiPriority w:val="99"/>
    <w:rsid w:val="00810B38"/>
    <w:rPr>
      <w:color w:val="000000" w:themeColor="text1"/>
      <w:sz w:val="18"/>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leNormal"/>
    <w:uiPriority w:val="99"/>
    <w:rsid w:val="00D21C26"/>
    <w:rPr>
      <w:color w:val="000000" w:themeColor="text1"/>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leNormal"/>
    <w:uiPriority w:val="99"/>
    <w:rsid w:val="00D21C26"/>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aliases w:val="DN_Table"/>
    <w:basedOn w:val="TableNormal"/>
    <w:uiPriority w:val="99"/>
    <w:rsid w:val="00D21C26"/>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OAHeading">
    <w:name w:val="toa heading"/>
    <w:basedOn w:val="Normal"/>
    <w:next w:val="Normal"/>
    <w:uiPriority w:val="99"/>
    <w:semiHidden/>
    <w:rsid w:val="00D21C26"/>
    <w:pPr>
      <w:keepNext/>
      <w:keepLines/>
      <w:spacing w:before="240"/>
      <w:contextualSpacing/>
      <w:jc w:val="center"/>
    </w:pPr>
    <w:rPr>
      <w:rFonts w:asciiTheme="majorHAnsi" w:eastAsiaTheme="majorEastAsia" w:hAnsiTheme="majorHAnsi" w:cstheme="majorBidi"/>
      <w:b/>
      <w:bCs/>
      <w:color w:val="474747" w:themeColor="accent3" w:themeShade="BF"/>
      <w:sz w:val="28"/>
      <w:szCs w:val="24"/>
    </w:rPr>
  </w:style>
  <w:style w:type="paragraph" w:styleId="Subtitle">
    <w:name w:val="Subtitle"/>
    <w:basedOn w:val="Normal"/>
    <w:next w:val="Normal"/>
    <w:link w:val="SubtitleChar"/>
    <w:uiPriority w:val="99"/>
    <w:semiHidden/>
    <w:qFormat/>
    <w:rsid w:val="00D21C26"/>
    <w:pPr>
      <w:spacing w:after="600"/>
    </w:pPr>
    <w:rPr>
      <w:rFonts w:asciiTheme="majorHAnsi" w:eastAsiaTheme="majorEastAsia" w:hAnsiTheme="majorHAnsi" w:cstheme="majorBidi"/>
      <w:i/>
      <w:iCs/>
      <w:spacing w:val="13"/>
      <w:szCs w:val="24"/>
      <w:lang w:bidi="en-US"/>
    </w:rPr>
  </w:style>
  <w:style w:type="character" w:customStyle="1" w:styleId="SubtitleChar">
    <w:name w:val="Subtitle Char"/>
    <w:basedOn w:val="DefaultParagraphFont"/>
    <w:link w:val="Subtitle"/>
    <w:uiPriority w:val="99"/>
    <w:semiHidden/>
    <w:rsid w:val="00D21C26"/>
    <w:rPr>
      <w:rFonts w:asciiTheme="majorHAnsi" w:eastAsiaTheme="majorEastAsia" w:hAnsiTheme="majorHAnsi" w:cstheme="majorBidi"/>
      <w:i/>
      <w:iCs/>
      <w:spacing w:val="13"/>
      <w:sz w:val="24"/>
      <w:szCs w:val="24"/>
      <w:lang w:val="fr-FR" w:bidi="en-US"/>
    </w:rPr>
  </w:style>
  <w:style w:type="numbering" w:styleId="111111">
    <w:name w:val="Outline List 2"/>
    <w:basedOn w:val="NoList"/>
    <w:uiPriority w:val="99"/>
    <w:semiHidden/>
    <w:unhideWhenUsed/>
    <w:rsid w:val="00D21C26"/>
    <w:pPr>
      <w:numPr>
        <w:numId w:val="3"/>
      </w:numPr>
    </w:pPr>
  </w:style>
  <w:style w:type="paragraph" w:customStyle="1" w:styleId="JuPara">
    <w:name w:val="Ju_Para"/>
    <w:aliases w:val="_Para"/>
    <w:basedOn w:val="NormalJustified"/>
    <w:link w:val="JuParaChar"/>
    <w:uiPriority w:val="8"/>
    <w:qFormat/>
    <w:rsid w:val="00D21C26"/>
    <w:pPr>
      <w:ind w:firstLine="284"/>
    </w:pPr>
  </w:style>
  <w:style w:type="numbering" w:styleId="1ai">
    <w:name w:val="Outline List 1"/>
    <w:basedOn w:val="NoList"/>
    <w:uiPriority w:val="99"/>
    <w:semiHidden/>
    <w:unhideWhenUsed/>
    <w:rsid w:val="00D21C26"/>
    <w:pPr>
      <w:numPr>
        <w:numId w:val="4"/>
      </w:numPr>
    </w:pPr>
  </w:style>
  <w:style w:type="table" w:customStyle="1" w:styleId="ECHRTableSimpleBox">
    <w:name w:val="ECHR_Table_Simple_Box"/>
    <w:basedOn w:val="TableNormal"/>
    <w:uiPriority w:val="99"/>
    <w:rsid w:val="00D21C26"/>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leNormal"/>
    <w:uiPriority w:val="99"/>
    <w:rsid w:val="00D21C26"/>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numbering" w:styleId="ArticleSection">
    <w:name w:val="Outline List 3"/>
    <w:basedOn w:val="NoList"/>
    <w:uiPriority w:val="99"/>
    <w:semiHidden/>
    <w:unhideWhenUsed/>
    <w:rsid w:val="00D21C26"/>
    <w:pPr>
      <w:numPr>
        <w:numId w:val="5"/>
      </w:numPr>
    </w:pPr>
  </w:style>
  <w:style w:type="table" w:customStyle="1" w:styleId="ECHRTableForInternalUse">
    <w:name w:val="ECHR_Table_For_Internal_Use"/>
    <w:basedOn w:val="TableNormal"/>
    <w:uiPriority w:val="99"/>
    <w:rsid w:val="00D21C26"/>
    <w:rPr>
      <w:color w:val="636363" w:themeColor="text2" w:themeShade="80"/>
      <w:sz w:val="18"/>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leNormal"/>
    <w:uiPriority w:val="99"/>
    <w:rsid w:val="00893F30"/>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paragraph" w:styleId="Bibliography">
    <w:name w:val="Bibliography"/>
    <w:basedOn w:val="Normal"/>
    <w:next w:val="Normal"/>
    <w:uiPriority w:val="99"/>
    <w:semiHidden/>
    <w:rsid w:val="00D21C26"/>
  </w:style>
  <w:style w:type="paragraph" w:styleId="BlockText">
    <w:name w:val="Block Text"/>
    <w:basedOn w:val="Normal"/>
    <w:uiPriority w:val="99"/>
    <w:semiHidden/>
    <w:rsid w:val="00D21C26"/>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table" w:customStyle="1" w:styleId="ECHRHeaderTable">
    <w:name w:val="ECHR_Header_Table"/>
    <w:basedOn w:val="TableNormal"/>
    <w:uiPriority w:val="99"/>
    <w:rsid w:val="00D21C26"/>
    <w:tblPr>
      <w:tblInd w:w="-680"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paragraph" w:styleId="BodyText">
    <w:name w:val="Body Text"/>
    <w:basedOn w:val="Normal"/>
    <w:link w:val="BodyTextChar"/>
    <w:uiPriority w:val="99"/>
    <w:semiHidden/>
    <w:rsid w:val="00D21C26"/>
    <w:pPr>
      <w:spacing w:after="120"/>
    </w:pPr>
  </w:style>
  <w:style w:type="character" w:customStyle="1" w:styleId="BodyTextChar">
    <w:name w:val="Body Text Char"/>
    <w:basedOn w:val="DefaultParagraphFont"/>
    <w:link w:val="BodyText"/>
    <w:uiPriority w:val="99"/>
    <w:semiHidden/>
    <w:rsid w:val="00D21C26"/>
    <w:rPr>
      <w:rFonts w:eastAsiaTheme="minorEastAsia"/>
      <w:sz w:val="24"/>
      <w:lang w:val="fr-FR"/>
    </w:rPr>
  </w:style>
  <w:style w:type="table" w:customStyle="1" w:styleId="ECHRTableOddBanded">
    <w:name w:val="ECHR_Table_Odd_Banded"/>
    <w:basedOn w:val="TableNormal"/>
    <w:uiPriority w:val="99"/>
    <w:rsid w:val="00860B03"/>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styleId="BodyText2">
    <w:name w:val="Body Text 2"/>
    <w:basedOn w:val="Normal"/>
    <w:link w:val="BodyText2Char"/>
    <w:uiPriority w:val="99"/>
    <w:semiHidden/>
    <w:rsid w:val="00D21C26"/>
    <w:pPr>
      <w:spacing w:after="120" w:line="480" w:lineRule="auto"/>
    </w:pPr>
  </w:style>
  <w:style w:type="table" w:customStyle="1" w:styleId="ECHRHeaderTableReduced">
    <w:name w:val="ECHR_Header_Table_Reduced"/>
    <w:basedOn w:val="TableNormal"/>
    <w:uiPriority w:val="99"/>
    <w:rsid w:val="00D21C26"/>
    <w:tblPr>
      <w:tblInd w:w="-680" w:type="dxa"/>
      <w:tblCellMar>
        <w:left w:w="0" w:type="dxa"/>
        <w:right w:w="0" w:type="dxa"/>
      </w:tblCellMar>
    </w:tblPr>
    <w:tcPr>
      <w:vAlign w:val="bottom"/>
    </w:tcPr>
    <w:tblStylePr w:type="firstRow">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JuCase">
    <w:name w:val="Ju_Case"/>
    <w:basedOn w:val="Normal"/>
    <w:next w:val="JuPara"/>
    <w:uiPriority w:val="26"/>
    <w:rsid w:val="00D21C26"/>
    <w:pPr>
      <w:ind w:firstLine="284"/>
    </w:pPr>
    <w:rPr>
      <w:b/>
    </w:rPr>
  </w:style>
  <w:style w:type="character" w:styleId="PageNumber">
    <w:name w:val="page number"/>
    <w:uiPriority w:val="99"/>
    <w:semiHidden/>
    <w:rsid w:val="00D21C26"/>
    <w:rPr>
      <w:sz w:val="18"/>
    </w:rPr>
  </w:style>
  <w:style w:type="paragraph" w:styleId="ListBullet2">
    <w:name w:val="List Bullet 2"/>
    <w:basedOn w:val="Normal"/>
    <w:uiPriority w:val="99"/>
    <w:semiHidden/>
    <w:rsid w:val="00D21C26"/>
    <w:pPr>
      <w:numPr>
        <w:numId w:val="10"/>
      </w:numPr>
      <w:contextualSpacing/>
    </w:pPr>
  </w:style>
  <w:style w:type="character" w:customStyle="1" w:styleId="BodyText2Char">
    <w:name w:val="Body Text 2 Char"/>
    <w:basedOn w:val="DefaultParagraphFont"/>
    <w:link w:val="BodyText2"/>
    <w:uiPriority w:val="99"/>
    <w:semiHidden/>
    <w:rsid w:val="00D21C26"/>
    <w:rPr>
      <w:rFonts w:eastAsiaTheme="minorEastAsia"/>
      <w:sz w:val="24"/>
      <w:lang w:val="fr-FR"/>
    </w:rPr>
  </w:style>
  <w:style w:type="paragraph" w:styleId="BodyText3">
    <w:name w:val="Body Text 3"/>
    <w:basedOn w:val="Normal"/>
    <w:link w:val="BodyText3Char"/>
    <w:uiPriority w:val="99"/>
    <w:semiHidden/>
    <w:rsid w:val="00D21C26"/>
    <w:pPr>
      <w:spacing w:after="120"/>
    </w:pPr>
    <w:rPr>
      <w:sz w:val="16"/>
      <w:szCs w:val="16"/>
    </w:rPr>
  </w:style>
  <w:style w:type="character" w:customStyle="1" w:styleId="BodyText3Char">
    <w:name w:val="Body Text 3 Char"/>
    <w:basedOn w:val="DefaultParagraphFont"/>
    <w:link w:val="BodyText3"/>
    <w:uiPriority w:val="99"/>
    <w:semiHidden/>
    <w:rsid w:val="00D21C26"/>
    <w:rPr>
      <w:rFonts w:eastAsiaTheme="minorEastAsia"/>
      <w:sz w:val="16"/>
      <w:szCs w:val="16"/>
      <w:lang w:val="fr-FR"/>
    </w:rPr>
  </w:style>
  <w:style w:type="paragraph" w:styleId="BodyTextFirstIndent">
    <w:name w:val="Body Text First Indent"/>
    <w:basedOn w:val="BodyText"/>
    <w:link w:val="BodyTextFirstIndentChar"/>
    <w:uiPriority w:val="99"/>
    <w:semiHidden/>
    <w:rsid w:val="00D21C26"/>
    <w:pPr>
      <w:spacing w:after="0"/>
      <w:ind w:firstLine="360"/>
    </w:pPr>
  </w:style>
  <w:style w:type="character" w:customStyle="1" w:styleId="BodyTextFirstIndentChar">
    <w:name w:val="Body Text First Indent Char"/>
    <w:basedOn w:val="BodyTextChar"/>
    <w:link w:val="BodyTextFirstIndent"/>
    <w:uiPriority w:val="99"/>
    <w:semiHidden/>
    <w:rsid w:val="00D21C26"/>
    <w:rPr>
      <w:rFonts w:eastAsiaTheme="minorEastAsia"/>
      <w:sz w:val="24"/>
      <w:lang w:val="fr-FR"/>
    </w:rPr>
  </w:style>
  <w:style w:type="paragraph" w:styleId="BodyTextIndent">
    <w:name w:val="Body Text Indent"/>
    <w:basedOn w:val="Normal"/>
    <w:link w:val="BodyTextIndentChar"/>
    <w:uiPriority w:val="99"/>
    <w:semiHidden/>
    <w:rsid w:val="00D21C26"/>
    <w:pPr>
      <w:spacing w:after="120"/>
      <w:ind w:left="283"/>
    </w:pPr>
  </w:style>
  <w:style w:type="character" w:customStyle="1" w:styleId="BodyTextIndentChar">
    <w:name w:val="Body Text Indent Char"/>
    <w:basedOn w:val="DefaultParagraphFont"/>
    <w:link w:val="BodyTextIndent"/>
    <w:uiPriority w:val="99"/>
    <w:semiHidden/>
    <w:rsid w:val="00D21C26"/>
    <w:rPr>
      <w:rFonts w:eastAsiaTheme="minorEastAsia"/>
      <w:sz w:val="24"/>
      <w:lang w:val="fr-FR"/>
    </w:rPr>
  </w:style>
  <w:style w:type="paragraph" w:styleId="BodyTextFirstIndent2">
    <w:name w:val="Body Text First Indent 2"/>
    <w:basedOn w:val="BodyTextIndent"/>
    <w:link w:val="BodyTextFirstIndent2Char"/>
    <w:uiPriority w:val="99"/>
    <w:semiHidden/>
    <w:rsid w:val="00D21C26"/>
    <w:pPr>
      <w:spacing w:after="0"/>
      <w:ind w:left="360" w:firstLine="360"/>
    </w:pPr>
  </w:style>
  <w:style w:type="character" w:customStyle="1" w:styleId="BodyTextFirstIndent2Char">
    <w:name w:val="Body Text First Indent 2 Char"/>
    <w:basedOn w:val="BodyTextIndentChar"/>
    <w:link w:val="BodyTextFirstIndent2"/>
    <w:uiPriority w:val="99"/>
    <w:semiHidden/>
    <w:rsid w:val="00D21C26"/>
    <w:rPr>
      <w:rFonts w:eastAsiaTheme="minorEastAsia"/>
      <w:sz w:val="24"/>
      <w:lang w:val="fr-FR"/>
    </w:rPr>
  </w:style>
  <w:style w:type="paragraph" w:styleId="BodyTextIndent2">
    <w:name w:val="Body Text Indent 2"/>
    <w:basedOn w:val="Normal"/>
    <w:link w:val="BodyTextIndent2Char"/>
    <w:uiPriority w:val="99"/>
    <w:semiHidden/>
    <w:rsid w:val="00D21C26"/>
    <w:pPr>
      <w:spacing w:after="120" w:line="480" w:lineRule="auto"/>
      <w:ind w:left="283"/>
    </w:pPr>
  </w:style>
  <w:style w:type="character" w:customStyle="1" w:styleId="BodyTextIndent2Char">
    <w:name w:val="Body Text Indent 2 Char"/>
    <w:basedOn w:val="DefaultParagraphFont"/>
    <w:link w:val="BodyTextIndent2"/>
    <w:uiPriority w:val="99"/>
    <w:semiHidden/>
    <w:rsid w:val="00D21C26"/>
    <w:rPr>
      <w:rFonts w:eastAsiaTheme="minorEastAsia"/>
      <w:sz w:val="24"/>
      <w:lang w:val="fr-FR"/>
    </w:rPr>
  </w:style>
  <w:style w:type="paragraph" w:styleId="BodyTextIndent3">
    <w:name w:val="Body Text Indent 3"/>
    <w:basedOn w:val="Normal"/>
    <w:link w:val="BodyTextIndent3Char"/>
    <w:uiPriority w:val="99"/>
    <w:semiHidden/>
    <w:rsid w:val="00D21C26"/>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D21C26"/>
    <w:rPr>
      <w:rFonts w:eastAsiaTheme="minorEastAsia"/>
      <w:sz w:val="16"/>
      <w:szCs w:val="16"/>
      <w:lang w:val="fr-FR"/>
    </w:rPr>
  </w:style>
  <w:style w:type="paragraph" w:styleId="Caption">
    <w:name w:val="caption"/>
    <w:basedOn w:val="Normal"/>
    <w:next w:val="Normal"/>
    <w:uiPriority w:val="99"/>
    <w:semiHidden/>
    <w:qFormat/>
    <w:rsid w:val="00D21C26"/>
    <w:pPr>
      <w:spacing w:after="200"/>
    </w:pPr>
    <w:rPr>
      <w:b/>
      <w:bCs/>
      <w:color w:val="0072BC" w:themeColor="accent1"/>
      <w:sz w:val="18"/>
      <w:szCs w:val="18"/>
    </w:rPr>
  </w:style>
  <w:style w:type="paragraph" w:styleId="Closing">
    <w:name w:val="Closing"/>
    <w:basedOn w:val="Normal"/>
    <w:link w:val="ClosingChar"/>
    <w:uiPriority w:val="99"/>
    <w:semiHidden/>
    <w:rsid w:val="00D21C26"/>
    <w:pPr>
      <w:ind w:left="4252"/>
    </w:pPr>
  </w:style>
  <w:style w:type="character" w:customStyle="1" w:styleId="ClosingChar">
    <w:name w:val="Closing Char"/>
    <w:basedOn w:val="DefaultParagraphFont"/>
    <w:link w:val="Closing"/>
    <w:uiPriority w:val="99"/>
    <w:semiHidden/>
    <w:rsid w:val="00D21C26"/>
    <w:rPr>
      <w:rFonts w:eastAsiaTheme="minorEastAsia"/>
      <w:sz w:val="24"/>
      <w:lang w:val="fr-FR"/>
    </w:rPr>
  </w:style>
  <w:style w:type="table" w:styleId="ColorfulGrid">
    <w:name w:val="Colorful Grid"/>
    <w:basedOn w:val="TableNormal"/>
    <w:uiPriority w:val="73"/>
    <w:semiHidden/>
    <w:rsid w:val="00D21C26"/>
    <w:rPr>
      <w:color w:val="000000" w:themeColor="text1"/>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rsid w:val="00D21C26"/>
    <w:rPr>
      <w:color w:val="000000" w:themeColor="text1"/>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ColorfulGrid-Accent2">
    <w:name w:val="Colorful Grid Accent 2"/>
    <w:basedOn w:val="TableNormal"/>
    <w:uiPriority w:val="73"/>
    <w:semiHidden/>
    <w:rsid w:val="00D21C26"/>
    <w:rPr>
      <w:color w:val="000000" w:themeColor="text1"/>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ColorfulGrid-Accent3">
    <w:name w:val="Colorful Grid Accent 3"/>
    <w:basedOn w:val="TableNormal"/>
    <w:uiPriority w:val="73"/>
    <w:semiHidden/>
    <w:rsid w:val="00D21C26"/>
    <w:rPr>
      <w:color w:val="000000" w:themeColor="text1"/>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ColorfulGrid-Accent4">
    <w:name w:val="Colorful Grid Accent 4"/>
    <w:basedOn w:val="TableNormal"/>
    <w:uiPriority w:val="73"/>
    <w:semiHidden/>
    <w:rsid w:val="00D21C26"/>
    <w:rPr>
      <w:color w:val="000000" w:themeColor="text1"/>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ColorfulGrid-Accent5">
    <w:name w:val="Colorful Grid Accent 5"/>
    <w:basedOn w:val="TableNormal"/>
    <w:uiPriority w:val="73"/>
    <w:semiHidden/>
    <w:rsid w:val="00D21C26"/>
    <w:rPr>
      <w:color w:val="000000" w:themeColor="text1"/>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olorfulGrid-Accent6">
    <w:name w:val="Colorful Grid Accent 6"/>
    <w:basedOn w:val="TableNormal"/>
    <w:uiPriority w:val="73"/>
    <w:semiHidden/>
    <w:rsid w:val="00D21C26"/>
    <w:rPr>
      <w:color w:val="000000" w:themeColor="text1"/>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ColorfulList">
    <w:name w:val="Colorful List"/>
    <w:basedOn w:val="TableNormal"/>
    <w:uiPriority w:val="72"/>
    <w:semiHidden/>
    <w:rsid w:val="00D21C26"/>
    <w:rPr>
      <w:color w:val="000000" w:themeColor="text1"/>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rsid w:val="00D21C26"/>
    <w:rPr>
      <w:color w:val="000000" w:themeColor="text1"/>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ColorfulList-Accent2">
    <w:name w:val="Colorful List Accent 2"/>
    <w:basedOn w:val="TableNormal"/>
    <w:uiPriority w:val="72"/>
    <w:semiHidden/>
    <w:rsid w:val="00D21C26"/>
    <w:rPr>
      <w:color w:val="000000" w:themeColor="text1"/>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ColorfulList-Accent3">
    <w:name w:val="Colorful List Accent 3"/>
    <w:basedOn w:val="TableNormal"/>
    <w:uiPriority w:val="72"/>
    <w:semiHidden/>
    <w:rsid w:val="00D21C26"/>
    <w:rPr>
      <w:color w:val="000000" w:themeColor="text1"/>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ColorfulList-Accent4">
    <w:name w:val="Colorful List Accent 4"/>
    <w:basedOn w:val="TableNormal"/>
    <w:uiPriority w:val="72"/>
    <w:semiHidden/>
    <w:rsid w:val="00D21C26"/>
    <w:rPr>
      <w:color w:val="000000" w:themeColor="text1"/>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ColorfulList-Accent5">
    <w:name w:val="Colorful List Accent 5"/>
    <w:basedOn w:val="TableNormal"/>
    <w:uiPriority w:val="72"/>
    <w:semiHidden/>
    <w:rsid w:val="00D21C26"/>
    <w:rPr>
      <w:color w:val="000000" w:themeColor="text1"/>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ColorfulList-Accent6">
    <w:name w:val="Colorful List Accent 6"/>
    <w:basedOn w:val="TableNormal"/>
    <w:uiPriority w:val="72"/>
    <w:semiHidden/>
    <w:rsid w:val="00D21C26"/>
    <w:rPr>
      <w:color w:val="000000" w:themeColor="text1"/>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ColorfulShading">
    <w:name w:val="Colorful Shading"/>
    <w:basedOn w:val="TableNormal"/>
    <w:uiPriority w:val="71"/>
    <w:semiHidden/>
    <w:rsid w:val="00D21C26"/>
    <w:rPr>
      <w:color w:val="000000" w:themeColor="text1"/>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rsid w:val="00D21C26"/>
    <w:rPr>
      <w:color w:val="000000" w:themeColor="text1"/>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rsid w:val="00D21C26"/>
    <w:rPr>
      <w:color w:val="000000" w:themeColor="text1"/>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sid w:val="00D21C26"/>
    <w:rPr>
      <w:color w:val="000000" w:themeColor="text1"/>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ColorfulShading-Accent4">
    <w:name w:val="Colorful Shading Accent 4"/>
    <w:basedOn w:val="TableNormal"/>
    <w:uiPriority w:val="71"/>
    <w:semiHidden/>
    <w:rsid w:val="00D21C26"/>
    <w:rPr>
      <w:color w:val="000000" w:themeColor="text1"/>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rsid w:val="00D21C26"/>
    <w:rPr>
      <w:color w:val="000000" w:themeColor="text1"/>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rsid w:val="00D21C26"/>
    <w:rPr>
      <w:color w:val="000000" w:themeColor="text1"/>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rsid w:val="00D21C26"/>
    <w:rPr>
      <w:sz w:val="16"/>
      <w:szCs w:val="16"/>
    </w:rPr>
  </w:style>
  <w:style w:type="paragraph" w:styleId="CommentText">
    <w:name w:val="annotation text"/>
    <w:basedOn w:val="Normal"/>
    <w:link w:val="CommentTextChar"/>
    <w:semiHidden/>
    <w:rsid w:val="00D21C26"/>
    <w:rPr>
      <w:sz w:val="20"/>
      <w:szCs w:val="20"/>
    </w:rPr>
  </w:style>
  <w:style w:type="character" w:customStyle="1" w:styleId="CommentTextChar">
    <w:name w:val="Comment Text Char"/>
    <w:basedOn w:val="DefaultParagraphFont"/>
    <w:link w:val="CommentText"/>
    <w:semiHidden/>
    <w:rsid w:val="00D21C26"/>
    <w:rPr>
      <w:rFonts w:eastAsiaTheme="minorEastAsia"/>
      <w:sz w:val="20"/>
      <w:szCs w:val="20"/>
      <w:lang w:val="fr-FR"/>
    </w:rPr>
  </w:style>
  <w:style w:type="paragraph" w:styleId="CommentSubject">
    <w:name w:val="annotation subject"/>
    <w:basedOn w:val="CommentText"/>
    <w:next w:val="CommentText"/>
    <w:link w:val="CommentSubjectChar"/>
    <w:uiPriority w:val="99"/>
    <w:semiHidden/>
    <w:rsid w:val="00D21C26"/>
    <w:rPr>
      <w:b/>
      <w:bCs/>
    </w:rPr>
  </w:style>
  <w:style w:type="character" w:customStyle="1" w:styleId="CommentSubjectChar">
    <w:name w:val="Comment Subject Char"/>
    <w:basedOn w:val="CommentTextChar"/>
    <w:link w:val="CommentSubject"/>
    <w:uiPriority w:val="99"/>
    <w:semiHidden/>
    <w:rsid w:val="00D21C26"/>
    <w:rPr>
      <w:rFonts w:eastAsiaTheme="minorEastAsia"/>
      <w:b/>
      <w:bCs/>
      <w:sz w:val="20"/>
      <w:szCs w:val="20"/>
      <w:lang w:val="fr-FR"/>
    </w:rPr>
  </w:style>
  <w:style w:type="table" w:styleId="DarkList">
    <w:name w:val="Dark List"/>
    <w:basedOn w:val="TableNormal"/>
    <w:uiPriority w:val="70"/>
    <w:semiHidden/>
    <w:rsid w:val="00D21C26"/>
    <w:rPr>
      <w:color w:val="0072BC"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rsid w:val="00D21C26"/>
    <w:rPr>
      <w:color w:val="0072BC" w:themeColor="background1"/>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DarkList-Accent2">
    <w:name w:val="Dark List Accent 2"/>
    <w:basedOn w:val="TableNormal"/>
    <w:uiPriority w:val="70"/>
    <w:semiHidden/>
    <w:rsid w:val="00D21C26"/>
    <w:rPr>
      <w:color w:val="0072BC" w:themeColor="background1"/>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DarkList-Accent3">
    <w:name w:val="Dark List Accent 3"/>
    <w:basedOn w:val="TableNormal"/>
    <w:uiPriority w:val="70"/>
    <w:semiHidden/>
    <w:rsid w:val="00D21C26"/>
    <w:rPr>
      <w:color w:val="0072BC" w:themeColor="background1"/>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DarkList-Accent4">
    <w:name w:val="Dark List Accent 4"/>
    <w:basedOn w:val="TableNormal"/>
    <w:uiPriority w:val="70"/>
    <w:semiHidden/>
    <w:rsid w:val="00D21C26"/>
    <w:rPr>
      <w:color w:val="0072BC" w:themeColor="background1"/>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DarkList-Accent5">
    <w:name w:val="Dark List Accent 5"/>
    <w:basedOn w:val="TableNormal"/>
    <w:uiPriority w:val="70"/>
    <w:semiHidden/>
    <w:rsid w:val="00D21C26"/>
    <w:rPr>
      <w:color w:val="0072BC" w:themeColor="background1"/>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DarkList-Accent6">
    <w:name w:val="Dark List Accent 6"/>
    <w:basedOn w:val="TableNormal"/>
    <w:uiPriority w:val="70"/>
    <w:semiHidden/>
    <w:rsid w:val="00D21C26"/>
    <w:rPr>
      <w:color w:val="0072BC" w:themeColor="background1"/>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e">
    <w:name w:val="Date"/>
    <w:basedOn w:val="Normal"/>
    <w:next w:val="Normal"/>
    <w:link w:val="DateChar"/>
    <w:uiPriority w:val="99"/>
    <w:semiHidden/>
    <w:rsid w:val="00D21C26"/>
  </w:style>
  <w:style w:type="character" w:customStyle="1" w:styleId="DateChar">
    <w:name w:val="Date Char"/>
    <w:basedOn w:val="DefaultParagraphFont"/>
    <w:link w:val="Date"/>
    <w:uiPriority w:val="99"/>
    <w:semiHidden/>
    <w:rsid w:val="00D21C26"/>
    <w:rPr>
      <w:rFonts w:eastAsiaTheme="minorEastAsia"/>
      <w:sz w:val="24"/>
      <w:lang w:val="fr-FR"/>
    </w:rPr>
  </w:style>
  <w:style w:type="paragraph" w:styleId="DocumentMap">
    <w:name w:val="Document Map"/>
    <w:basedOn w:val="Normal"/>
    <w:link w:val="DocumentMapChar"/>
    <w:uiPriority w:val="99"/>
    <w:semiHidden/>
    <w:rsid w:val="00D21C26"/>
    <w:rPr>
      <w:rFonts w:ascii="Tahoma" w:hAnsi="Tahoma" w:cs="Tahoma"/>
      <w:sz w:val="16"/>
      <w:szCs w:val="16"/>
    </w:rPr>
  </w:style>
  <w:style w:type="character" w:customStyle="1" w:styleId="DocumentMapChar">
    <w:name w:val="Document Map Char"/>
    <w:basedOn w:val="DefaultParagraphFont"/>
    <w:link w:val="DocumentMap"/>
    <w:uiPriority w:val="99"/>
    <w:semiHidden/>
    <w:rsid w:val="00D21C26"/>
    <w:rPr>
      <w:rFonts w:ascii="Tahoma" w:eastAsiaTheme="minorEastAsia" w:hAnsi="Tahoma" w:cs="Tahoma"/>
      <w:sz w:val="16"/>
      <w:szCs w:val="16"/>
      <w:lang w:val="fr-FR"/>
    </w:rPr>
  </w:style>
  <w:style w:type="paragraph" w:styleId="E-mailSignature">
    <w:name w:val="E-mail Signature"/>
    <w:basedOn w:val="Normal"/>
    <w:link w:val="E-mailSignatureChar"/>
    <w:uiPriority w:val="99"/>
    <w:semiHidden/>
    <w:rsid w:val="00D21C26"/>
  </w:style>
  <w:style w:type="character" w:customStyle="1" w:styleId="E-mailSignatureChar">
    <w:name w:val="E-mail Signature Char"/>
    <w:basedOn w:val="DefaultParagraphFont"/>
    <w:link w:val="E-mailSignature"/>
    <w:uiPriority w:val="99"/>
    <w:semiHidden/>
    <w:rsid w:val="00D21C26"/>
    <w:rPr>
      <w:rFonts w:eastAsiaTheme="minorEastAsia"/>
      <w:sz w:val="24"/>
      <w:lang w:val="fr-FR"/>
    </w:rPr>
  </w:style>
  <w:style w:type="character" w:styleId="EndnoteReference">
    <w:name w:val="endnote reference"/>
    <w:basedOn w:val="DefaultParagraphFont"/>
    <w:uiPriority w:val="99"/>
    <w:semiHidden/>
    <w:rsid w:val="00D21C26"/>
    <w:rPr>
      <w:vertAlign w:val="superscript"/>
    </w:rPr>
  </w:style>
  <w:style w:type="paragraph" w:styleId="EndnoteText">
    <w:name w:val="endnote text"/>
    <w:basedOn w:val="Normal"/>
    <w:link w:val="EndnoteTextChar"/>
    <w:uiPriority w:val="99"/>
    <w:semiHidden/>
    <w:rsid w:val="00D21C26"/>
    <w:rPr>
      <w:sz w:val="20"/>
      <w:szCs w:val="20"/>
    </w:rPr>
  </w:style>
  <w:style w:type="character" w:customStyle="1" w:styleId="EndnoteTextChar">
    <w:name w:val="Endnote Text Char"/>
    <w:basedOn w:val="DefaultParagraphFont"/>
    <w:link w:val="EndnoteText"/>
    <w:uiPriority w:val="99"/>
    <w:semiHidden/>
    <w:rsid w:val="00D21C26"/>
    <w:rPr>
      <w:rFonts w:eastAsiaTheme="minorEastAsia"/>
      <w:sz w:val="20"/>
      <w:szCs w:val="20"/>
      <w:lang w:val="fr-FR"/>
    </w:rPr>
  </w:style>
  <w:style w:type="paragraph" w:styleId="EnvelopeAddress">
    <w:name w:val="envelope address"/>
    <w:basedOn w:val="Normal"/>
    <w:uiPriority w:val="99"/>
    <w:semiHidden/>
    <w:rsid w:val="00D21C26"/>
    <w:pPr>
      <w:framePr w:w="7938" w:h="1985" w:hRule="exact" w:hSpace="141" w:wrap="auto" w:hAnchor="page" w:xAlign="center" w:yAlign="bottom"/>
      <w:ind w:left="2835"/>
    </w:pPr>
    <w:rPr>
      <w:rFonts w:asciiTheme="majorHAnsi" w:eastAsiaTheme="majorEastAsia" w:hAnsiTheme="majorHAnsi" w:cstheme="majorBidi"/>
      <w:szCs w:val="24"/>
    </w:rPr>
  </w:style>
  <w:style w:type="paragraph" w:styleId="EnvelopeReturn">
    <w:name w:val="envelope return"/>
    <w:basedOn w:val="Normal"/>
    <w:uiPriority w:val="99"/>
    <w:semiHidden/>
    <w:rsid w:val="00D21C26"/>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rsid w:val="00D21C26"/>
    <w:rPr>
      <w:color w:val="7030A0" w:themeColor="followedHyperlink"/>
      <w:u w:val="single"/>
    </w:rPr>
  </w:style>
  <w:style w:type="character" w:styleId="HTMLAcronym">
    <w:name w:val="HTML Acronym"/>
    <w:basedOn w:val="DefaultParagraphFont"/>
    <w:uiPriority w:val="99"/>
    <w:semiHidden/>
    <w:rsid w:val="00D21C26"/>
  </w:style>
  <w:style w:type="paragraph" w:styleId="HTMLAddress">
    <w:name w:val="HTML Address"/>
    <w:basedOn w:val="Normal"/>
    <w:link w:val="HTMLAddressChar"/>
    <w:uiPriority w:val="99"/>
    <w:semiHidden/>
    <w:rsid w:val="00D21C26"/>
    <w:rPr>
      <w:i/>
      <w:iCs/>
    </w:rPr>
  </w:style>
  <w:style w:type="character" w:customStyle="1" w:styleId="HTMLAddressChar">
    <w:name w:val="HTML Address Char"/>
    <w:basedOn w:val="DefaultParagraphFont"/>
    <w:link w:val="HTMLAddress"/>
    <w:uiPriority w:val="99"/>
    <w:semiHidden/>
    <w:rsid w:val="00D21C26"/>
    <w:rPr>
      <w:rFonts w:eastAsiaTheme="minorEastAsia"/>
      <w:i/>
      <w:iCs/>
      <w:sz w:val="24"/>
      <w:lang w:val="fr-FR"/>
    </w:rPr>
  </w:style>
  <w:style w:type="character" w:styleId="HTMLCite">
    <w:name w:val="HTML Cite"/>
    <w:basedOn w:val="DefaultParagraphFont"/>
    <w:uiPriority w:val="99"/>
    <w:semiHidden/>
    <w:rsid w:val="00D21C26"/>
    <w:rPr>
      <w:i/>
      <w:iCs/>
    </w:rPr>
  </w:style>
  <w:style w:type="character" w:styleId="HTMLCode">
    <w:name w:val="HTML Code"/>
    <w:basedOn w:val="DefaultParagraphFont"/>
    <w:uiPriority w:val="99"/>
    <w:semiHidden/>
    <w:rsid w:val="00D21C26"/>
    <w:rPr>
      <w:rFonts w:ascii="Consolas" w:hAnsi="Consolas" w:cs="Consolas"/>
      <w:sz w:val="20"/>
      <w:szCs w:val="20"/>
    </w:rPr>
  </w:style>
  <w:style w:type="character" w:styleId="HTMLDefinition">
    <w:name w:val="HTML Definition"/>
    <w:basedOn w:val="DefaultParagraphFont"/>
    <w:uiPriority w:val="99"/>
    <w:semiHidden/>
    <w:rsid w:val="00D21C26"/>
    <w:rPr>
      <w:i/>
      <w:iCs/>
    </w:rPr>
  </w:style>
  <w:style w:type="character" w:styleId="HTMLKeyboard">
    <w:name w:val="HTML Keyboard"/>
    <w:basedOn w:val="DefaultParagraphFont"/>
    <w:uiPriority w:val="99"/>
    <w:semiHidden/>
    <w:rsid w:val="00D21C26"/>
    <w:rPr>
      <w:rFonts w:ascii="Consolas" w:hAnsi="Consolas" w:cs="Consolas"/>
      <w:sz w:val="20"/>
      <w:szCs w:val="20"/>
    </w:rPr>
  </w:style>
  <w:style w:type="paragraph" w:styleId="HTMLPreformatted">
    <w:name w:val="HTML Preformatted"/>
    <w:basedOn w:val="Normal"/>
    <w:link w:val="HTMLPreformattedChar"/>
    <w:uiPriority w:val="99"/>
    <w:semiHidden/>
    <w:rsid w:val="00D21C26"/>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D21C26"/>
    <w:rPr>
      <w:rFonts w:ascii="Consolas" w:eastAsiaTheme="minorEastAsia" w:hAnsi="Consolas" w:cs="Consolas"/>
      <w:sz w:val="20"/>
      <w:szCs w:val="20"/>
      <w:lang w:val="fr-FR"/>
    </w:rPr>
  </w:style>
  <w:style w:type="character" w:styleId="HTMLSample">
    <w:name w:val="HTML Sample"/>
    <w:basedOn w:val="DefaultParagraphFont"/>
    <w:uiPriority w:val="99"/>
    <w:semiHidden/>
    <w:rsid w:val="00D21C26"/>
    <w:rPr>
      <w:rFonts w:ascii="Consolas" w:hAnsi="Consolas" w:cs="Consolas"/>
      <w:sz w:val="24"/>
      <w:szCs w:val="24"/>
    </w:rPr>
  </w:style>
  <w:style w:type="character" w:styleId="HTMLTypewriter">
    <w:name w:val="HTML Typewriter"/>
    <w:basedOn w:val="DefaultParagraphFont"/>
    <w:uiPriority w:val="99"/>
    <w:semiHidden/>
    <w:rsid w:val="00D21C26"/>
    <w:rPr>
      <w:rFonts w:ascii="Consolas" w:hAnsi="Consolas" w:cs="Consolas"/>
      <w:sz w:val="20"/>
      <w:szCs w:val="20"/>
    </w:rPr>
  </w:style>
  <w:style w:type="character" w:styleId="HTMLVariable">
    <w:name w:val="HTML Variable"/>
    <w:basedOn w:val="DefaultParagraphFont"/>
    <w:uiPriority w:val="99"/>
    <w:semiHidden/>
    <w:rsid w:val="00D21C26"/>
    <w:rPr>
      <w:i/>
      <w:iCs/>
    </w:rPr>
  </w:style>
  <w:style w:type="paragraph" w:styleId="Index1">
    <w:name w:val="index 1"/>
    <w:basedOn w:val="Normal"/>
    <w:next w:val="Normal"/>
    <w:autoRedefine/>
    <w:uiPriority w:val="99"/>
    <w:semiHidden/>
    <w:rsid w:val="00D21C26"/>
    <w:pPr>
      <w:ind w:left="240" w:hanging="240"/>
    </w:pPr>
  </w:style>
  <w:style w:type="paragraph" w:styleId="Index2">
    <w:name w:val="index 2"/>
    <w:basedOn w:val="Normal"/>
    <w:next w:val="Normal"/>
    <w:autoRedefine/>
    <w:uiPriority w:val="99"/>
    <w:semiHidden/>
    <w:rsid w:val="00D21C26"/>
    <w:pPr>
      <w:ind w:left="480" w:hanging="240"/>
    </w:pPr>
  </w:style>
  <w:style w:type="paragraph" w:styleId="Index3">
    <w:name w:val="index 3"/>
    <w:basedOn w:val="Normal"/>
    <w:next w:val="Normal"/>
    <w:autoRedefine/>
    <w:uiPriority w:val="99"/>
    <w:semiHidden/>
    <w:rsid w:val="00D21C26"/>
    <w:pPr>
      <w:ind w:left="720" w:hanging="240"/>
    </w:pPr>
  </w:style>
  <w:style w:type="paragraph" w:styleId="Index4">
    <w:name w:val="index 4"/>
    <w:basedOn w:val="Normal"/>
    <w:next w:val="Normal"/>
    <w:autoRedefine/>
    <w:uiPriority w:val="99"/>
    <w:semiHidden/>
    <w:rsid w:val="00D21C26"/>
    <w:pPr>
      <w:ind w:left="960" w:hanging="240"/>
    </w:pPr>
  </w:style>
  <w:style w:type="paragraph" w:styleId="Index5">
    <w:name w:val="index 5"/>
    <w:basedOn w:val="Normal"/>
    <w:next w:val="Normal"/>
    <w:autoRedefine/>
    <w:uiPriority w:val="99"/>
    <w:semiHidden/>
    <w:rsid w:val="00D21C26"/>
    <w:pPr>
      <w:ind w:left="1200" w:hanging="240"/>
    </w:pPr>
  </w:style>
  <w:style w:type="paragraph" w:styleId="Index6">
    <w:name w:val="index 6"/>
    <w:basedOn w:val="Normal"/>
    <w:next w:val="Normal"/>
    <w:autoRedefine/>
    <w:uiPriority w:val="99"/>
    <w:semiHidden/>
    <w:rsid w:val="00D21C26"/>
    <w:pPr>
      <w:ind w:left="1440" w:hanging="240"/>
    </w:pPr>
  </w:style>
  <w:style w:type="paragraph" w:styleId="Index7">
    <w:name w:val="index 7"/>
    <w:basedOn w:val="Normal"/>
    <w:next w:val="Normal"/>
    <w:autoRedefine/>
    <w:uiPriority w:val="99"/>
    <w:semiHidden/>
    <w:rsid w:val="00D21C26"/>
    <w:pPr>
      <w:ind w:left="1680" w:hanging="240"/>
    </w:pPr>
  </w:style>
  <w:style w:type="paragraph" w:styleId="Index8">
    <w:name w:val="index 8"/>
    <w:basedOn w:val="Normal"/>
    <w:next w:val="Normal"/>
    <w:autoRedefine/>
    <w:uiPriority w:val="99"/>
    <w:semiHidden/>
    <w:rsid w:val="00D21C26"/>
    <w:pPr>
      <w:ind w:left="1920" w:hanging="240"/>
    </w:pPr>
  </w:style>
  <w:style w:type="paragraph" w:styleId="Index9">
    <w:name w:val="index 9"/>
    <w:basedOn w:val="Normal"/>
    <w:next w:val="Normal"/>
    <w:autoRedefine/>
    <w:uiPriority w:val="99"/>
    <w:semiHidden/>
    <w:rsid w:val="00D21C26"/>
    <w:pPr>
      <w:ind w:left="2160" w:hanging="240"/>
    </w:pPr>
  </w:style>
  <w:style w:type="paragraph" w:styleId="IndexHeading">
    <w:name w:val="index heading"/>
    <w:basedOn w:val="Normal"/>
    <w:next w:val="Index1"/>
    <w:uiPriority w:val="99"/>
    <w:semiHidden/>
    <w:rsid w:val="00D21C26"/>
    <w:rPr>
      <w:rFonts w:asciiTheme="majorHAnsi" w:eastAsiaTheme="majorEastAsia" w:hAnsiTheme="majorHAnsi" w:cstheme="majorBidi"/>
      <w:b/>
      <w:bCs/>
    </w:rPr>
  </w:style>
  <w:style w:type="table" w:styleId="LightGrid">
    <w:name w:val="Light Grid"/>
    <w:basedOn w:val="TableNormal"/>
    <w:uiPriority w:val="62"/>
    <w:semiHidden/>
    <w:rsid w:val="00D21C2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D21C26"/>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LightGrid-Accent2">
    <w:name w:val="Light Grid Accent 2"/>
    <w:basedOn w:val="TableNormal"/>
    <w:uiPriority w:val="62"/>
    <w:semiHidden/>
    <w:rsid w:val="00D21C26"/>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LightGrid-Accent3">
    <w:name w:val="Light Grid Accent 3"/>
    <w:basedOn w:val="TableNormal"/>
    <w:uiPriority w:val="62"/>
    <w:semiHidden/>
    <w:rsid w:val="00D21C26"/>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LightGrid-Accent4">
    <w:name w:val="Light Grid Accent 4"/>
    <w:basedOn w:val="TableNormal"/>
    <w:uiPriority w:val="62"/>
    <w:semiHidden/>
    <w:rsid w:val="00D21C26"/>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LightGrid-Accent5">
    <w:name w:val="Light Grid Accent 5"/>
    <w:basedOn w:val="TableNormal"/>
    <w:uiPriority w:val="62"/>
    <w:semiHidden/>
    <w:rsid w:val="00D21C26"/>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LightGrid-Accent6">
    <w:name w:val="Light Grid Accent 6"/>
    <w:basedOn w:val="TableNormal"/>
    <w:uiPriority w:val="62"/>
    <w:semiHidden/>
    <w:rsid w:val="00D21C26"/>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ghtList">
    <w:name w:val="Light List"/>
    <w:basedOn w:val="TableNormal"/>
    <w:uiPriority w:val="61"/>
    <w:semiHidden/>
    <w:rsid w:val="00D21C2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rsid w:val="00D21C26"/>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LightList-Accent2">
    <w:name w:val="Light List Accent 2"/>
    <w:basedOn w:val="TableNormal"/>
    <w:uiPriority w:val="61"/>
    <w:semiHidden/>
    <w:rsid w:val="00D21C26"/>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LightList-Accent3">
    <w:name w:val="Light List Accent 3"/>
    <w:basedOn w:val="TableNormal"/>
    <w:uiPriority w:val="61"/>
    <w:semiHidden/>
    <w:rsid w:val="00D21C26"/>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LightList-Accent4">
    <w:name w:val="Light List Accent 4"/>
    <w:basedOn w:val="TableNormal"/>
    <w:uiPriority w:val="61"/>
    <w:semiHidden/>
    <w:rsid w:val="00D21C26"/>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LightList-Accent5">
    <w:name w:val="Light List Accent 5"/>
    <w:basedOn w:val="TableNormal"/>
    <w:uiPriority w:val="61"/>
    <w:semiHidden/>
    <w:rsid w:val="00D21C26"/>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ghtList-Accent6">
    <w:name w:val="Light List Accent 6"/>
    <w:basedOn w:val="TableNormal"/>
    <w:uiPriority w:val="61"/>
    <w:semiHidden/>
    <w:rsid w:val="00D21C26"/>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LightShading">
    <w:name w:val="Light Shading"/>
    <w:basedOn w:val="TableNormal"/>
    <w:uiPriority w:val="60"/>
    <w:semiHidden/>
    <w:rsid w:val="00D21C26"/>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D21C26"/>
    <w:rPr>
      <w:color w:val="00548C" w:themeColor="accent1" w:themeShade="BF"/>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LightShading-Accent2">
    <w:name w:val="Light Shading Accent 2"/>
    <w:basedOn w:val="TableNormal"/>
    <w:uiPriority w:val="60"/>
    <w:semiHidden/>
    <w:rsid w:val="00D21C26"/>
    <w:rPr>
      <w:color w:val="8F0000" w:themeColor="accent2" w:themeShade="BF"/>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LightShading-Accent3">
    <w:name w:val="Light Shading Accent 3"/>
    <w:basedOn w:val="TableNormal"/>
    <w:uiPriority w:val="60"/>
    <w:semiHidden/>
    <w:rsid w:val="00D21C26"/>
    <w:rPr>
      <w:color w:val="474747" w:themeColor="accent3" w:themeShade="BF"/>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LightShading-Accent4">
    <w:name w:val="Light Shading Accent 4"/>
    <w:basedOn w:val="TableNormal"/>
    <w:uiPriority w:val="60"/>
    <w:semiHidden/>
    <w:rsid w:val="00D21C26"/>
    <w:rPr>
      <w:color w:val="707070" w:themeColor="accent4" w:themeShade="BF"/>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LightShading-Accent5">
    <w:name w:val="Light Shading Accent 5"/>
    <w:basedOn w:val="TableNormal"/>
    <w:uiPriority w:val="60"/>
    <w:semiHidden/>
    <w:rsid w:val="00D21C26"/>
    <w:rPr>
      <w:color w:val="474747" w:themeColor="accent5" w:themeShade="BF"/>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Shading-Accent6">
    <w:name w:val="Light Shading Accent 6"/>
    <w:basedOn w:val="TableNormal"/>
    <w:uiPriority w:val="60"/>
    <w:semiHidden/>
    <w:rsid w:val="00D21C26"/>
    <w:rPr>
      <w:color w:val="393939" w:themeColor="accent6" w:themeShade="BF"/>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LineNumber">
    <w:name w:val="line number"/>
    <w:basedOn w:val="DefaultParagraphFont"/>
    <w:uiPriority w:val="99"/>
    <w:semiHidden/>
    <w:rsid w:val="00D21C26"/>
  </w:style>
  <w:style w:type="paragraph" w:styleId="List">
    <w:name w:val="List"/>
    <w:basedOn w:val="Normal"/>
    <w:uiPriority w:val="99"/>
    <w:semiHidden/>
    <w:rsid w:val="00D21C26"/>
    <w:pPr>
      <w:ind w:left="283" w:hanging="283"/>
      <w:contextualSpacing/>
    </w:pPr>
  </w:style>
  <w:style w:type="paragraph" w:styleId="List2">
    <w:name w:val="List 2"/>
    <w:basedOn w:val="Normal"/>
    <w:uiPriority w:val="99"/>
    <w:semiHidden/>
    <w:rsid w:val="00D21C26"/>
    <w:pPr>
      <w:ind w:left="566" w:hanging="283"/>
      <w:contextualSpacing/>
    </w:pPr>
  </w:style>
  <w:style w:type="paragraph" w:styleId="List3">
    <w:name w:val="List 3"/>
    <w:basedOn w:val="Normal"/>
    <w:uiPriority w:val="99"/>
    <w:semiHidden/>
    <w:rsid w:val="00D21C26"/>
    <w:pPr>
      <w:ind w:left="849" w:hanging="283"/>
      <w:contextualSpacing/>
    </w:pPr>
  </w:style>
  <w:style w:type="paragraph" w:styleId="List4">
    <w:name w:val="List 4"/>
    <w:basedOn w:val="Normal"/>
    <w:uiPriority w:val="99"/>
    <w:semiHidden/>
    <w:rsid w:val="00D21C26"/>
    <w:pPr>
      <w:ind w:left="1132" w:hanging="283"/>
      <w:contextualSpacing/>
    </w:pPr>
  </w:style>
  <w:style w:type="paragraph" w:styleId="List5">
    <w:name w:val="List 5"/>
    <w:basedOn w:val="Normal"/>
    <w:uiPriority w:val="99"/>
    <w:semiHidden/>
    <w:rsid w:val="00D21C26"/>
    <w:pPr>
      <w:ind w:left="1415" w:hanging="283"/>
      <w:contextualSpacing/>
    </w:pPr>
  </w:style>
  <w:style w:type="paragraph" w:styleId="ListBullet">
    <w:name w:val="List Bullet"/>
    <w:basedOn w:val="Normal"/>
    <w:uiPriority w:val="99"/>
    <w:semiHidden/>
    <w:rsid w:val="00D21C26"/>
    <w:pPr>
      <w:numPr>
        <w:numId w:val="9"/>
      </w:numPr>
    </w:pPr>
  </w:style>
  <w:style w:type="paragraph" w:styleId="ListBullet3">
    <w:name w:val="List Bullet 3"/>
    <w:basedOn w:val="Normal"/>
    <w:uiPriority w:val="99"/>
    <w:semiHidden/>
    <w:rsid w:val="00D21C26"/>
    <w:pPr>
      <w:numPr>
        <w:numId w:val="11"/>
      </w:numPr>
      <w:contextualSpacing/>
    </w:pPr>
  </w:style>
  <w:style w:type="paragraph" w:styleId="ListBullet4">
    <w:name w:val="List Bullet 4"/>
    <w:basedOn w:val="Normal"/>
    <w:uiPriority w:val="99"/>
    <w:semiHidden/>
    <w:rsid w:val="00D21C26"/>
    <w:pPr>
      <w:numPr>
        <w:numId w:val="12"/>
      </w:numPr>
      <w:contextualSpacing/>
    </w:pPr>
  </w:style>
  <w:style w:type="paragraph" w:styleId="ListBullet5">
    <w:name w:val="List Bullet 5"/>
    <w:basedOn w:val="Normal"/>
    <w:uiPriority w:val="99"/>
    <w:semiHidden/>
    <w:rsid w:val="00D21C26"/>
    <w:pPr>
      <w:numPr>
        <w:numId w:val="13"/>
      </w:numPr>
      <w:contextualSpacing/>
    </w:pPr>
  </w:style>
  <w:style w:type="paragraph" w:styleId="ListContinue">
    <w:name w:val="List Continue"/>
    <w:basedOn w:val="Normal"/>
    <w:uiPriority w:val="99"/>
    <w:semiHidden/>
    <w:rsid w:val="00D21C26"/>
    <w:pPr>
      <w:spacing w:after="120"/>
      <w:ind w:left="283"/>
      <w:contextualSpacing/>
    </w:pPr>
  </w:style>
  <w:style w:type="paragraph" w:styleId="ListContinue2">
    <w:name w:val="List Continue 2"/>
    <w:basedOn w:val="Normal"/>
    <w:uiPriority w:val="99"/>
    <w:semiHidden/>
    <w:rsid w:val="00D21C26"/>
    <w:pPr>
      <w:spacing w:after="120"/>
      <w:ind w:left="566"/>
      <w:contextualSpacing/>
    </w:pPr>
  </w:style>
  <w:style w:type="paragraph" w:styleId="ListContinue3">
    <w:name w:val="List Continue 3"/>
    <w:basedOn w:val="Normal"/>
    <w:uiPriority w:val="99"/>
    <w:semiHidden/>
    <w:rsid w:val="00D21C26"/>
    <w:pPr>
      <w:spacing w:after="120"/>
      <w:ind w:left="849"/>
      <w:contextualSpacing/>
    </w:pPr>
  </w:style>
  <w:style w:type="paragraph" w:styleId="ListContinue4">
    <w:name w:val="List Continue 4"/>
    <w:basedOn w:val="Normal"/>
    <w:uiPriority w:val="99"/>
    <w:semiHidden/>
    <w:rsid w:val="00D21C26"/>
    <w:pPr>
      <w:spacing w:after="120"/>
      <w:ind w:left="1132"/>
      <w:contextualSpacing/>
    </w:pPr>
  </w:style>
  <w:style w:type="paragraph" w:styleId="ListContinue5">
    <w:name w:val="List Continue 5"/>
    <w:basedOn w:val="Normal"/>
    <w:uiPriority w:val="99"/>
    <w:semiHidden/>
    <w:rsid w:val="00D21C26"/>
    <w:pPr>
      <w:spacing w:after="120"/>
      <w:ind w:left="1415"/>
      <w:contextualSpacing/>
    </w:pPr>
  </w:style>
  <w:style w:type="paragraph" w:styleId="ListNumber">
    <w:name w:val="List Number"/>
    <w:basedOn w:val="Normal"/>
    <w:uiPriority w:val="99"/>
    <w:semiHidden/>
    <w:rsid w:val="00D21C26"/>
    <w:pPr>
      <w:numPr>
        <w:numId w:val="14"/>
      </w:numPr>
      <w:contextualSpacing/>
    </w:pPr>
  </w:style>
  <w:style w:type="paragraph" w:styleId="ListNumber2">
    <w:name w:val="List Number 2"/>
    <w:basedOn w:val="Normal"/>
    <w:uiPriority w:val="99"/>
    <w:semiHidden/>
    <w:rsid w:val="00D21C26"/>
    <w:pPr>
      <w:numPr>
        <w:numId w:val="15"/>
      </w:numPr>
      <w:contextualSpacing/>
    </w:pPr>
  </w:style>
  <w:style w:type="paragraph" w:styleId="ListNumber3">
    <w:name w:val="List Number 3"/>
    <w:basedOn w:val="Normal"/>
    <w:uiPriority w:val="99"/>
    <w:semiHidden/>
    <w:rsid w:val="00D21C26"/>
    <w:pPr>
      <w:numPr>
        <w:numId w:val="16"/>
      </w:numPr>
      <w:contextualSpacing/>
    </w:pPr>
  </w:style>
  <w:style w:type="paragraph" w:styleId="ListNumber4">
    <w:name w:val="List Number 4"/>
    <w:basedOn w:val="Normal"/>
    <w:uiPriority w:val="99"/>
    <w:semiHidden/>
    <w:rsid w:val="00D21C26"/>
    <w:pPr>
      <w:numPr>
        <w:numId w:val="17"/>
      </w:numPr>
      <w:contextualSpacing/>
    </w:pPr>
  </w:style>
  <w:style w:type="paragraph" w:styleId="ListNumber5">
    <w:name w:val="List Number 5"/>
    <w:basedOn w:val="Normal"/>
    <w:uiPriority w:val="99"/>
    <w:semiHidden/>
    <w:rsid w:val="00D21C26"/>
    <w:pPr>
      <w:numPr>
        <w:numId w:val="18"/>
      </w:numPr>
      <w:contextualSpacing/>
    </w:pPr>
  </w:style>
  <w:style w:type="paragraph" w:styleId="MacroText">
    <w:name w:val="macro"/>
    <w:link w:val="MacroTextChar"/>
    <w:uiPriority w:val="99"/>
    <w:semiHidden/>
    <w:rsid w:val="00D21C26"/>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MacroTextChar">
    <w:name w:val="Macro Text Char"/>
    <w:basedOn w:val="DefaultParagraphFont"/>
    <w:link w:val="MacroText"/>
    <w:uiPriority w:val="99"/>
    <w:semiHidden/>
    <w:rsid w:val="00D21C26"/>
    <w:rPr>
      <w:rFonts w:ascii="Consolas" w:eastAsiaTheme="minorEastAsia" w:hAnsi="Consolas" w:cs="Consolas"/>
      <w:sz w:val="20"/>
      <w:szCs w:val="20"/>
    </w:rPr>
  </w:style>
  <w:style w:type="table" w:styleId="MediumGrid1">
    <w:name w:val="Medium Grid 1"/>
    <w:basedOn w:val="TableNormal"/>
    <w:uiPriority w:val="67"/>
    <w:semiHidden/>
    <w:rsid w:val="00D21C26"/>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rsid w:val="00D21C26"/>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MediumGrid1-Accent2">
    <w:name w:val="Medium Grid 1 Accent 2"/>
    <w:basedOn w:val="TableNormal"/>
    <w:uiPriority w:val="67"/>
    <w:semiHidden/>
    <w:rsid w:val="00D21C26"/>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MediumGrid1-Accent3">
    <w:name w:val="Medium Grid 1 Accent 3"/>
    <w:basedOn w:val="TableNormal"/>
    <w:uiPriority w:val="67"/>
    <w:semiHidden/>
    <w:rsid w:val="00D21C26"/>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MediumGrid1-Accent4">
    <w:name w:val="Medium Grid 1 Accent 4"/>
    <w:basedOn w:val="TableNormal"/>
    <w:uiPriority w:val="67"/>
    <w:semiHidden/>
    <w:rsid w:val="00D21C26"/>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MediumGrid1-Accent5">
    <w:name w:val="Medium Grid 1 Accent 5"/>
    <w:basedOn w:val="TableNormal"/>
    <w:uiPriority w:val="67"/>
    <w:semiHidden/>
    <w:rsid w:val="00D21C26"/>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MediumGrid1-Accent6">
    <w:name w:val="Medium Grid 1 Accent 6"/>
    <w:basedOn w:val="TableNormal"/>
    <w:uiPriority w:val="67"/>
    <w:semiHidden/>
    <w:rsid w:val="00D21C26"/>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MediumGrid2">
    <w:name w:val="Medium Grid 2"/>
    <w:basedOn w:val="TableNormal"/>
    <w:uiPriority w:val="68"/>
    <w:semiHidden/>
    <w:rsid w:val="00D21C26"/>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MediumGrid2-Accent1">
    <w:name w:val="Medium Grid 2 Accent 1"/>
    <w:basedOn w:val="TableNormal"/>
    <w:uiPriority w:val="68"/>
    <w:semiHidden/>
    <w:rsid w:val="00D21C26"/>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MediumGrid2-Accent2">
    <w:name w:val="Medium Grid 2 Accent 2"/>
    <w:basedOn w:val="TableNormal"/>
    <w:uiPriority w:val="68"/>
    <w:semiHidden/>
    <w:rsid w:val="00D21C26"/>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MediumGrid2-Accent3">
    <w:name w:val="Medium Grid 2 Accent 3"/>
    <w:basedOn w:val="TableNormal"/>
    <w:uiPriority w:val="68"/>
    <w:semiHidden/>
    <w:rsid w:val="00D21C26"/>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MediumGrid2-Accent4">
    <w:name w:val="Medium Grid 2 Accent 4"/>
    <w:basedOn w:val="TableNormal"/>
    <w:uiPriority w:val="68"/>
    <w:semiHidden/>
    <w:rsid w:val="00D21C26"/>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MediumGrid2-Accent5">
    <w:name w:val="Medium Grid 2 Accent 5"/>
    <w:basedOn w:val="TableNormal"/>
    <w:uiPriority w:val="68"/>
    <w:semiHidden/>
    <w:rsid w:val="00D21C26"/>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MediumGrid2-Accent6">
    <w:name w:val="Medium Grid 2 Accent 6"/>
    <w:basedOn w:val="TableNormal"/>
    <w:uiPriority w:val="68"/>
    <w:semiHidden/>
    <w:rsid w:val="00D21C26"/>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MediumGrid3">
    <w:name w:val="Medium Grid 3"/>
    <w:basedOn w:val="TableNormal"/>
    <w:uiPriority w:val="69"/>
    <w:semiHidden/>
    <w:rsid w:val="00D21C26"/>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MediumGrid3-Accent1">
    <w:name w:val="Medium Grid 3 Accent 1"/>
    <w:basedOn w:val="TableNormal"/>
    <w:uiPriority w:val="69"/>
    <w:semiHidden/>
    <w:rsid w:val="00D21C26"/>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MediumGrid3-Accent2">
    <w:name w:val="Medium Grid 3 Accent 2"/>
    <w:basedOn w:val="TableNormal"/>
    <w:uiPriority w:val="69"/>
    <w:semiHidden/>
    <w:rsid w:val="00D21C26"/>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MediumGrid3-Accent3">
    <w:name w:val="Medium Grid 3 Accent 3"/>
    <w:basedOn w:val="TableNormal"/>
    <w:uiPriority w:val="69"/>
    <w:semiHidden/>
    <w:rsid w:val="00D21C26"/>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MediumGrid3-Accent4">
    <w:name w:val="Medium Grid 3 Accent 4"/>
    <w:basedOn w:val="TableNormal"/>
    <w:uiPriority w:val="69"/>
    <w:semiHidden/>
    <w:rsid w:val="00D21C26"/>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MediumGrid3-Accent5">
    <w:name w:val="Medium Grid 3 Accent 5"/>
    <w:basedOn w:val="TableNormal"/>
    <w:uiPriority w:val="69"/>
    <w:semiHidden/>
    <w:rsid w:val="00D21C26"/>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MediumGrid3-Accent6">
    <w:name w:val="Medium Grid 3 Accent 6"/>
    <w:basedOn w:val="TableNormal"/>
    <w:uiPriority w:val="69"/>
    <w:semiHidden/>
    <w:rsid w:val="00D21C26"/>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MediumList1">
    <w:name w:val="Medium List 1"/>
    <w:basedOn w:val="TableNormal"/>
    <w:uiPriority w:val="65"/>
    <w:semiHidden/>
    <w:rsid w:val="00D21C26"/>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D21C26"/>
    <w:rPr>
      <w:color w:val="000000" w:themeColor="text1"/>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MediumList1-Accent2">
    <w:name w:val="Medium List 1 Accent 2"/>
    <w:basedOn w:val="TableNormal"/>
    <w:uiPriority w:val="65"/>
    <w:semiHidden/>
    <w:rsid w:val="00D21C26"/>
    <w:rPr>
      <w:color w:val="000000" w:themeColor="text1"/>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MediumList1-Accent3">
    <w:name w:val="Medium List 1 Accent 3"/>
    <w:basedOn w:val="TableNormal"/>
    <w:uiPriority w:val="65"/>
    <w:semiHidden/>
    <w:rsid w:val="00D21C26"/>
    <w:rPr>
      <w:color w:val="000000" w:themeColor="text1"/>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MediumList1-Accent4">
    <w:name w:val="Medium List 1 Accent 4"/>
    <w:basedOn w:val="TableNormal"/>
    <w:uiPriority w:val="65"/>
    <w:semiHidden/>
    <w:rsid w:val="00D21C26"/>
    <w:rPr>
      <w:color w:val="000000" w:themeColor="text1"/>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MediumList1-Accent5">
    <w:name w:val="Medium List 1 Accent 5"/>
    <w:basedOn w:val="TableNormal"/>
    <w:uiPriority w:val="65"/>
    <w:semiHidden/>
    <w:rsid w:val="00D21C26"/>
    <w:rPr>
      <w:color w:val="000000" w:themeColor="text1"/>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MediumList1-Accent6">
    <w:name w:val="Medium List 1 Accent 6"/>
    <w:basedOn w:val="TableNormal"/>
    <w:uiPriority w:val="65"/>
    <w:semiHidden/>
    <w:rsid w:val="00D21C26"/>
    <w:rPr>
      <w:color w:val="000000" w:themeColor="text1"/>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MediumList2">
    <w:name w:val="Medium List 2"/>
    <w:basedOn w:val="TableNormal"/>
    <w:uiPriority w:val="66"/>
    <w:semiHidden/>
    <w:rsid w:val="00D21C26"/>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D21C26"/>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D21C26"/>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D21C26"/>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D21C26"/>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D21C26"/>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D21C26"/>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Shading1">
    <w:name w:val="Medium Shading 1"/>
    <w:basedOn w:val="TableNormal"/>
    <w:uiPriority w:val="63"/>
    <w:semiHidden/>
    <w:rsid w:val="00D21C26"/>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D21C26"/>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D21C26"/>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D21C26"/>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D21C26"/>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D21C26"/>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D21C26"/>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D21C2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D21C2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D21C2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D21C2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D21C2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D21C2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D21C2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rsid w:val="00D21C26"/>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D21C26"/>
    <w:rPr>
      <w:rFonts w:asciiTheme="majorHAnsi" w:eastAsiaTheme="majorEastAsia" w:hAnsiTheme="majorHAnsi" w:cstheme="majorBidi"/>
      <w:sz w:val="24"/>
      <w:szCs w:val="24"/>
      <w:shd w:val="pct20" w:color="auto" w:fill="auto"/>
      <w:lang w:val="fr-FR"/>
    </w:rPr>
  </w:style>
  <w:style w:type="paragraph" w:styleId="NormalWeb">
    <w:name w:val="Normal (Web)"/>
    <w:basedOn w:val="Normal"/>
    <w:uiPriority w:val="99"/>
    <w:semiHidden/>
    <w:rsid w:val="00D21C26"/>
    <w:rPr>
      <w:rFonts w:ascii="Times New Roman" w:hAnsi="Times New Roman" w:cs="Times New Roman"/>
      <w:szCs w:val="24"/>
    </w:rPr>
  </w:style>
  <w:style w:type="paragraph" w:styleId="NormalIndent">
    <w:name w:val="Normal Indent"/>
    <w:basedOn w:val="Normal"/>
    <w:uiPriority w:val="99"/>
    <w:semiHidden/>
    <w:rsid w:val="00D21C26"/>
    <w:pPr>
      <w:ind w:left="720"/>
    </w:pPr>
  </w:style>
  <w:style w:type="paragraph" w:styleId="NoteHeading">
    <w:name w:val="Note Heading"/>
    <w:basedOn w:val="Normal"/>
    <w:next w:val="Normal"/>
    <w:link w:val="NoteHeadingChar"/>
    <w:uiPriority w:val="99"/>
    <w:semiHidden/>
    <w:rsid w:val="00D21C26"/>
  </w:style>
  <w:style w:type="character" w:customStyle="1" w:styleId="NoteHeadingChar">
    <w:name w:val="Note Heading Char"/>
    <w:basedOn w:val="DefaultParagraphFont"/>
    <w:link w:val="NoteHeading"/>
    <w:uiPriority w:val="99"/>
    <w:semiHidden/>
    <w:rsid w:val="00D21C26"/>
    <w:rPr>
      <w:rFonts w:eastAsiaTheme="minorEastAsia"/>
      <w:sz w:val="24"/>
      <w:lang w:val="fr-FR"/>
    </w:rPr>
  </w:style>
  <w:style w:type="character" w:styleId="PlaceholderText">
    <w:name w:val="Placeholder Text"/>
    <w:basedOn w:val="DefaultParagraphFont"/>
    <w:uiPriority w:val="99"/>
    <w:semiHidden/>
    <w:rsid w:val="00D21C26"/>
    <w:rPr>
      <w:color w:val="auto"/>
      <w:bdr w:val="none" w:sz="0" w:space="0" w:color="auto"/>
      <w:shd w:val="clear" w:color="auto" w:fill="DFDFDF" w:themeFill="background2" w:themeFillShade="E6"/>
    </w:rPr>
  </w:style>
  <w:style w:type="paragraph" w:styleId="PlainText">
    <w:name w:val="Plain Text"/>
    <w:basedOn w:val="Normal"/>
    <w:link w:val="PlainTextChar"/>
    <w:uiPriority w:val="99"/>
    <w:semiHidden/>
    <w:rsid w:val="00D21C26"/>
    <w:rPr>
      <w:rFonts w:ascii="Consolas" w:hAnsi="Consolas" w:cs="Consolas"/>
      <w:sz w:val="21"/>
      <w:szCs w:val="21"/>
    </w:rPr>
  </w:style>
  <w:style w:type="character" w:customStyle="1" w:styleId="PlainTextChar">
    <w:name w:val="Plain Text Char"/>
    <w:basedOn w:val="DefaultParagraphFont"/>
    <w:link w:val="PlainText"/>
    <w:uiPriority w:val="99"/>
    <w:semiHidden/>
    <w:rsid w:val="00D21C26"/>
    <w:rPr>
      <w:rFonts w:ascii="Consolas" w:eastAsiaTheme="minorEastAsia" w:hAnsi="Consolas" w:cs="Consolas"/>
      <w:sz w:val="21"/>
      <w:szCs w:val="21"/>
      <w:lang w:val="fr-FR"/>
    </w:rPr>
  </w:style>
  <w:style w:type="paragraph" w:styleId="Salutation">
    <w:name w:val="Salutation"/>
    <w:basedOn w:val="Normal"/>
    <w:next w:val="Normal"/>
    <w:link w:val="SalutationChar"/>
    <w:uiPriority w:val="99"/>
    <w:semiHidden/>
    <w:rsid w:val="00D21C26"/>
  </w:style>
  <w:style w:type="character" w:customStyle="1" w:styleId="SalutationChar">
    <w:name w:val="Salutation Char"/>
    <w:basedOn w:val="DefaultParagraphFont"/>
    <w:link w:val="Salutation"/>
    <w:uiPriority w:val="99"/>
    <w:semiHidden/>
    <w:rsid w:val="00D21C26"/>
    <w:rPr>
      <w:rFonts w:eastAsiaTheme="minorEastAsia"/>
      <w:sz w:val="24"/>
      <w:lang w:val="fr-FR"/>
    </w:rPr>
  </w:style>
  <w:style w:type="paragraph" w:styleId="Signature">
    <w:name w:val="Signature"/>
    <w:basedOn w:val="Normal"/>
    <w:link w:val="SignatureChar"/>
    <w:uiPriority w:val="99"/>
    <w:semiHidden/>
    <w:rsid w:val="00D21C26"/>
    <w:pPr>
      <w:ind w:left="4252"/>
    </w:pPr>
  </w:style>
  <w:style w:type="character" w:customStyle="1" w:styleId="SignatureChar">
    <w:name w:val="Signature Char"/>
    <w:basedOn w:val="DefaultParagraphFont"/>
    <w:link w:val="Signature"/>
    <w:uiPriority w:val="99"/>
    <w:semiHidden/>
    <w:rsid w:val="00D21C26"/>
    <w:rPr>
      <w:rFonts w:eastAsiaTheme="minorEastAsia"/>
      <w:sz w:val="24"/>
      <w:lang w:val="fr-FR"/>
    </w:rPr>
  </w:style>
  <w:style w:type="table" w:styleId="Table3Deffects1">
    <w:name w:val="Table 3D effects 1"/>
    <w:basedOn w:val="TableNormal"/>
    <w:uiPriority w:val="99"/>
    <w:semiHidden/>
    <w:unhideWhenUsed/>
    <w:rsid w:val="00D21C26"/>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21C26"/>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21C26"/>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D21C26"/>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21C26"/>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21C26"/>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21C26"/>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D21C26"/>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D21C26"/>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D21C26"/>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D21C26"/>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21C26"/>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21C26"/>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21C26"/>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21C26"/>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D21C26"/>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21C26"/>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D21C26"/>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D21C26"/>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21C26"/>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21C26"/>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21C26"/>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21C26"/>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21C26"/>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21C26"/>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D21C26"/>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21C26"/>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21C26"/>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21C26"/>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21C26"/>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21C26"/>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21C26"/>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21C26"/>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D21C26"/>
    <w:pPr>
      <w:ind w:left="240" w:hanging="240"/>
    </w:pPr>
  </w:style>
  <w:style w:type="paragraph" w:styleId="TableofFigures">
    <w:name w:val="table of figures"/>
    <w:basedOn w:val="Normal"/>
    <w:next w:val="Normal"/>
    <w:uiPriority w:val="99"/>
    <w:semiHidden/>
    <w:rsid w:val="00D21C26"/>
  </w:style>
  <w:style w:type="table" w:styleId="TableProfessional">
    <w:name w:val="Table Professional"/>
    <w:basedOn w:val="TableNormal"/>
    <w:uiPriority w:val="99"/>
    <w:semiHidden/>
    <w:unhideWhenUsed/>
    <w:rsid w:val="00D21C26"/>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D21C26"/>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21C26"/>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21C26"/>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D21C26"/>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D21C26"/>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D21C2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D21C26"/>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21C26"/>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D21C26"/>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6">
    <w:name w:val="toc 6"/>
    <w:basedOn w:val="Normal"/>
    <w:next w:val="Normal"/>
    <w:autoRedefine/>
    <w:uiPriority w:val="99"/>
    <w:semiHidden/>
    <w:rsid w:val="00D21C26"/>
    <w:pPr>
      <w:tabs>
        <w:tab w:val="right" w:leader="dot" w:pos="7371"/>
      </w:tabs>
      <w:spacing w:after="60" w:line="240" w:lineRule="exact"/>
      <w:ind w:left="2041" w:right="567" w:hanging="340"/>
    </w:pPr>
    <w:rPr>
      <w:sz w:val="20"/>
    </w:rPr>
  </w:style>
  <w:style w:type="paragraph" w:styleId="TOC7">
    <w:name w:val="toc 7"/>
    <w:basedOn w:val="Normal"/>
    <w:next w:val="Normal"/>
    <w:autoRedefine/>
    <w:uiPriority w:val="99"/>
    <w:semiHidden/>
    <w:rsid w:val="00D21C26"/>
    <w:pPr>
      <w:tabs>
        <w:tab w:val="right" w:leader="dot" w:pos="7371"/>
      </w:tabs>
      <w:spacing w:after="60" w:line="240" w:lineRule="exact"/>
      <w:ind w:left="2381" w:right="567" w:hanging="340"/>
    </w:pPr>
    <w:rPr>
      <w:sz w:val="20"/>
    </w:rPr>
  </w:style>
  <w:style w:type="paragraph" w:styleId="TOC8">
    <w:name w:val="toc 8"/>
    <w:basedOn w:val="Normal"/>
    <w:next w:val="Normal"/>
    <w:autoRedefine/>
    <w:uiPriority w:val="99"/>
    <w:semiHidden/>
    <w:rsid w:val="00D21C26"/>
    <w:pPr>
      <w:spacing w:after="100"/>
      <w:ind w:left="1680"/>
    </w:pPr>
  </w:style>
  <w:style w:type="paragraph" w:styleId="TOC9">
    <w:name w:val="toc 9"/>
    <w:basedOn w:val="Normal"/>
    <w:next w:val="Normal"/>
    <w:autoRedefine/>
    <w:uiPriority w:val="99"/>
    <w:semiHidden/>
    <w:rsid w:val="00D21C26"/>
    <w:pPr>
      <w:spacing w:after="100"/>
      <w:ind w:left="1920"/>
    </w:pPr>
  </w:style>
  <w:style w:type="paragraph" w:customStyle="1" w:styleId="ECHRFooter">
    <w:name w:val="ECHR_Footer"/>
    <w:aliases w:val="Footer_ECHR"/>
    <w:basedOn w:val="Footer0"/>
    <w:uiPriority w:val="57"/>
    <w:semiHidden/>
    <w:rsid w:val="00893F30"/>
    <w:rPr>
      <w:sz w:val="8"/>
    </w:rPr>
  </w:style>
  <w:style w:type="paragraph" w:customStyle="1" w:styleId="FooterLine">
    <w:name w:val="_Footer_Line"/>
    <w:aliases w:val="Footer_Line"/>
    <w:basedOn w:val="Normal"/>
    <w:next w:val="Footer"/>
    <w:uiPriority w:val="57"/>
    <w:semiHidden/>
    <w:rsid w:val="00D21C26"/>
    <w:pPr>
      <w:pBdr>
        <w:top w:val="single" w:sz="6" w:space="1" w:color="5F5F5F"/>
      </w:pBdr>
      <w:tabs>
        <w:tab w:val="center" w:pos="4536"/>
        <w:tab w:val="right" w:pos="9696"/>
      </w:tabs>
      <w:ind w:left="-680" w:right="-680"/>
    </w:pPr>
    <w:rPr>
      <w:color w:val="5F5F5F"/>
    </w:rPr>
  </w:style>
  <w:style w:type="paragraph" w:customStyle="1" w:styleId="DecHCase">
    <w:name w:val="Dec_H_Case"/>
    <w:aliases w:val="_Title_3"/>
    <w:basedOn w:val="JuPara"/>
    <w:next w:val="JuPara"/>
    <w:uiPriority w:val="35"/>
    <w:qFormat/>
    <w:rsid w:val="00D21C26"/>
    <w:pPr>
      <w:keepNext/>
      <w:keepLines/>
      <w:spacing w:after="280"/>
      <w:ind w:firstLine="0"/>
      <w:jc w:val="center"/>
    </w:pPr>
    <w:rPr>
      <w:rFonts w:asciiTheme="majorHAnsi" w:hAnsiTheme="majorHAnsi"/>
    </w:rPr>
  </w:style>
  <w:style w:type="paragraph" w:customStyle="1" w:styleId="JuTitle">
    <w:name w:val="Ju_Title"/>
    <w:aliases w:val="_Title_2"/>
    <w:basedOn w:val="Normal"/>
    <w:next w:val="JuPara"/>
    <w:uiPriority w:val="35"/>
    <w:qFormat/>
    <w:rsid w:val="00D21C26"/>
    <w:pPr>
      <w:keepNext/>
      <w:keepLines/>
      <w:spacing w:before="1320" w:after="280"/>
      <w:contextualSpacing/>
      <w:jc w:val="center"/>
    </w:pPr>
    <w:rPr>
      <w:rFonts w:eastAsiaTheme="minorHAnsi"/>
      <w:b/>
    </w:rPr>
  </w:style>
  <w:style w:type="character" w:customStyle="1" w:styleId="JuParaChar">
    <w:name w:val="Ju_Para Char"/>
    <w:aliases w:val="_Para Char"/>
    <w:link w:val="JuPara"/>
    <w:uiPriority w:val="8"/>
    <w:rsid w:val="0071730F"/>
    <w:rPr>
      <w:rFonts w:eastAsiaTheme="minorEastAsia"/>
      <w:sz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543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BDA7077-1505-412D-BD1F-093ED42F7A65}"/>
</file>

<file path=customXml/itemProps2.xml><?xml version="1.0" encoding="utf-8"?>
<ds:datastoreItem xmlns:ds="http://schemas.openxmlformats.org/officeDocument/2006/customXml" ds:itemID="{E8B53E7F-DB7B-420F-AFD6-62A5B9936294}"/>
</file>

<file path=customXml/itemProps3.xml><?xml version="1.0" encoding="utf-8"?>
<ds:datastoreItem xmlns:ds="http://schemas.openxmlformats.org/officeDocument/2006/customXml" ds:itemID="{4342A718-DCAD-402C-98E2-D17467AAB4A2}"/>
</file>

<file path=customXml/itemProps4.xml><?xml version="1.0" encoding="utf-8"?>
<ds:datastoreItem xmlns:ds="http://schemas.openxmlformats.org/officeDocument/2006/customXml" ds:itemID="{E662EB94-FD1A-43AF-ADDC-BFA9BD5BB7E7}"/>
</file>

<file path=docProps/app.xml><?xml version="1.0" encoding="utf-8"?>
<Properties xmlns="http://schemas.openxmlformats.org/officeDocument/2006/extended-properties" xmlns:vt="http://schemas.openxmlformats.org/officeDocument/2006/docPropsVTypes">
  <Template>Normal.dotm</Template>
  <TotalTime>0</TotalTime>
  <Pages>1</Pages>
  <Words>1672</Words>
  <Characters>9535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ECHR</vt:lpstr>
    </vt:vector>
  </TitlesOfParts>
  <Manager/>
  <Company/>
  <LinksUpToDate>false</LinksUpToDate>
  <CharactersWithSpaces>11185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JUDF</dc:subject>
  <dc:creator/>
  <cp:keywords/>
  <cp:lastModifiedBy/>
  <cp:revision>1</cp:revision>
  <dcterms:created xsi:type="dcterms:W3CDTF">2020-03-17T08:50:00Z</dcterms:created>
  <dcterms:modified xsi:type="dcterms:W3CDTF">2020-03-17T08:50:00Z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i4>1036</vt:i4>
  </property>
  <property fmtid="{D5CDD505-2E9C-101B-9397-08002B2CF9AE}" pid="3" name="RegisteredNo">
    <vt:lpwstr>1153/14</vt:lpwstr>
  </property>
  <property fmtid="{D5CDD505-2E9C-101B-9397-08002B2CF9AE}" pid="4" name="CASEID">
    <vt:lpwstr>962888</vt:lpwstr>
  </property>
  <property fmtid="{D5CDD505-2E9C-101B-9397-08002B2CF9AE}" pid="5" name="ContentTypeId">
    <vt:lpwstr>0x010100558EB02BDB9E204AB350EDD385B68E10</vt:lpwstr>
  </property>
</Properties>
</file>